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7A77F" w14:textId="77777777" w:rsidR="00FB55B6" w:rsidRPr="00252203" w:rsidRDefault="00FB55B6" w:rsidP="007641CB">
      <w:pPr>
        <w:spacing w:after="0" w:line="360" w:lineRule="auto"/>
        <w:jc w:val="center"/>
        <w:rPr>
          <w:rFonts w:ascii="GHEA Grapalat" w:hAnsi="GHEA Grapalat"/>
          <w:b/>
          <w:sz w:val="24"/>
          <w:szCs w:val="24"/>
          <w:lang w:val="hy-AM"/>
        </w:rPr>
      </w:pPr>
      <w:r w:rsidRPr="00252203">
        <w:rPr>
          <w:rFonts w:ascii="GHEA Grapalat" w:hAnsi="GHEA Grapalat"/>
          <w:b/>
          <w:sz w:val="24"/>
          <w:szCs w:val="24"/>
          <w:lang w:val="hy-AM"/>
        </w:rPr>
        <w:t>ՀԻՄՆԱՎՈՐՈՒՄ</w:t>
      </w:r>
    </w:p>
    <w:p w14:paraId="67A66B12" w14:textId="5CAA64A3" w:rsidR="00FB55B6" w:rsidRPr="00252203" w:rsidRDefault="00FC329E" w:rsidP="007641CB">
      <w:pPr>
        <w:spacing w:after="0" w:line="360" w:lineRule="auto"/>
        <w:jc w:val="center"/>
        <w:rPr>
          <w:rFonts w:ascii="GHEA Grapalat" w:hAnsi="GHEA Grapalat" w:cs="Sylfaen"/>
          <w:b/>
          <w:bCs/>
          <w:sz w:val="24"/>
          <w:szCs w:val="24"/>
          <w:lang w:val="hy-AM"/>
        </w:rPr>
      </w:pPr>
      <w:r w:rsidRPr="00FC329E">
        <w:rPr>
          <w:rFonts w:ascii="GHEA Grapalat" w:hAnsi="GHEA Grapalat"/>
          <w:b/>
          <w:sz w:val="24"/>
          <w:lang w:val="hy-AM"/>
        </w:rPr>
        <w:t>«ՉԱՅՆԱ ՆԵՇՆԼ ԷԼԵՔԹՐԻՔ ԻՆՋԵՆԻԻՐԻՆԳ ԸՆԿԵՐՈՒԹՅՈՒՆ» ՍԱՀՄԱՆԱՓԱԿ ՊԱՏԱՍԽԱՆԱՏՎՈՒԹՅԱՄԲ ԸՆԿԵՐՈՒԹՅԱՆԸ ԼԻՑԵՆԶԱՎՈՐՄԱՆ ԵՆԹԱԿԱ ԳՈՐԾՈՒՆԵՈՒԹՅԱՆ ՈՐՈՇ ՏԵՍԱԿՆԵՐԻ ԻՐԱԿԱՆԱՑՄԱՆ ԹՈՒՅԼՏՎՈՒԹՅՈՒՆ ՏՐԱՄԱԴՐԵԼՈՒ ՄԱՍԻՆ»</w:t>
      </w:r>
      <w:r>
        <w:rPr>
          <w:rFonts w:ascii="GHEA Grapalat" w:hAnsi="GHEA Grapalat"/>
          <w:sz w:val="24"/>
          <w:lang w:val="hy-AM"/>
        </w:rPr>
        <w:t xml:space="preserve"> </w:t>
      </w:r>
      <w:r w:rsidR="00FB55B6" w:rsidRPr="00252203">
        <w:rPr>
          <w:rFonts w:ascii="GHEA Grapalat" w:hAnsi="GHEA Grapalat" w:cs="Sylfaen"/>
          <w:b/>
          <w:bCs/>
          <w:sz w:val="24"/>
          <w:szCs w:val="24"/>
          <w:lang w:val="hy-AM"/>
        </w:rPr>
        <w:t>ՀՀ ԿԱՌԱՎԱՐՈՒԹՅԱՆ ՈՐՈՇՄԱՆ ԸՆԴՈՒՆՄԱՆ ԱՆՀՐԱԺԵՇՏՈՒԹՅԱՆ ՎԵՐԱԲԵՐՅԱԼ</w:t>
      </w:r>
    </w:p>
    <w:p w14:paraId="7CECEEE6" w14:textId="77777777" w:rsidR="00252203" w:rsidRPr="00252203" w:rsidRDefault="00252203" w:rsidP="007641CB">
      <w:pPr>
        <w:spacing w:after="0" w:line="360" w:lineRule="auto"/>
        <w:jc w:val="center"/>
        <w:rPr>
          <w:rFonts w:ascii="GHEA Grapalat" w:hAnsi="GHEA Grapalat" w:cs="Sylfaen"/>
          <w:b/>
          <w:bCs/>
          <w:sz w:val="24"/>
          <w:szCs w:val="24"/>
          <w:lang w:val="hy-AM"/>
        </w:rPr>
      </w:pPr>
    </w:p>
    <w:tbl>
      <w:tblPr>
        <w:tblW w:w="5243"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10234"/>
      </w:tblGrid>
      <w:tr w:rsidR="00FB55B6" w:rsidRPr="00252203" w14:paraId="53E16683" w14:textId="77777777" w:rsidTr="00765FA1">
        <w:tc>
          <w:tcPr>
            <w:tcW w:w="5000" w:type="pct"/>
            <w:gridSpan w:val="2"/>
            <w:shd w:val="clear" w:color="auto" w:fill="D9D9D9"/>
            <w:vAlign w:val="center"/>
          </w:tcPr>
          <w:p w14:paraId="7666769D" w14:textId="77777777" w:rsidR="00FB55B6" w:rsidRPr="00252203" w:rsidRDefault="00FB55B6" w:rsidP="007641CB">
            <w:pPr>
              <w:spacing w:after="0" w:line="360" w:lineRule="auto"/>
              <w:jc w:val="center"/>
              <w:rPr>
                <w:rFonts w:ascii="GHEA Grapalat" w:hAnsi="GHEA Grapalat"/>
                <w:b/>
                <w:sz w:val="24"/>
                <w:szCs w:val="24"/>
              </w:rPr>
            </w:pPr>
            <w:r w:rsidRPr="00252203">
              <w:rPr>
                <w:rFonts w:ascii="GHEA Grapalat" w:hAnsi="GHEA Grapalat"/>
                <w:b/>
                <w:sz w:val="24"/>
                <w:szCs w:val="24"/>
              </w:rPr>
              <w:t>Իրավական ակտի հիմնավորումը</w:t>
            </w:r>
          </w:p>
        </w:tc>
      </w:tr>
      <w:tr w:rsidR="00FB55B6" w:rsidRPr="00252203" w14:paraId="1604313E" w14:textId="77777777" w:rsidTr="00765FA1">
        <w:tc>
          <w:tcPr>
            <w:tcW w:w="251" w:type="pct"/>
          </w:tcPr>
          <w:p w14:paraId="092684A3" w14:textId="77777777" w:rsidR="00FB55B6" w:rsidRPr="00252203" w:rsidRDefault="00FB55B6" w:rsidP="007641CB">
            <w:pPr>
              <w:spacing w:after="0" w:line="360" w:lineRule="auto"/>
              <w:jc w:val="center"/>
              <w:rPr>
                <w:rFonts w:ascii="GHEA Grapalat" w:hAnsi="GHEA Grapalat"/>
                <w:sz w:val="24"/>
                <w:szCs w:val="24"/>
              </w:rPr>
            </w:pPr>
          </w:p>
        </w:tc>
        <w:tc>
          <w:tcPr>
            <w:tcW w:w="4749" w:type="pct"/>
          </w:tcPr>
          <w:p w14:paraId="25BB1AE9" w14:textId="77777777" w:rsidR="00FB55B6" w:rsidRPr="00252203" w:rsidRDefault="00FB55B6" w:rsidP="007641CB">
            <w:pPr>
              <w:pStyle w:val="ListParagraph"/>
              <w:spacing w:after="0" w:line="360" w:lineRule="auto"/>
              <w:ind w:left="0"/>
              <w:jc w:val="both"/>
              <w:rPr>
                <w:rFonts w:ascii="GHEA Grapalat" w:hAnsi="GHEA Grapalat" w:cs="Calibri"/>
                <w:b/>
                <w:sz w:val="24"/>
                <w:szCs w:val="24"/>
                <w:lang w:val="hy-AM"/>
              </w:rPr>
            </w:pPr>
            <w:r w:rsidRPr="00252203">
              <w:rPr>
                <w:rFonts w:ascii="GHEA Grapalat" w:eastAsia="Times New Roman" w:hAnsi="GHEA Grapalat"/>
                <w:b/>
                <w:sz w:val="24"/>
                <w:szCs w:val="24"/>
                <w:lang w:val="hy-AM"/>
              </w:rPr>
              <w:t>Կարգավորման ենթակա խնդրի սահմանումը և առկա իրավիճակը</w:t>
            </w:r>
          </w:p>
        </w:tc>
      </w:tr>
      <w:tr w:rsidR="00FC329E" w:rsidRPr="00765FA1" w14:paraId="22BFE30D" w14:textId="77777777" w:rsidTr="00765FA1">
        <w:tc>
          <w:tcPr>
            <w:tcW w:w="251" w:type="pct"/>
          </w:tcPr>
          <w:p w14:paraId="39E1CDC6" w14:textId="77777777" w:rsidR="00FC329E" w:rsidRPr="00252203" w:rsidRDefault="00FC329E" w:rsidP="007641CB">
            <w:pPr>
              <w:spacing w:after="0" w:line="360" w:lineRule="auto"/>
              <w:rPr>
                <w:rFonts w:ascii="GHEA Grapalat" w:hAnsi="GHEA Grapalat"/>
                <w:sz w:val="24"/>
                <w:szCs w:val="24"/>
              </w:rPr>
            </w:pPr>
          </w:p>
        </w:tc>
        <w:tc>
          <w:tcPr>
            <w:tcW w:w="4749" w:type="pct"/>
          </w:tcPr>
          <w:p w14:paraId="58245DEB" w14:textId="77777777" w:rsidR="00FC329E" w:rsidRDefault="00FC329E" w:rsidP="007641CB">
            <w:pPr>
              <w:spacing w:after="0" w:line="360" w:lineRule="auto"/>
              <w:jc w:val="both"/>
              <w:rPr>
                <w:rFonts w:ascii="GHEA Grapalat" w:hAnsi="GHEA Grapalat"/>
                <w:sz w:val="24"/>
                <w:lang w:val="hy-AM"/>
              </w:rPr>
            </w:pPr>
            <w:r w:rsidRPr="00706112">
              <w:rPr>
                <w:rFonts w:ascii="GHEA Grapalat" w:hAnsi="GHEA Grapalat"/>
                <w:sz w:val="24"/>
                <w:lang w:val="hy-AM"/>
              </w:rPr>
              <w:t>Վերակառուցման և զարգացման միջազգային բանկի աջակցությամբ իրակ</w:t>
            </w:r>
            <w:r>
              <w:rPr>
                <w:rFonts w:ascii="GHEA Grapalat" w:hAnsi="GHEA Grapalat"/>
                <w:sz w:val="24"/>
                <w:lang w:val="hy-AM"/>
              </w:rPr>
              <w:t>ա</w:t>
            </w:r>
            <w:r w:rsidRPr="00706112">
              <w:rPr>
                <w:rFonts w:ascii="GHEA Grapalat" w:hAnsi="GHEA Grapalat"/>
                <w:sz w:val="24"/>
                <w:lang w:val="hy-AM"/>
              </w:rPr>
              <w:t xml:space="preserve">նացվող </w:t>
            </w:r>
            <w:r>
              <w:rPr>
                <w:rFonts w:ascii="GHEA Grapalat" w:hAnsi="GHEA Grapalat"/>
                <w:sz w:val="24"/>
                <w:lang w:val="hy-AM"/>
              </w:rPr>
              <w:t>«Էլեկտրամատակարարման հուսալիության ծրագրի լրացուցիչ ֆինանսավորում»</w:t>
            </w:r>
            <w:bookmarkStart w:id="0" w:name="_GoBack"/>
            <w:bookmarkEnd w:id="0"/>
            <w:r>
              <w:rPr>
                <w:rFonts w:ascii="GHEA Grapalat" w:hAnsi="GHEA Grapalat"/>
                <w:sz w:val="24"/>
                <w:lang w:val="hy-AM"/>
              </w:rPr>
              <w:t xml:space="preserve"> </w:t>
            </w:r>
            <w:r w:rsidRPr="00706112">
              <w:rPr>
                <w:rFonts w:ascii="GHEA Grapalat" w:hAnsi="GHEA Grapalat"/>
                <w:sz w:val="24"/>
                <w:lang w:val="hy-AM"/>
              </w:rPr>
              <w:t xml:space="preserve">ծրագրի </w:t>
            </w:r>
            <w:r>
              <w:rPr>
                <w:rFonts w:ascii="GHEA Grapalat" w:hAnsi="GHEA Grapalat" w:cs="Sylfaen"/>
                <w:sz w:val="24"/>
                <w:szCs w:val="24"/>
                <w:lang w:val="hy-AM"/>
              </w:rPr>
              <w:t xml:space="preserve">շրջանակներում «Բարձրավոլտ էլեկտրացանցեր» ՓԲԸ-ն (այսուհետ՝ Ընկերություն) 2021թ. </w:t>
            </w:r>
            <w:r w:rsidRPr="00AD7986">
              <w:rPr>
                <w:rFonts w:ascii="GHEA Grapalat" w:hAnsi="GHEA Grapalat"/>
                <w:sz w:val="24"/>
                <w:lang w:val="hy-AM"/>
              </w:rPr>
              <w:t>սեպտեմբերի 15-ին</w:t>
            </w:r>
            <w:r>
              <w:rPr>
                <w:rFonts w:ascii="GHEA Grapalat" w:hAnsi="GHEA Grapalat"/>
                <w:sz w:val="24"/>
                <w:lang w:val="hy-AM"/>
              </w:rPr>
              <w:t xml:space="preserve"> Չինաստանի Ժողովրդական Հանրապետությունում գրանցված «Չայնա Նեշնլ Էլեքթրիթ Ինջենիիրինգ ընկերություն» ՍՊԸ-ի (այսուհետ՝ Կապալառու) հետ կնքել է «</w:t>
            </w:r>
            <w:r w:rsidRPr="00AD7986">
              <w:rPr>
                <w:rFonts w:ascii="GHEA Grapalat" w:hAnsi="GHEA Grapalat"/>
                <w:sz w:val="24"/>
                <w:lang w:val="hy-AM"/>
              </w:rPr>
              <w:t>2</w:t>
            </w:r>
            <w:r>
              <w:rPr>
                <w:rFonts w:ascii="GHEA Grapalat" w:hAnsi="GHEA Grapalat"/>
                <w:sz w:val="24"/>
                <w:lang w:val="hy-AM"/>
              </w:rPr>
              <w:t>2</w:t>
            </w:r>
            <w:r w:rsidRPr="00AD7986">
              <w:rPr>
                <w:rFonts w:ascii="GHEA Grapalat" w:hAnsi="GHEA Grapalat"/>
                <w:sz w:val="24"/>
                <w:lang w:val="hy-AM"/>
              </w:rPr>
              <w:t>0/110/</w:t>
            </w:r>
            <w:r>
              <w:rPr>
                <w:rFonts w:ascii="GHEA Grapalat" w:hAnsi="GHEA Grapalat"/>
                <w:sz w:val="24"/>
                <w:lang w:val="hy-AM"/>
              </w:rPr>
              <w:t>10</w:t>
            </w:r>
            <w:r w:rsidRPr="00AD7986">
              <w:rPr>
                <w:rFonts w:ascii="GHEA Grapalat" w:hAnsi="GHEA Grapalat"/>
                <w:sz w:val="24"/>
                <w:lang w:val="hy-AM"/>
              </w:rPr>
              <w:t xml:space="preserve"> կՎ </w:t>
            </w:r>
            <w:r>
              <w:rPr>
                <w:rFonts w:ascii="GHEA Grapalat" w:hAnsi="GHEA Grapalat" w:cs="Sylfaen"/>
                <w:sz w:val="24"/>
                <w:szCs w:val="24"/>
                <w:lang w:val="hy-AM"/>
              </w:rPr>
              <w:t xml:space="preserve">«Զովունի» ենթակայանի </w:t>
            </w:r>
            <w:r w:rsidRPr="00AD7986">
              <w:rPr>
                <w:rFonts w:ascii="GHEA Grapalat" w:hAnsi="GHEA Grapalat"/>
                <w:sz w:val="24"/>
                <w:lang w:val="hy-AM"/>
              </w:rPr>
              <w:t>վերակառուցման,</w:t>
            </w:r>
            <w:r>
              <w:rPr>
                <w:rFonts w:ascii="GHEA Grapalat" w:hAnsi="GHEA Grapalat"/>
                <w:sz w:val="24"/>
                <w:lang w:val="hy-AM"/>
              </w:rPr>
              <w:t xml:space="preserve"> </w:t>
            </w:r>
            <w:r w:rsidRPr="00AD7986">
              <w:rPr>
                <w:rFonts w:ascii="GHEA Grapalat" w:hAnsi="GHEA Grapalat"/>
                <w:sz w:val="24"/>
                <w:lang w:val="hy-AM"/>
              </w:rPr>
              <w:t>նախագծման, մատակարարման և տեղակայման</w:t>
            </w:r>
            <w:r>
              <w:rPr>
                <w:rFonts w:ascii="GHEA Grapalat" w:hAnsi="GHEA Grapalat"/>
                <w:sz w:val="24"/>
                <w:lang w:val="hy-AM"/>
              </w:rPr>
              <w:t xml:space="preserve">» </w:t>
            </w:r>
            <w:r w:rsidRPr="006C6BF8">
              <w:rPr>
                <w:rFonts w:ascii="GHEA Grapalat" w:hAnsi="GHEA Grapalat"/>
                <w:sz w:val="24"/>
                <w:lang w:val="hy-AM"/>
              </w:rPr>
              <w:t>№ HVEN-DSI-1/2020_2</w:t>
            </w:r>
            <w:r w:rsidRPr="00AD7986">
              <w:rPr>
                <w:rFonts w:ascii="GHEA Grapalat" w:hAnsi="GHEA Grapalat"/>
                <w:sz w:val="24"/>
                <w:lang w:val="hy-AM"/>
              </w:rPr>
              <w:t xml:space="preserve"> </w:t>
            </w:r>
            <w:r>
              <w:rPr>
                <w:rFonts w:ascii="GHEA Grapalat" w:hAnsi="GHEA Grapalat"/>
                <w:sz w:val="24"/>
                <w:lang w:val="hy-AM"/>
              </w:rPr>
              <w:t xml:space="preserve">պայմանագիրը, որի շրջանակներում, ի թիվս այլ աշխատանքների, Կապալառուն պարտավորվել է իրականացնել քաղաքաշինական փաստաթղթերի ինժեներական բաժինների մշակման, շինարարության իրականացման, ինժեներական հետազննման ու շենքերի և շինությունների տեխնիկական վիճակի հետազննության աշխատանքներ, որոնք «Լիցենզավորման մասին» </w:t>
            </w:r>
            <w:r>
              <w:rPr>
                <w:rFonts w:ascii="GHEA Grapalat" w:hAnsi="GHEA Grapalat" w:cs="Sylfaen"/>
                <w:sz w:val="24"/>
                <w:szCs w:val="24"/>
                <w:lang w:val="hy-AM"/>
              </w:rPr>
              <w:t>ՀՀ</w:t>
            </w:r>
            <w:r w:rsidRPr="00D656EC">
              <w:rPr>
                <w:rFonts w:ascii="GHEA Grapalat" w:hAnsi="GHEA Grapalat" w:cs="Sylfaen"/>
                <w:sz w:val="24"/>
                <w:szCs w:val="24"/>
                <w:lang w:val="hy-AM"/>
              </w:rPr>
              <w:t xml:space="preserve"> </w:t>
            </w:r>
            <w:r>
              <w:rPr>
                <w:rFonts w:ascii="GHEA Grapalat" w:hAnsi="GHEA Grapalat"/>
                <w:sz w:val="24"/>
                <w:lang w:val="hy-AM"/>
              </w:rPr>
              <w:t>օրենքի 43-րդ հոդվածի 2-րդ մասի 17-րդ կետի 1-ին, 3-րդ, 5-րդ և 6-րդ ենթակետերի համաձայն՝ լիցենզավորման ենթակա գործունեության տեսակներ են:</w:t>
            </w:r>
          </w:p>
          <w:p w14:paraId="0633DF62" w14:textId="77777777" w:rsidR="00FC329E" w:rsidRDefault="00FC329E" w:rsidP="007641CB">
            <w:pPr>
              <w:spacing w:after="0" w:line="360" w:lineRule="auto"/>
              <w:jc w:val="both"/>
              <w:rPr>
                <w:rFonts w:ascii="GHEA Grapalat" w:hAnsi="GHEA Grapalat" w:cs="Sylfaen"/>
                <w:sz w:val="24"/>
                <w:szCs w:val="24"/>
                <w:lang w:val="hy-AM"/>
              </w:rPr>
            </w:pPr>
            <w:r>
              <w:rPr>
                <w:rFonts w:ascii="GHEA Grapalat" w:hAnsi="GHEA Grapalat"/>
                <w:sz w:val="24"/>
                <w:lang w:val="hy-AM"/>
              </w:rPr>
              <w:t xml:space="preserve">«Լիցենզավորման մասին» </w:t>
            </w:r>
            <w:r>
              <w:rPr>
                <w:rFonts w:ascii="GHEA Grapalat" w:hAnsi="GHEA Grapalat" w:cs="Sylfaen"/>
                <w:sz w:val="24"/>
                <w:szCs w:val="24"/>
                <w:lang w:val="hy-AM"/>
              </w:rPr>
              <w:t>ՀՀ</w:t>
            </w:r>
            <w:r w:rsidRPr="00D656EC">
              <w:rPr>
                <w:rFonts w:ascii="GHEA Grapalat" w:hAnsi="GHEA Grapalat" w:cs="Sylfaen"/>
                <w:sz w:val="24"/>
                <w:szCs w:val="24"/>
                <w:lang w:val="hy-AM"/>
              </w:rPr>
              <w:t xml:space="preserve"> </w:t>
            </w:r>
            <w:r>
              <w:rPr>
                <w:rFonts w:ascii="GHEA Grapalat" w:hAnsi="GHEA Grapalat"/>
                <w:sz w:val="24"/>
                <w:lang w:val="hy-AM"/>
              </w:rPr>
              <w:t>օրենքի</w:t>
            </w:r>
            <w:r>
              <w:rPr>
                <w:rFonts w:ascii="GHEA Grapalat" w:hAnsi="GHEA Grapalat" w:cs="Sylfaen"/>
                <w:sz w:val="24"/>
                <w:szCs w:val="24"/>
                <w:lang w:val="hy-AM"/>
              </w:rPr>
              <w:t xml:space="preserve"> 7-րդ հոդվածի 6.1. մասի համաձայն՝ օ</w:t>
            </w:r>
            <w:r w:rsidRPr="00D656EC">
              <w:rPr>
                <w:rFonts w:ascii="GHEA Grapalat" w:hAnsi="GHEA Grapalat" w:cs="Sylfaen"/>
                <w:sz w:val="24"/>
                <w:szCs w:val="24"/>
                <w:lang w:val="hy-AM"/>
              </w:rPr>
              <w:t xml:space="preserve">տարերկրյա իրավաբանական անձինք </w:t>
            </w:r>
            <w:r>
              <w:rPr>
                <w:rFonts w:ascii="GHEA Grapalat" w:hAnsi="GHEA Grapalat" w:cs="Sylfaen"/>
                <w:sz w:val="24"/>
                <w:szCs w:val="24"/>
                <w:lang w:val="hy-AM"/>
              </w:rPr>
              <w:t>ՀՀ</w:t>
            </w:r>
            <w:r w:rsidRPr="00D656EC">
              <w:rPr>
                <w:rFonts w:ascii="GHEA Grapalat" w:hAnsi="GHEA Grapalat" w:cs="Sylfaen"/>
                <w:sz w:val="24"/>
                <w:szCs w:val="24"/>
                <w:lang w:val="hy-AM"/>
              </w:rPr>
              <w:t xml:space="preserve"> կառավարության որոշմամբ կարող են իրականացնել սույն օրենքով նախատեսված լիցենզավորման ենթակա գործունեություն օտարերկրյա պետությունների տված համապատասխան լիցենզիայի առկայության դեպքում:</w:t>
            </w:r>
          </w:p>
          <w:p w14:paraId="0F0D725E" w14:textId="77777777" w:rsidR="00FC329E" w:rsidRDefault="00FC329E" w:rsidP="007641CB">
            <w:pPr>
              <w:spacing w:after="0" w:line="360" w:lineRule="auto"/>
              <w:jc w:val="both"/>
              <w:rPr>
                <w:rFonts w:ascii="GHEA Grapalat" w:hAnsi="GHEA Grapalat"/>
                <w:sz w:val="24"/>
                <w:lang w:val="hy-AM"/>
              </w:rPr>
            </w:pPr>
            <w:r>
              <w:rPr>
                <w:rFonts w:ascii="GHEA Grapalat" w:hAnsi="GHEA Grapalat" w:cs="Sylfaen"/>
                <w:sz w:val="24"/>
                <w:szCs w:val="24"/>
                <w:lang w:val="hy-AM"/>
              </w:rPr>
              <w:t>ՉԺՀ օրենսդրությամբ սահմանված կարգով Պեկինի շուկայի կարգավորման վարչության 2021թ. հունվարի 8-ի</w:t>
            </w:r>
            <w:r w:rsidRPr="00D10D78">
              <w:rPr>
                <w:rFonts w:ascii="GHEA Grapalat" w:hAnsi="GHEA Grapalat" w:cs="Sylfaen"/>
                <w:sz w:val="24"/>
                <w:szCs w:val="24"/>
                <w:lang w:val="hy-AM"/>
              </w:rPr>
              <w:t xml:space="preserve"> № </w:t>
            </w:r>
            <w:r>
              <w:rPr>
                <w:rFonts w:ascii="GHEA Grapalat" w:hAnsi="GHEA Grapalat" w:cs="Sylfaen"/>
                <w:sz w:val="24"/>
                <w:szCs w:val="24"/>
                <w:lang w:val="hy-AM"/>
              </w:rPr>
              <w:t>91110000101621105</w:t>
            </w:r>
            <w:r w:rsidRPr="00D70E12">
              <w:rPr>
                <w:rFonts w:ascii="GHEA Grapalat" w:hAnsi="GHEA Grapalat" w:cs="Sylfaen"/>
                <w:sz w:val="24"/>
                <w:szCs w:val="24"/>
                <w:lang w:val="hy-AM"/>
              </w:rPr>
              <w:t>B</w:t>
            </w:r>
            <w:r w:rsidRPr="00D10D78">
              <w:rPr>
                <w:rFonts w:ascii="GHEA Grapalat" w:hAnsi="GHEA Grapalat" w:cs="Sylfaen"/>
                <w:sz w:val="24"/>
                <w:szCs w:val="24"/>
                <w:lang w:val="hy-AM"/>
              </w:rPr>
              <w:t xml:space="preserve"> </w:t>
            </w:r>
            <w:r>
              <w:rPr>
                <w:rFonts w:ascii="GHEA Grapalat" w:hAnsi="GHEA Grapalat" w:cs="Sylfaen"/>
                <w:sz w:val="24"/>
                <w:szCs w:val="24"/>
                <w:lang w:val="hy-AM"/>
              </w:rPr>
              <w:t xml:space="preserve">բիզնես լիցենզիայով </w:t>
            </w:r>
            <w:r>
              <w:rPr>
                <w:rFonts w:ascii="GHEA Grapalat" w:hAnsi="GHEA Grapalat"/>
                <w:sz w:val="24"/>
                <w:lang w:val="hy-AM"/>
              </w:rPr>
              <w:t>(կցվում է)</w:t>
            </w:r>
            <w:r>
              <w:rPr>
                <w:rFonts w:ascii="GHEA Grapalat" w:hAnsi="GHEA Grapalat" w:cs="Sylfaen"/>
                <w:sz w:val="24"/>
                <w:szCs w:val="24"/>
                <w:lang w:val="hy-AM"/>
              </w:rPr>
              <w:t>, ի թիվս գործունեության այլ տեսակների</w:t>
            </w:r>
            <w:r w:rsidRPr="00D10D78">
              <w:rPr>
                <w:rFonts w:ascii="GHEA Grapalat" w:hAnsi="GHEA Grapalat" w:cs="Sylfaen"/>
                <w:sz w:val="24"/>
                <w:szCs w:val="24"/>
                <w:lang w:val="hy-AM"/>
              </w:rPr>
              <w:t>,</w:t>
            </w:r>
            <w:r w:rsidRPr="00D70E12">
              <w:rPr>
                <w:rFonts w:ascii="GHEA Grapalat" w:hAnsi="GHEA Grapalat" w:cs="Sylfaen"/>
                <w:sz w:val="24"/>
                <w:szCs w:val="24"/>
                <w:lang w:val="hy-AM"/>
              </w:rPr>
              <w:t xml:space="preserve"> </w:t>
            </w:r>
            <w:r>
              <w:rPr>
                <w:rFonts w:ascii="GHEA Grapalat" w:hAnsi="GHEA Grapalat" w:cs="Sylfaen"/>
                <w:sz w:val="24"/>
                <w:szCs w:val="24"/>
                <w:lang w:val="hy-AM"/>
              </w:rPr>
              <w:t>Կապալառու</w:t>
            </w:r>
            <w:r>
              <w:rPr>
                <w:rFonts w:ascii="GHEA Grapalat" w:hAnsi="GHEA Grapalat"/>
                <w:sz w:val="24"/>
                <w:lang w:val="hy-AM"/>
              </w:rPr>
              <w:t>ին տրվել է շինարարության</w:t>
            </w:r>
            <w:r w:rsidRPr="00D10D78">
              <w:rPr>
                <w:rFonts w:ascii="GHEA Grapalat" w:hAnsi="GHEA Grapalat"/>
                <w:sz w:val="24"/>
                <w:lang w:val="hy-AM"/>
              </w:rPr>
              <w:t xml:space="preserve"> </w:t>
            </w:r>
            <w:r>
              <w:rPr>
                <w:rFonts w:ascii="GHEA Grapalat" w:hAnsi="GHEA Grapalat"/>
                <w:sz w:val="24"/>
                <w:lang w:val="hy-AM"/>
              </w:rPr>
              <w:t>և նախագծման աշխատանքների իրականացման թույլտվություն:</w:t>
            </w:r>
          </w:p>
          <w:p w14:paraId="11E949BB" w14:textId="77777777" w:rsidR="00FC329E" w:rsidRDefault="00FC329E" w:rsidP="007641CB">
            <w:pPr>
              <w:spacing w:after="0" w:line="360" w:lineRule="auto"/>
              <w:jc w:val="both"/>
              <w:rPr>
                <w:rFonts w:ascii="GHEA Grapalat" w:hAnsi="GHEA Grapalat" w:cs="Sylfaen"/>
                <w:sz w:val="24"/>
                <w:szCs w:val="24"/>
                <w:lang w:val="hy-AM"/>
              </w:rPr>
            </w:pPr>
            <w:r>
              <w:rPr>
                <w:rFonts w:ascii="GHEA Grapalat" w:hAnsi="GHEA Grapalat"/>
                <w:sz w:val="24"/>
                <w:lang w:val="hy-AM"/>
              </w:rPr>
              <w:lastRenderedPageBreak/>
              <w:t xml:space="preserve">Կապալառուն </w:t>
            </w:r>
            <w:r>
              <w:rPr>
                <w:rFonts w:ascii="GHEA Grapalat" w:hAnsi="GHEA Grapalat" w:cs="Sylfaen"/>
                <w:sz w:val="24"/>
                <w:szCs w:val="24"/>
                <w:lang w:val="hy-AM"/>
              </w:rPr>
              <w:t>լայն փորձառություն ունի էներգետիկ օբյեկտների կառուցման, էլեկտրաէներգիայի հուսալիության բարձրացման և էներգահամակարգի զարգացման բնագավառում (կատարված աշխատանքների ցանկը կցվում է):</w:t>
            </w:r>
          </w:p>
          <w:p w14:paraId="1BBC52C4" w14:textId="3DBE4CA5" w:rsidR="00FC329E" w:rsidRPr="00252203" w:rsidRDefault="00FC329E" w:rsidP="007641CB">
            <w:pPr>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Վերջինս ՀՀ օրենսդրությամբ սահմանված կարգով ՀՀ-ում հիմնել է մասնաճյուղ և գործունեություն է ծավալում մասնաճյուղի միջոցով (ՀՀ ԱՆ իրավաբանական անձանց պետական միասնական գրանցամատյանի քաղվածքը կցվում է):</w:t>
            </w:r>
          </w:p>
        </w:tc>
      </w:tr>
      <w:tr w:rsidR="00FB55B6" w:rsidRPr="00252203" w14:paraId="0C151C3D" w14:textId="77777777" w:rsidTr="00765FA1">
        <w:tc>
          <w:tcPr>
            <w:tcW w:w="251" w:type="pct"/>
          </w:tcPr>
          <w:p w14:paraId="367625E4" w14:textId="77777777" w:rsidR="00FB55B6" w:rsidRPr="00252203" w:rsidRDefault="00FB55B6" w:rsidP="007641CB">
            <w:pPr>
              <w:spacing w:after="0" w:line="360" w:lineRule="auto"/>
              <w:jc w:val="center"/>
              <w:rPr>
                <w:rFonts w:ascii="GHEA Grapalat" w:hAnsi="GHEA Grapalat"/>
                <w:sz w:val="24"/>
                <w:szCs w:val="24"/>
                <w:lang w:val="hy-AM"/>
              </w:rPr>
            </w:pPr>
          </w:p>
        </w:tc>
        <w:tc>
          <w:tcPr>
            <w:tcW w:w="4749" w:type="pct"/>
          </w:tcPr>
          <w:p w14:paraId="6D987032" w14:textId="77777777" w:rsidR="00FB55B6" w:rsidRPr="00252203" w:rsidRDefault="00FB55B6" w:rsidP="007641CB">
            <w:pPr>
              <w:tabs>
                <w:tab w:val="left" w:pos="709"/>
                <w:tab w:val="left" w:pos="851"/>
                <w:tab w:val="left" w:pos="993"/>
              </w:tabs>
              <w:spacing w:after="0" w:line="360" w:lineRule="auto"/>
              <w:jc w:val="both"/>
              <w:rPr>
                <w:rFonts w:ascii="GHEA Grapalat" w:hAnsi="GHEA Grapalat"/>
                <w:b/>
                <w:sz w:val="24"/>
                <w:szCs w:val="24"/>
                <w:lang w:val="hy-AM"/>
              </w:rPr>
            </w:pPr>
            <w:r w:rsidRPr="00252203">
              <w:rPr>
                <w:rFonts w:ascii="GHEA Grapalat" w:hAnsi="GHEA Grapalat"/>
                <w:b/>
                <w:sz w:val="24"/>
                <w:szCs w:val="24"/>
                <w:lang w:val="hy-AM"/>
              </w:rPr>
              <w:t>Կարգավորման նպատակը</w:t>
            </w:r>
          </w:p>
        </w:tc>
      </w:tr>
      <w:tr w:rsidR="00FB55B6" w:rsidRPr="00252203" w14:paraId="0E6D2C43" w14:textId="77777777" w:rsidTr="00765FA1">
        <w:trPr>
          <w:trHeight w:val="564"/>
        </w:trPr>
        <w:tc>
          <w:tcPr>
            <w:tcW w:w="251" w:type="pct"/>
          </w:tcPr>
          <w:p w14:paraId="20E8FD32" w14:textId="77777777" w:rsidR="00FB55B6" w:rsidRPr="00252203" w:rsidRDefault="00FB55B6" w:rsidP="007641CB">
            <w:pPr>
              <w:spacing w:after="0" w:line="360" w:lineRule="auto"/>
              <w:rPr>
                <w:rFonts w:ascii="GHEA Grapalat" w:hAnsi="GHEA Grapalat"/>
                <w:sz w:val="24"/>
                <w:szCs w:val="24"/>
              </w:rPr>
            </w:pPr>
          </w:p>
        </w:tc>
        <w:tc>
          <w:tcPr>
            <w:tcW w:w="4749" w:type="pct"/>
          </w:tcPr>
          <w:p w14:paraId="25462103" w14:textId="2E0D16B1" w:rsidR="00FB55B6" w:rsidRPr="00252203" w:rsidRDefault="00FC329E" w:rsidP="007641CB">
            <w:pPr>
              <w:spacing w:after="0" w:line="360" w:lineRule="auto"/>
              <w:jc w:val="both"/>
              <w:rPr>
                <w:rFonts w:ascii="GHEA Grapalat" w:hAnsi="GHEA Grapalat" w:cs="Sylfaen"/>
                <w:sz w:val="24"/>
                <w:szCs w:val="24"/>
                <w:lang w:val="hy-AM"/>
              </w:rPr>
            </w:pPr>
            <w:r w:rsidRPr="008829EC">
              <w:rPr>
                <w:rFonts w:ascii="GHEA Grapalat" w:hAnsi="GHEA Grapalat"/>
                <w:sz w:val="24"/>
                <w:szCs w:val="24"/>
                <w:lang w:val="hy-AM"/>
              </w:rPr>
              <w:t>ՀՀ կառավարության</w:t>
            </w:r>
            <w:r>
              <w:rPr>
                <w:rFonts w:ascii="GHEA Grapalat" w:hAnsi="GHEA Grapalat"/>
                <w:sz w:val="24"/>
                <w:szCs w:val="24"/>
                <w:lang w:val="hy-AM"/>
              </w:rPr>
              <w:t xml:space="preserve"> սույն </w:t>
            </w:r>
            <w:r w:rsidRPr="008829EC">
              <w:rPr>
                <w:rFonts w:ascii="GHEA Grapalat" w:hAnsi="GHEA Grapalat"/>
                <w:sz w:val="24"/>
                <w:szCs w:val="24"/>
                <w:lang w:val="hy-AM"/>
              </w:rPr>
              <w:t xml:space="preserve">որոշման նախագծի </w:t>
            </w:r>
            <w:r w:rsidRPr="006A3FAF">
              <w:rPr>
                <w:rFonts w:ascii="GHEA Grapalat" w:hAnsi="GHEA Grapalat"/>
                <w:sz w:val="24"/>
                <w:szCs w:val="24"/>
                <w:lang w:val="hy-AM"/>
              </w:rPr>
              <w:t xml:space="preserve">ընդունմամբ առաջարկվում է Կապալառուին տրամադրել «Լիցենզավորման մասին» </w:t>
            </w:r>
            <w:r>
              <w:rPr>
                <w:rFonts w:ascii="GHEA Grapalat" w:hAnsi="GHEA Grapalat"/>
                <w:sz w:val="24"/>
                <w:szCs w:val="24"/>
                <w:lang w:val="hy-AM"/>
              </w:rPr>
              <w:t>ՀՀ</w:t>
            </w:r>
            <w:r w:rsidRPr="006A3FAF">
              <w:rPr>
                <w:rFonts w:ascii="GHEA Grapalat" w:hAnsi="GHEA Grapalat"/>
                <w:sz w:val="24"/>
                <w:szCs w:val="24"/>
                <w:lang w:val="hy-AM"/>
              </w:rPr>
              <w:t xml:space="preserve"> օրենքի 43-րդ հոդվածի 2-րդ մասի 17-րդ կետի </w:t>
            </w:r>
            <w:r>
              <w:rPr>
                <w:rFonts w:ascii="GHEA Grapalat" w:hAnsi="GHEA Grapalat"/>
                <w:sz w:val="24"/>
                <w:szCs w:val="24"/>
                <w:lang w:val="hy-AM"/>
              </w:rPr>
              <w:br/>
            </w:r>
            <w:r w:rsidRPr="006A3FAF">
              <w:rPr>
                <w:rFonts w:ascii="GHEA Grapalat" w:hAnsi="GHEA Grapalat"/>
                <w:sz w:val="24"/>
                <w:szCs w:val="24"/>
                <w:lang w:val="hy-AM"/>
              </w:rPr>
              <w:t>1-ին, 3-րդ, 5-րդ և</w:t>
            </w:r>
            <w:r>
              <w:rPr>
                <w:rFonts w:ascii="GHEA Grapalat" w:hAnsi="GHEA Grapalat"/>
                <w:sz w:val="24"/>
                <w:szCs w:val="24"/>
                <w:lang w:val="hy-AM"/>
              </w:rPr>
              <w:t xml:space="preserve"> </w:t>
            </w:r>
            <w:r w:rsidRPr="006A3FAF">
              <w:rPr>
                <w:rFonts w:ascii="GHEA Grapalat" w:hAnsi="GHEA Grapalat"/>
                <w:sz w:val="24"/>
                <w:szCs w:val="24"/>
                <w:lang w:val="hy-AM"/>
              </w:rPr>
              <w:t>6-րդ կետերով նախատեսված՝ քաղաքաշինական փաստաթղթերի ինժեներական բաժինների մշակման, շինարարության իրականացման, ինժեներական հետազննման ու շենքերի և շինությունների տեխնիկական վիճակի հետազննության գործունեության իրականացման թույլտվություն:</w:t>
            </w:r>
          </w:p>
        </w:tc>
      </w:tr>
      <w:tr w:rsidR="00FB55B6" w:rsidRPr="00765FA1" w14:paraId="7D2F8CF3" w14:textId="77777777" w:rsidTr="00765FA1">
        <w:tc>
          <w:tcPr>
            <w:tcW w:w="251" w:type="pct"/>
          </w:tcPr>
          <w:p w14:paraId="0D47B459" w14:textId="77777777" w:rsidR="00FB55B6" w:rsidRPr="00252203" w:rsidRDefault="00FB55B6" w:rsidP="007641CB">
            <w:pPr>
              <w:spacing w:after="0" w:line="360" w:lineRule="auto"/>
              <w:jc w:val="center"/>
              <w:rPr>
                <w:rFonts w:ascii="GHEA Grapalat" w:hAnsi="GHEA Grapalat"/>
                <w:sz w:val="24"/>
                <w:szCs w:val="24"/>
              </w:rPr>
            </w:pPr>
          </w:p>
        </w:tc>
        <w:tc>
          <w:tcPr>
            <w:tcW w:w="4749" w:type="pct"/>
          </w:tcPr>
          <w:p w14:paraId="12DE820B" w14:textId="77777777" w:rsidR="00FB55B6" w:rsidRPr="00252203" w:rsidRDefault="00FB55B6" w:rsidP="007641CB">
            <w:pPr>
              <w:pStyle w:val="NormalWeb"/>
              <w:tabs>
                <w:tab w:val="left" w:pos="284"/>
                <w:tab w:val="left" w:pos="851"/>
                <w:tab w:val="left" w:pos="993"/>
              </w:tabs>
              <w:spacing w:before="0" w:beforeAutospacing="0" w:after="0" w:afterAutospacing="0" w:line="360" w:lineRule="auto"/>
              <w:ind w:right="232"/>
              <w:jc w:val="both"/>
              <w:rPr>
                <w:rFonts w:ascii="GHEA Grapalat" w:hAnsi="GHEA Grapalat"/>
                <w:b/>
                <w:u w:val="single"/>
                <w:lang w:val="hy-AM" w:eastAsia="lt-LT"/>
              </w:rPr>
            </w:pPr>
            <w:r w:rsidRPr="00252203">
              <w:rPr>
                <w:rFonts w:ascii="GHEA Grapalat" w:hAnsi="GHEA Grapalat"/>
                <w:b/>
                <w:bCs/>
                <w:bdr w:val="none" w:sz="0" w:space="0" w:color="auto" w:frame="1"/>
                <w:shd w:val="clear" w:color="auto" w:fill="FFFFFF"/>
                <w:lang w:val="hy-AM" w:eastAsia="lt-LT"/>
              </w:rPr>
              <w:t xml:space="preserve"> Նախագծի մշակման գործընթացում ներգրավված</w:t>
            </w:r>
            <w:r w:rsidRPr="00252203">
              <w:rPr>
                <w:rFonts w:ascii="Calibri" w:hAnsi="Calibri" w:cs="Calibri"/>
                <w:shd w:val="clear" w:color="auto" w:fill="FFFFFF"/>
                <w:lang w:val="hy-AM" w:eastAsia="lt-LT"/>
              </w:rPr>
              <w:t> </w:t>
            </w:r>
            <w:r w:rsidRPr="00252203">
              <w:rPr>
                <w:rFonts w:ascii="GHEA Grapalat" w:hAnsi="GHEA Grapalat"/>
                <w:b/>
                <w:bCs/>
                <w:bdr w:val="none" w:sz="0" w:space="0" w:color="auto" w:frame="1"/>
                <w:shd w:val="clear" w:color="auto" w:fill="FFFFFF"/>
                <w:lang w:val="hy-AM" w:eastAsia="lt-LT"/>
              </w:rPr>
              <w:t>ինստիտուտները և անձինք</w:t>
            </w:r>
          </w:p>
        </w:tc>
      </w:tr>
      <w:tr w:rsidR="00FB55B6" w:rsidRPr="00252203" w14:paraId="29BE9C46" w14:textId="77777777" w:rsidTr="00765FA1">
        <w:tc>
          <w:tcPr>
            <w:tcW w:w="251" w:type="pct"/>
          </w:tcPr>
          <w:p w14:paraId="243F45E2" w14:textId="77777777" w:rsidR="00FB55B6" w:rsidRPr="00252203" w:rsidRDefault="00FB55B6" w:rsidP="007641CB">
            <w:pPr>
              <w:spacing w:after="0" w:line="360" w:lineRule="auto"/>
              <w:jc w:val="center"/>
              <w:rPr>
                <w:rFonts w:ascii="GHEA Grapalat" w:hAnsi="GHEA Grapalat"/>
                <w:sz w:val="24"/>
                <w:szCs w:val="24"/>
                <w:lang w:val="hy-AM"/>
              </w:rPr>
            </w:pPr>
          </w:p>
        </w:tc>
        <w:tc>
          <w:tcPr>
            <w:tcW w:w="4749" w:type="pct"/>
          </w:tcPr>
          <w:p w14:paraId="2A68AF77" w14:textId="54530D37" w:rsidR="00FB55B6" w:rsidRPr="00252203" w:rsidRDefault="008B5158" w:rsidP="007641CB">
            <w:pPr>
              <w:tabs>
                <w:tab w:val="left" w:pos="1830"/>
              </w:tabs>
              <w:spacing w:after="0" w:line="360" w:lineRule="auto"/>
              <w:jc w:val="both"/>
              <w:rPr>
                <w:rFonts w:ascii="GHEA Grapalat" w:hAnsi="GHEA Grapalat"/>
                <w:sz w:val="24"/>
                <w:szCs w:val="24"/>
                <w:lang w:val="hy-AM"/>
              </w:rPr>
            </w:pPr>
            <w:r w:rsidRPr="00252203">
              <w:rPr>
                <w:rFonts w:ascii="GHEA Grapalat" w:hAnsi="GHEA Grapalat"/>
                <w:sz w:val="24"/>
                <w:szCs w:val="24"/>
                <w:lang w:val="hy-AM"/>
              </w:rPr>
              <w:t>Տ</w:t>
            </w:r>
            <w:r w:rsidR="00FB55B6" w:rsidRPr="00252203">
              <w:rPr>
                <w:rFonts w:ascii="GHEA Grapalat" w:hAnsi="GHEA Grapalat"/>
                <w:sz w:val="24"/>
                <w:szCs w:val="24"/>
                <w:lang w:val="hy-AM"/>
              </w:rPr>
              <w:t>արածքային կառավարման և ենթակառուցվածքների նախարարություն,</w:t>
            </w:r>
          </w:p>
          <w:p w14:paraId="0D204332" w14:textId="77777777" w:rsidR="00FB55B6" w:rsidRPr="00252203" w:rsidRDefault="00FB55B6" w:rsidP="007641CB">
            <w:pPr>
              <w:spacing w:after="0" w:line="360" w:lineRule="auto"/>
              <w:jc w:val="both"/>
              <w:rPr>
                <w:rFonts w:ascii="GHEA Grapalat" w:hAnsi="GHEA Grapalat"/>
                <w:sz w:val="24"/>
                <w:szCs w:val="24"/>
              </w:rPr>
            </w:pPr>
            <w:r w:rsidRPr="00252203">
              <w:rPr>
                <w:rFonts w:ascii="GHEA Grapalat" w:hAnsi="GHEA Grapalat"/>
                <w:sz w:val="24"/>
                <w:szCs w:val="24"/>
              </w:rPr>
              <w:t xml:space="preserve">«Բարձրավոլտ էլեկտրացանցեր» </w:t>
            </w:r>
            <w:r w:rsidRPr="00252203">
              <w:rPr>
                <w:rFonts w:ascii="GHEA Grapalat" w:hAnsi="GHEA Grapalat"/>
                <w:sz w:val="24"/>
                <w:szCs w:val="24"/>
                <w:lang w:val="hy-AM"/>
              </w:rPr>
              <w:t>ՓԲԸ</w:t>
            </w:r>
          </w:p>
        </w:tc>
      </w:tr>
      <w:tr w:rsidR="00FB55B6" w:rsidRPr="00252203" w14:paraId="30EC1BEE" w14:textId="77777777" w:rsidTr="00765FA1">
        <w:tc>
          <w:tcPr>
            <w:tcW w:w="251" w:type="pct"/>
          </w:tcPr>
          <w:p w14:paraId="107DEB5F" w14:textId="77777777" w:rsidR="00FB55B6" w:rsidRPr="00252203" w:rsidRDefault="00FB55B6" w:rsidP="007641CB">
            <w:pPr>
              <w:spacing w:after="0" w:line="360" w:lineRule="auto"/>
              <w:jc w:val="center"/>
              <w:rPr>
                <w:rFonts w:ascii="GHEA Grapalat" w:hAnsi="GHEA Grapalat"/>
                <w:sz w:val="24"/>
                <w:szCs w:val="24"/>
              </w:rPr>
            </w:pPr>
          </w:p>
        </w:tc>
        <w:tc>
          <w:tcPr>
            <w:tcW w:w="4749" w:type="pct"/>
          </w:tcPr>
          <w:p w14:paraId="49BB48FE" w14:textId="77777777" w:rsidR="00FB55B6" w:rsidRPr="00252203" w:rsidRDefault="00FB55B6" w:rsidP="007641CB">
            <w:pPr>
              <w:spacing w:after="0" w:line="360" w:lineRule="auto"/>
              <w:jc w:val="both"/>
              <w:rPr>
                <w:rFonts w:ascii="GHEA Grapalat" w:hAnsi="GHEA Grapalat"/>
                <w:b/>
                <w:sz w:val="24"/>
                <w:szCs w:val="24"/>
              </w:rPr>
            </w:pPr>
            <w:r w:rsidRPr="00252203">
              <w:rPr>
                <w:rFonts w:ascii="GHEA Grapalat" w:hAnsi="GHEA Grapalat"/>
                <w:b/>
                <w:sz w:val="24"/>
                <w:szCs w:val="24"/>
              </w:rPr>
              <w:t>Ակնկալվող արդյունքը</w:t>
            </w:r>
          </w:p>
        </w:tc>
      </w:tr>
      <w:tr w:rsidR="00FC329E" w:rsidRPr="00252203" w14:paraId="32E448BB" w14:textId="77777777" w:rsidTr="00765FA1">
        <w:tc>
          <w:tcPr>
            <w:tcW w:w="251" w:type="pct"/>
          </w:tcPr>
          <w:p w14:paraId="6CF84343" w14:textId="77777777" w:rsidR="00FC329E" w:rsidRPr="00252203" w:rsidRDefault="00FC329E" w:rsidP="007641CB">
            <w:pPr>
              <w:spacing w:after="0" w:line="360" w:lineRule="auto"/>
              <w:jc w:val="center"/>
              <w:rPr>
                <w:rFonts w:ascii="GHEA Grapalat" w:hAnsi="GHEA Grapalat"/>
                <w:sz w:val="24"/>
                <w:szCs w:val="24"/>
              </w:rPr>
            </w:pPr>
          </w:p>
        </w:tc>
        <w:tc>
          <w:tcPr>
            <w:tcW w:w="4749" w:type="pct"/>
          </w:tcPr>
          <w:p w14:paraId="0B395E53" w14:textId="4A1D1895" w:rsidR="00FC329E" w:rsidRPr="00252203" w:rsidRDefault="00FC329E" w:rsidP="007641CB">
            <w:pPr>
              <w:spacing w:after="0" w:line="360" w:lineRule="auto"/>
              <w:jc w:val="both"/>
              <w:rPr>
                <w:rFonts w:ascii="GHEA Grapalat" w:hAnsi="GHEA Grapalat"/>
                <w:sz w:val="24"/>
                <w:szCs w:val="24"/>
              </w:rPr>
            </w:pPr>
            <w:r>
              <w:rPr>
                <w:rFonts w:ascii="GHEA Grapalat" w:hAnsi="GHEA Grapalat"/>
                <w:sz w:val="24"/>
                <w:lang w:val="hy-AM"/>
              </w:rPr>
              <w:t>Ընկերության 2</w:t>
            </w:r>
            <w:r w:rsidRPr="00AD7986">
              <w:rPr>
                <w:rFonts w:ascii="GHEA Grapalat" w:hAnsi="GHEA Grapalat"/>
                <w:sz w:val="24"/>
                <w:lang w:val="hy-AM"/>
              </w:rPr>
              <w:t>20/110/</w:t>
            </w:r>
            <w:r>
              <w:rPr>
                <w:rFonts w:ascii="GHEA Grapalat" w:hAnsi="GHEA Grapalat"/>
                <w:sz w:val="24"/>
                <w:lang w:val="hy-AM"/>
              </w:rPr>
              <w:t>10</w:t>
            </w:r>
            <w:r w:rsidRPr="00AD7986">
              <w:rPr>
                <w:rFonts w:ascii="GHEA Grapalat" w:hAnsi="GHEA Grapalat"/>
                <w:sz w:val="24"/>
                <w:lang w:val="hy-AM"/>
              </w:rPr>
              <w:t xml:space="preserve"> կՎ </w:t>
            </w:r>
            <w:r>
              <w:rPr>
                <w:rFonts w:ascii="GHEA Grapalat" w:hAnsi="GHEA Grapalat" w:cs="Sylfaen"/>
                <w:sz w:val="24"/>
                <w:szCs w:val="24"/>
                <w:lang w:val="hy-AM"/>
              </w:rPr>
              <w:t>«Զովունի»</w:t>
            </w:r>
            <w:r>
              <w:rPr>
                <w:rFonts w:ascii="GHEA Grapalat" w:hAnsi="GHEA Grapalat"/>
                <w:sz w:val="24"/>
                <w:lang w:val="hy-AM"/>
              </w:rPr>
              <w:t xml:space="preserve"> </w:t>
            </w:r>
            <w:r>
              <w:rPr>
                <w:rFonts w:ascii="GHEA Grapalat" w:hAnsi="GHEA Grapalat" w:cs="Sylfaen"/>
                <w:sz w:val="24"/>
                <w:szCs w:val="24"/>
                <w:lang w:val="hy-AM"/>
              </w:rPr>
              <w:t xml:space="preserve">ենթակայանի </w:t>
            </w:r>
            <w:r w:rsidRPr="00AD7986">
              <w:rPr>
                <w:rFonts w:ascii="GHEA Grapalat" w:hAnsi="GHEA Grapalat"/>
                <w:sz w:val="24"/>
                <w:lang w:val="hy-AM"/>
              </w:rPr>
              <w:t>վերակառուցման,</w:t>
            </w:r>
            <w:r>
              <w:rPr>
                <w:rFonts w:ascii="GHEA Grapalat" w:hAnsi="GHEA Grapalat"/>
                <w:sz w:val="24"/>
                <w:lang w:val="hy-AM"/>
              </w:rPr>
              <w:t xml:space="preserve"> </w:t>
            </w:r>
            <w:r w:rsidRPr="00AD7986">
              <w:rPr>
                <w:rFonts w:ascii="GHEA Grapalat" w:hAnsi="GHEA Grapalat"/>
                <w:sz w:val="24"/>
                <w:lang w:val="hy-AM"/>
              </w:rPr>
              <w:t xml:space="preserve">նախագծման, մատակարարման և տեղակայման </w:t>
            </w:r>
            <w:r>
              <w:rPr>
                <w:rFonts w:ascii="GHEA Grapalat" w:hAnsi="GHEA Grapalat"/>
                <w:sz w:val="24"/>
                <w:lang w:val="hy-AM"/>
              </w:rPr>
              <w:t>աշխատանքների պատշաճ իրականացում:</w:t>
            </w:r>
          </w:p>
        </w:tc>
      </w:tr>
      <w:tr w:rsidR="00FC329E" w:rsidRPr="00252203" w14:paraId="4247B163" w14:textId="77777777" w:rsidTr="00765FA1">
        <w:tc>
          <w:tcPr>
            <w:tcW w:w="251" w:type="pct"/>
          </w:tcPr>
          <w:p w14:paraId="7AC6F8B5" w14:textId="77777777" w:rsidR="00FC329E" w:rsidRPr="00252203" w:rsidRDefault="00FC329E" w:rsidP="007641CB">
            <w:pPr>
              <w:spacing w:after="0" w:line="360" w:lineRule="auto"/>
              <w:jc w:val="center"/>
              <w:rPr>
                <w:rFonts w:ascii="GHEA Grapalat" w:hAnsi="GHEA Grapalat"/>
                <w:sz w:val="24"/>
                <w:szCs w:val="24"/>
              </w:rPr>
            </w:pPr>
          </w:p>
        </w:tc>
        <w:tc>
          <w:tcPr>
            <w:tcW w:w="4749" w:type="pct"/>
          </w:tcPr>
          <w:p w14:paraId="3E404299" w14:textId="77777777" w:rsidR="00FC329E" w:rsidRPr="00252203" w:rsidRDefault="00FC329E" w:rsidP="007641CB">
            <w:pPr>
              <w:spacing w:after="0" w:line="360" w:lineRule="auto"/>
              <w:jc w:val="both"/>
              <w:rPr>
                <w:rFonts w:ascii="GHEA Grapalat" w:hAnsi="GHEA Grapalat"/>
                <w:b/>
                <w:sz w:val="24"/>
                <w:szCs w:val="24"/>
              </w:rPr>
            </w:pPr>
            <w:r w:rsidRPr="00252203">
              <w:rPr>
                <w:rFonts w:ascii="GHEA Grapalat" w:hAnsi="GHEA Grapalat"/>
                <w:b/>
                <w:sz w:val="24"/>
                <w:szCs w:val="24"/>
              </w:rPr>
              <w:t xml:space="preserve">Տեղեկատվություն </w:t>
            </w:r>
            <w:r w:rsidRPr="00252203">
              <w:rPr>
                <w:rFonts w:ascii="GHEA Grapalat" w:hAnsi="GHEA Grapalat"/>
                <w:b/>
                <w:color w:val="000000"/>
                <w:sz w:val="24"/>
                <w:szCs w:val="24"/>
              </w:rPr>
              <w:t xml:space="preserve">լրացուցիչ ֆինանսական միջոցների անհրաժեշտության, </w:t>
            </w:r>
            <w:r w:rsidRPr="00252203">
              <w:rPr>
                <w:rFonts w:ascii="GHEA Grapalat" w:hAnsi="GHEA Grapalat"/>
                <w:b/>
                <w:color w:val="000000"/>
                <w:sz w:val="24"/>
                <w:szCs w:val="24"/>
                <w:lang w:val="hy-AM"/>
              </w:rPr>
              <w:t>պետական բյուջեում եկամուտներ</w:t>
            </w:r>
            <w:r w:rsidRPr="00252203">
              <w:rPr>
                <w:rFonts w:ascii="GHEA Grapalat" w:hAnsi="GHEA Grapalat"/>
                <w:b/>
                <w:color w:val="000000"/>
                <w:sz w:val="24"/>
                <w:szCs w:val="24"/>
              </w:rPr>
              <w:t>ում</w:t>
            </w:r>
            <w:r w:rsidRPr="00252203">
              <w:rPr>
                <w:rFonts w:ascii="GHEA Grapalat" w:hAnsi="GHEA Grapalat"/>
                <w:b/>
                <w:color w:val="000000"/>
                <w:sz w:val="24"/>
                <w:szCs w:val="24"/>
                <w:lang w:val="hy-AM"/>
              </w:rPr>
              <w:t xml:space="preserve"> և ծախսեր</w:t>
            </w:r>
            <w:r w:rsidRPr="00252203">
              <w:rPr>
                <w:rFonts w:ascii="GHEA Grapalat" w:hAnsi="GHEA Grapalat"/>
                <w:b/>
                <w:color w:val="000000"/>
                <w:sz w:val="24"/>
                <w:szCs w:val="24"/>
              </w:rPr>
              <w:t>ում</w:t>
            </w:r>
            <w:r w:rsidRPr="00252203">
              <w:rPr>
                <w:rFonts w:ascii="GHEA Grapalat" w:hAnsi="GHEA Grapalat"/>
                <w:b/>
                <w:color w:val="000000"/>
                <w:sz w:val="24"/>
                <w:szCs w:val="24"/>
                <w:lang w:val="hy-AM"/>
              </w:rPr>
              <w:t xml:space="preserve"> </w:t>
            </w:r>
            <w:r w:rsidRPr="00252203">
              <w:rPr>
                <w:rFonts w:ascii="GHEA Grapalat" w:hAnsi="GHEA Grapalat"/>
                <w:b/>
                <w:color w:val="000000"/>
                <w:sz w:val="24"/>
                <w:szCs w:val="24"/>
              </w:rPr>
              <w:t>սպասվելիք փոփոխությունների մասին</w:t>
            </w:r>
          </w:p>
        </w:tc>
      </w:tr>
      <w:tr w:rsidR="00FC329E" w:rsidRPr="00252203" w14:paraId="6AE95751" w14:textId="77777777" w:rsidTr="00765FA1">
        <w:tc>
          <w:tcPr>
            <w:tcW w:w="251" w:type="pct"/>
          </w:tcPr>
          <w:p w14:paraId="536CF995" w14:textId="77777777" w:rsidR="00FC329E" w:rsidRPr="00252203" w:rsidRDefault="00FC329E" w:rsidP="007641CB">
            <w:pPr>
              <w:spacing w:after="0" w:line="360" w:lineRule="auto"/>
              <w:rPr>
                <w:rFonts w:ascii="GHEA Grapalat" w:hAnsi="GHEA Grapalat"/>
                <w:sz w:val="24"/>
                <w:szCs w:val="24"/>
              </w:rPr>
            </w:pPr>
          </w:p>
        </w:tc>
        <w:tc>
          <w:tcPr>
            <w:tcW w:w="4749" w:type="pct"/>
          </w:tcPr>
          <w:p w14:paraId="16AFA212" w14:textId="3CD02324" w:rsidR="00FC329E" w:rsidRPr="00252203" w:rsidRDefault="00FC329E" w:rsidP="007641CB">
            <w:pPr>
              <w:tabs>
                <w:tab w:val="left" w:pos="567"/>
              </w:tabs>
              <w:spacing w:after="0" w:line="360" w:lineRule="auto"/>
              <w:jc w:val="both"/>
              <w:rPr>
                <w:rFonts w:ascii="GHEA Grapalat" w:hAnsi="GHEA Grapalat"/>
                <w:sz w:val="24"/>
                <w:szCs w:val="24"/>
                <w:lang w:val="af-ZA"/>
              </w:rPr>
            </w:pPr>
            <w:r w:rsidRPr="00055E64">
              <w:rPr>
                <w:rFonts w:ascii="GHEA Grapalat" w:hAnsi="GHEA Grapalat"/>
                <w:sz w:val="24"/>
                <w:lang w:val="af-ZA"/>
              </w:rPr>
              <w:t xml:space="preserve">«Չայնա Նեշնլ Էլեքթրիք Ինջենիիրինգ ընկերություն» սահմանափակ պատասխանատվությամբ ընկերությանը լիցենզավորման ենթակա գործունեության որոշ տեսակների իրականացման թույլտվություն տրամադրելու մասին» </w:t>
            </w:r>
            <w:r w:rsidRPr="00252203">
              <w:rPr>
                <w:rFonts w:ascii="GHEA Grapalat" w:hAnsi="GHEA Grapalat"/>
                <w:color w:val="000000"/>
                <w:sz w:val="24"/>
                <w:szCs w:val="24"/>
                <w:lang w:val="hy-AM"/>
              </w:rPr>
              <w:t>Հայաստանի Հանրապետության</w:t>
            </w:r>
            <w:r w:rsidRPr="00252203">
              <w:rPr>
                <w:rFonts w:ascii="GHEA Grapalat" w:hAnsi="GHEA Grapalat"/>
                <w:sz w:val="24"/>
                <w:szCs w:val="24"/>
                <w:lang w:val="hy-AM"/>
              </w:rPr>
              <w:t xml:space="preserve"> կառավարության որոշման նախագծի </w:t>
            </w:r>
            <w:r w:rsidRPr="00252203">
              <w:rPr>
                <w:rFonts w:ascii="GHEA Grapalat" w:hAnsi="GHEA Grapalat" w:cs="Sylfaen"/>
                <w:sz w:val="24"/>
                <w:szCs w:val="24"/>
                <w:lang w:val="hy-AM"/>
              </w:rPr>
              <w:t>ընդունմա</w:t>
            </w:r>
            <w:r w:rsidRPr="00252203">
              <w:rPr>
                <w:rFonts w:ascii="GHEA Grapalat" w:hAnsi="GHEA Grapalat" w:cs="Sylfaen"/>
                <w:sz w:val="24"/>
                <w:szCs w:val="24"/>
              </w:rPr>
              <w:t>մբ լրացուցիչ ֆինանսական միջոցների անհրաժեշտություն չի առաջանում,</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պետական</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բյուջեում</w:t>
            </w:r>
            <w:r w:rsidRPr="00252203" w:rsidDel="00752C7F">
              <w:rPr>
                <w:rFonts w:ascii="GHEA Grapalat" w:hAnsi="GHEA Grapalat" w:cs="Sylfaen"/>
                <w:sz w:val="24"/>
                <w:szCs w:val="24"/>
                <w:lang w:val="hy-AM"/>
              </w:rPr>
              <w:t xml:space="preserve"> </w:t>
            </w:r>
            <w:r w:rsidRPr="00252203">
              <w:rPr>
                <w:rFonts w:ascii="GHEA Grapalat" w:hAnsi="GHEA Grapalat" w:cs="Sylfaen"/>
                <w:sz w:val="24"/>
                <w:szCs w:val="24"/>
                <w:lang w:val="hy-AM"/>
              </w:rPr>
              <w:t>եկամուտների</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և ծախսերի ավելացում</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կամ</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նվազեցում</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չի</w:t>
            </w:r>
            <w:r w:rsidRPr="00252203">
              <w:rPr>
                <w:rFonts w:ascii="GHEA Grapalat" w:hAnsi="GHEA Grapalat" w:cs="Sylfaen"/>
                <w:sz w:val="24"/>
                <w:szCs w:val="24"/>
                <w:lang w:val="af-ZA"/>
              </w:rPr>
              <w:t xml:space="preserve"> </w:t>
            </w:r>
            <w:r w:rsidRPr="00252203">
              <w:rPr>
                <w:rFonts w:ascii="GHEA Grapalat" w:hAnsi="GHEA Grapalat" w:cs="Sylfaen"/>
                <w:sz w:val="24"/>
                <w:szCs w:val="24"/>
                <w:lang w:val="hy-AM"/>
              </w:rPr>
              <w:t>նախատեսվում</w:t>
            </w:r>
            <w:r w:rsidRPr="00252203">
              <w:rPr>
                <w:rFonts w:ascii="GHEA Grapalat" w:hAnsi="GHEA Grapalat" w:cs="Sylfaen"/>
                <w:sz w:val="24"/>
                <w:szCs w:val="24"/>
                <w:lang w:val="af-ZA"/>
              </w:rPr>
              <w:t>:</w:t>
            </w:r>
          </w:p>
        </w:tc>
      </w:tr>
      <w:tr w:rsidR="00FC329E" w:rsidRPr="00765FA1" w14:paraId="1BC2EA9D" w14:textId="77777777" w:rsidTr="00765FA1">
        <w:tc>
          <w:tcPr>
            <w:tcW w:w="251" w:type="pct"/>
          </w:tcPr>
          <w:p w14:paraId="14C7A2E8" w14:textId="77777777" w:rsidR="00FC329E" w:rsidRPr="00252203" w:rsidRDefault="00FC329E" w:rsidP="007641CB">
            <w:pPr>
              <w:spacing w:after="0" w:line="360" w:lineRule="auto"/>
              <w:rPr>
                <w:rFonts w:ascii="GHEA Grapalat" w:hAnsi="GHEA Grapalat"/>
                <w:sz w:val="24"/>
                <w:szCs w:val="24"/>
                <w:lang w:val="hy-AM"/>
              </w:rPr>
            </w:pPr>
          </w:p>
        </w:tc>
        <w:tc>
          <w:tcPr>
            <w:tcW w:w="4749" w:type="pct"/>
          </w:tcPr>
          <w:p w14:paraId="49C16816" w14:textId="77777777" w:rsidR="00FC329E" w:rsidRPr="00252203" w:rsidRDefault="00FC329E" w:rsidP="007641CB">
            <w:pPr>
              <w:spacing w:after="0" w:line="360" w:lineRule="auto"/>
              <w:rPr>
                <w:rFonts w:ascii="GHEA Grapalat" w:hAnsi="GHEA Grapalat" w:cs="Sylfaen"/>
                <w:b/>
                <w:color w:val="000000"/>
                <w:sz w:val="24"/>
                <w:szCs w:val="24"/>
                <w:lang w:val="hy-AM"/>
              </w:rPr>
            </w:pPr>
            <w:r w:rsidRPr="00252203">
              <w:rPr>
                <w:rFonts w:ascii="GHEA Grapalat" w:hAnsi="GHEA Grapalat" w:cs="Sylfaen"/>
                <w:b/>
                <w:color w:val="000000"/>
                <w:sz w:val="24"/>
                <w:szCs w:val="24"/>
                <w:lang w:val="hy-AM"/>
              </w:rPr>
              <w:t>Նախագծի կապը ռազմավարական փաստաթղթերի հետ.</w:t>
            </w:r>
            <w:r w:rsidRPr="00252203">
              <w:rPr>
                <w:rFonts w:ascii="GHEA Grapalat" w:hAnsi="GHEA Grapalat"/>
                <w:color w:val="000000"/>
                <w:sz w:val="24"/>
                <w:szCs w:val="24"/>
                <w:lang w:val="hy-AM"/>
              </w:rPr>
              <w:t xml:space="preserve"> </w:t>
            </w:r>
            <w:r w:rsidRPr="00252203">
              <w:rPr>
                <w:rFonts w:ascii="GHEA Grapalat" w:hAnsi="GHEA Grapalat"/>
                <w:b/>
                <w:color w:val="000000"/>
                <w:sz w:val="24"/>
                <w:szCs w:val="24"/>
                <w:lang w:val="hy-AM"/>
              </w:rPr>
              <w:t>Հայաստանի վերափոխման ռազմավարություն 2050, Կառավարության 2021-2026թթ. ծրագիր, ոլորտային և/կամ այլ ռազմավարություններ</w:t>
            </w:r>
          </w:p>
        </w:tc>
      </w:tr>
      <w:tr w:rsidR="00FC329E" w:rsidRPr="00765FA1" w14:paraId="1F87D00B" w14:textId="77777777" w:rsidTr="00765FA1">
        <w:tc>
          <w:tcPr>
            <w:tcW w:w="251" w:type="pct"/>
          </w:tcPr>
          <w:p w14:paraId="1FAF3B9D" w14:textId="77777777" w:rsidR="00FC329E" w:rsidRPr="00252203" w:rsidRDefault="00FC329E" w:rsidP="007641CB">
            <w:pPr>
              <w:spacing w:after="0" w:line="360" w:lineRule="auto"/>
              <w:jc w:val="center"/>
              <w:rPr>
                <w:rFonts w:ascii="GHEA Grapalat" w:hAnsi="GHEA Grapalat"/>
                <w:sz w:val="24"/>
                <w:szCs w:val="24"/>
                <w:lang w:val="hy-AM"/>
              </w:rPr>
            </w:pPr>
          </w:p>
        </w:tc>
        <w:tc>
          <w:tcPr>
            <w:tcW w:w="4749" w:type="pct"/>
          </w:tcPr>
          <w:p w14:paraId="208EC0D1" w14:textId="0FBA4787" w:rsidR="00FC329E" w:rsidRPr="00252203" w:rsidRDefault="00FC329E" w:rsidP="007641CB">
            <w:pPr>
              <w:spacing w:after="0" w:line="360" w:lineRule="auto"/>
              <w:jc w:val="both"/>
              <w:rPr>
                <w:rFonts w:ascii="GHEA Grapalat" w:hAnsi="GHEA Grapalat" w:cs="Sylfaen"/>
                <w:b/>
                <w:color w:val="000000"/>
                <w:sz w:val="24"/>
                <w:szCs w:val="24"/>
                <w:lang w:val="hy-AM"/>
              </w:rPr>
            </w:pPr>
            <w:r w:rsidRPr="00055E64">
              <w:rPr>
                <w:rFonts w:ascii="GHEA Grapalat" w:hAnsi="GHEA Grapalat"/>
                <w:sz w:val="24"/>
                <w:lang w:val="af-ZA"/>
              </w:rPr>
              <w:t xml:space="preserve">«Չայնա Նեշնլ Էլեքթրիք Ինջենիիրինգ ընկերություն» սահմանափակ պատասխանատվությամբ ընկերությանը լիցենզավորման ենթակա գործունեության որոշ տեսակների իրականացման թույլտվություն տրամադրելու մասին» </w:t>
            </w:r>
            <w:r w:rsidRPr="00252203">
              <w:rPr>
                <w:rFonts w:ascii="GHEA Grapalat" w:hAnsi="GHEA Grapalat"/>
                <w:color w:val="000000"/>
                <w:sz w:val="24"/>
                <w:szCs w:val="24"/>
                <w:lang w:val="hy-AM"/>
              </w:rPr>
              <w:t>Հայաստանի Հանրապետության կառավարության որոշման նախագիծը</w:t>
            </w:r>
            <w:r w:rsidR="005A5FD5">
              <w:rPr>
                <w:rFonts w:ascii="GHEA Grapalat" w:hAnsi="GHEA Grapalat"/>
                <w:color w:val="000000"/>
                <w:sz w:val="24"/>
                <w:szCs w:val="24"/>
                <w:lang w:val="hy-AM"/>
              </w:rPr>
              <w:t xml:space="preserve"> </w:t>
            </w:r>
            <w:r w:rsidRPr="00252203">
              <w:rPr>
                <w:rFonts w:ascii="GHEA Grapalat" w:hAnsi="GHEA Grapalat"/>
                <w:color w:val="000000"/>
                <w:sz w:val="24"/>
                <w:szCs w:val="24"/>
                <w:lang w:val="hy-AM"/>
              </w:rPr>
              <w:t xml:space="preserve">չի բխում Հայաստանի վերափոխման ռազմավարություն 2050, Կառավարության 2021-2026թթ. ծրագիր, </w:t>
            </w:r>
            <w:r w:rsidRPr="00252203">
              <w:rPr>
                <w:rFonts w:ascii="GHEA Grapalat" w:eastAsia="Times New Roman" w:hAnsi="GHEA Grapalat" w:cs="Sylfaen"/>
                <w:bCs/>
                <w:color w:val="000000"/>
                <w:sz w:val="24"/>
                <w:szCs w:val="24"/>
                <w:lang w:val="hy-AM" w:eastAsia="ru-RU"/>
              </w:rPr>
              <w:t>Հայաստանի Հանրապետության էներգետիկայի բնագավառի զարգացման ռազմավարական ծրա</w:t>
            </w:r>
            <w:r w:rsidR="00BA51D7">
              <w:rPr>
                <w:rFonts w:ascii="GHEA Grapalat" w:eastAsia="Times New Roman" w:hAnsi="GHEA Grapalat" w:cs="Sylfaen"/>
                <w:bCs/>
                <w:color w:val="000000"/>
                <w:sz w:val="24"/>
                <w:szCs w:val="24"/>
                <w:lang w:val="hy-AM" w:eastAsia="ru-RU"/>
              </w:rPr>
              <w:t xml:space="preserve">գիր մինչև 2040 թվականը և այլ </w:t>
            </w:r>
            <w:r w:rsidRPr="00252203">
              <w:rPr>
                <w:rFonts w:ascii="GHEA Grapalat" w:eastAsia="Times New Roman" w:hAnsi="GHEA Grapalat" w:cs="Sylfaen"/>
                <w:bCs/>
                <w:color w:val="000000"/>
                <w:sz w:val="24"/>
                <w:szCs w:val="24"/>
                <w:lang w:val="hy-AM" w:eastAsia="ru-RU"/>
              </w:rPr>
              <w:t>ռազմավարական փաստաթղթերից:</w:t>
            </w:r>
          </w:p>
        </w:tc>
      </w:tr>
    </w:tbl>
    <w:p w14:paraId="05F4F3CC" w14:textId="2D8E8C90" w:rsidR="00527C89" w:rsidRDefault="00527C89" w:rsidP="00527C89">
      <w:pPr>
        <w:rPr>
          <w:rFonts w:ascii="GHEA Grapalat" w:hAnsi="GHEA Grapalat"/>
          <w:sz w:val="24"/>
          <w:szCs w:val="24"/>
          <w:lang w:val="hy-AM"/>
        </w:rPr>
      </w:pPr>
    </w:p>
    <w:p w14:paraId="01F888D5" w14:textId="6C827ED5" w:rsidR="00765FA1" w:rsidRPr="00765FA1" w:rsidRDefault="00765FA1" w:rsidP="00765FA1">
      <w:pPr>
        <w:rPr>
          <w:rFonts w:ascii="GHEA Grapalat" w:hAnsi="GHEA Grapalat"/>
          <w:sz w:val="24"/>
          <w:szCs w:val="24"/>
          <w:lang w:val="hy-AM"/>
        </w:rPr>
      </w:pPr>
    </w:p>
    <w:p w14:paraId="1B3C4768" w14:textId="77777777" w:rsidR="00765FA1" w:rsidRPr="00765FA1" w:rsidRDefault="00765FA1" w:rsidP="00765FA1">
      <w:pPr>
        <w:rPr>
          <w:rFonts w:ascii="GHEA Grapalat" w:hAnsi="GHEA Grapalat"/>
          <w:sz w:val="24"/>
          <w:szCs w:val="24"/>
          <w:lang w:val="hy-AM"/>
        </w:rPr>
      </w:pPr>
    </w:p>
    <w:p w14:paraId="0561BD97" w14:textId="77777777" w:rsidR="00765FA1" w:rsidRPr="00765FA1" w:rsidRDefault="00765FA1" w:rsidP="00765FA1">
      <w:pPr>
        <w:rPr>
          <w:rFonts w:ascii="GHEA Grapalat" w:hAnsi="GHEA Grapalat"/>
          <w:sz w:val="24"/>
          <w:szCs w:val="24"/>
          <w:lang w:val="hy-AM"/>
        </w:rPr>
      </w:pPr>
    </w:p>
    <w:p w14:paraId="18D60CC3" w14:textId="77777777" w:rsidR="00765FA1" w:rsidRPr="00765FA1" w:rsidRDefault="00765FA1" w:rsidP="00765FA1">
      <w:pPr>
        <w:rPr>
          <w:rFonts w:ascii="GHEA Grapalat" w:hAnsi="GHEA Grapalat"/>
          <w:sz w:val="24"/>
          <w:szCs w:val="24"/>
          <w:lang w:val="hy-AM"/>
        </w:rPr>
      </w:pPr>
    </w:p>
    <w:p w14:paraId="30C23502" w14:textId="77777777" w:rsidR="00765FA1" w:rsidRPr="00765FA1" w:rsidRDefault="00765FA1" w:rsidP="00765FA1">
      <w:pPr>
        <w:rPr>
          <w:rFonts w:ascii="GHEA Grapalat" w:hAnsi="GHEA Grapalat"/>
          <w:sz w:val="24"/>
          <w:szCs w:val="24"/>
          <w:lang w:val="hy-AM"/>
        </w:rPr>
      </w:pPr>
    </w:p>
    <w:p w14:paraId="4DE3AC04" w14:textId="25785B94" w:rsidR="00765FA1" w:rsidRDefault="00765FA1" w:rsidP="00765FA1">
      <w:pPr>
        <w:rPr>
          <w:rFonts w:ascii="GHEA Grapalat" w:hAnsi="GHEA Grapalat"/>
          <w:sz w:val="24"/>
          <w:szCs w:val="24"/>
          <w:lang w:val="hy-AM"/>
        </w:rPr>
      </w:pPr>
    </w:p>
    <w:p w14:paraId="155E0C0B" w14:textId="5400BC37" w:rsidR="00C01A99" w:rsidRPr="00765FA1" w:rsidRDefault="00765FA1" w:rsidP="00765FA1">
      <w:pPr>
        <w:tabs>
          <w:tab w:val="left" w:pos="3720"/>
        </w:tabs>
        <w:rPr>
          <w:rFonts w:ascii="GHEA Grapalat" w:hAnsi="GHEA Grapalat"/>
          <w:sz w:val="24"/>
          <w:szCs w:val="24"/>
          <w:lang w:val="hy-AM"/>
        </w:rPr>
      </w:pPr>
      <w:r>
        <w:rPr>
          <w:rFonts w:ascii="GHEA Grapalat" w:hAnsi="GHEA Grapalat"/>
          <w:sz w:val="24"/>
          <w:szCs w:val="24"/>
          <w:lang w:val="hy-AM"/>
        </w:rPr>
        <w:tab/>
      </w:r>
    </w:p>
    <w:sectPr w:rsidR="00C01A99" w:rsidRPr="00765FA1" w:rsidSect="00765FA1">
      <w:pgSz w:w="11906" w:h="16838"/>
      <w:pgMar w:top="851" w:right="540"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131A9" w14:textId="77777777" w:rsidR="008C3ED0" w:rsidRDefault="008C3ED0" w:rsidP="00983F85">
      <w:pPr>
        <w:spacing w:after="0" w:line="240" w:lineRule="auto"/>
      </w:pPr>
      <w:r>
        <w:separator/>
      </w:r>
    </w:p>
  </w:endnote>
  <w:endnote w:type="continuationSeparator" w:id="0">
    <w:p w14:paraId="0F69F17E" w14:textId="77777777" w:rsidR="008C3ED0" w:rsidRDefault="008C3ED0" w:rsidP="0098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TarumianTimes">
    <w:altName w:val="Cambria"/>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2537C" w14:textId="77777777" w:rsidR="008C3ED0" w:rsidRDefault="008C3ED0" w:rsidP="00983F85">
      <w:pPr>
        <w:spacing w:after="0" w:line="240" w:lineRule="auto"/>
      </w:pPr>
      <w:r>
        <w:separator/>
      </w:r>
    </w:p>
  </w:footnote>
  <w:footnote w:type="continuationSeparator" w:id="0">
    <w:p w14:paraId="19C3AC89" w14:textId="77777777" w:rsidR="008C3ED0" w:rsidRDefault="008C3ED0" w:rsidP="00983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BDF"/>
    <w:multiLevelType w:val="multilevel"/>
    <w:tmpl w:val="9432D21A"/>
    <w:lvl w:ilvl="0">
      <w:start w:val="1"/>
      <w:numFmt w:val="decimal"/>
      <w:lvlText w:val="%1."/>
      <w:lvlJc w:val="left"/>
      <w:pPr>
        <w:ind w:left="1778" w:hanging="360"/>
      </w:pPr>
    </w:lvl>
    <w:lvl w:ilvl="1">
      <w:start w:val="1"/>
      <w:numFmt w:val="lowerLetter"/>
      <w:lvlText w:val="%2)"/>
      <w:lvlJc w:val="left"/>
      <w:pPr>
        <w:ind w:left="2988" w:hanging="360"/>
      </w:pPr>
    </w:lvl>
    <w:lvl w:ilvl="2">
      <w:start w:val="1"/>
      <w:numFmt w:val="lowerRoman"/>
      <w:lvlText w:val="%3)"/>
      <w:lvlJc w:val="left"/>
      <w:pPr>
        <w:ind w:left="3348" w:hanging="360"/>
      </w:pPr>
    </w:lvl>
    <w:lvl w:ilvl="3">
      <w:start w:val="1"/>
      <w:numFmt w:val="decimal"/>
      <w:lvlText w:val="(%4)"/>
      <w:lvlJc w:val="left"/>
      <w:pPr>
        <w:ind w:left="3708" w:hanging="360"/>
      </w:pPr>
    </w:lvl>
    <w:lvl w:ilvl="4">
      <w:start w:val="1"/>
      <w:numFmt w:val="lowerLetter"/>
      <w:lvlText w:val="(%5)"/>
      <w:lvlJc w:val="left"/>
      <w:pPr>
        <w:ind w:left="4068" w:hanging="360"/>
      </w:pPr>
    </w:lvl>
    <w:lvl w:ilvl="5">
      <w:start w:val="1"/>
      <w:numFmt w:val="lowerRoman"/>
      <w:lvlText w:val="(%6)"/>
      <w:lvlJc w:val="left"/>
      <w:pPr>
        <w:ind w:left="4428" w:hanging="360"/>
      </w:pPr>
    </w:lvl>
    <w:lvl w:ilvl="6">
      <w:start w:val="1"/>
      <w:numFmt w:val="decimal"/>
      <w:lvlText w:val="%7."/>
      <w:lvlJc w:val="left"/>
      <w:pPr>
        <w:ind w:left="4788" w:hanging="360"/>
      </w:pPr>
    </w:lvl>
    <w:lvl w:ilvl="7">
      <w:start w:val="1"/>
      <w:numFmt w:val="lowerLetter"/>
      <w:lvlText w:val="%8."/>
      <w:lvlJc w:val="left"/>
      <w:pPr>
        <w:ind w:left="5148" w:hanging="360"/>
      </w:pPr>
    </w:lvl>
    <w:lvl w:ilvl="8">
      <w:start w:val="1"/>
      <w:numFmt w:val="lowerRoman"/>
      <w:lvlText w:val="%9."/>
      <w:lvlJc w:val="left"/>
      <w:pPr>
        <w:ind w:left="5508" w:hanging="360"/>
      </w:pPr>
    </w:lvl>
  </w:abstractNum>
  <w:abstractNum w:abstractNumId="1" w15:restartNumberingAfterBreak="0">
    <w:nsid w:val="40F37B90"/>
    <w:multiLevelType w:val="hybridMultilevel"/>
    <w:tmpl w:val="05504392"/>
    <w:lvl w:ilvl="0" w:tplc="0419000D">
      <w:start w:val="1"/>
      <w:numFmt w:val="bullet"/>
      <w:lvlText w:val=""/>
      <w:lvlJc w:val="left"/>
      <w:pPr>
        <w:tabs>
          <w:tab w:val="num" w:pos="720"/>
        </w:tabs>
        <w:ind w:left="720" w:hanging="360"/>
      </w:pPr>
      <w:rPr>
        <w:rFonts w:ascii="Wingdings" w:hAnsi="Wingdings" w:hint="default"/>
      </w:rPr>
    </w:lvl>
    <w:lvl w:ilvl="1" w:tplc="549EA454" w:tentative="1">
      <w:start w:val="1"/>
      <w:numFmt w:val="bullet"/>
      <w:lvlText w:val="•"/>
      <w:lvlJc w:val="left"/>
      <w:pPr>
        <w:tabs>
          <w:tab w:val="num" w:pos="1440"/>
        </w:tabs>
        <w:ind w:left="1440" w:hanging="360"/>
      </w:pPr>
      <w:rPr>
        <w:rFonts w:ascii="Arial" w:hAnsi="Arial" w:hint="default"/>
      </w:rPr>
    </w:lvl>
    <w:lvl w:ilvl="2" w:tplc="B622C008" w:tentative="1">
      <w:start w:val="1"/>
      <w:numFmt w:val="bullet"/>
      <w:lvlText w:val="•"/>
      <w:lvlJc w:val="left"/>
      <w:pPr>
        <w:tabs>
          <w:tab w:val="num" w:pos="2160"/>
        </w:tabs>
        <w:ind w:left="2160" w:hanging="360"/>
      </w:pPr>
      <w:rPr>
        <w:rFonts w:ascii="Arial" w:hAnsi="Arial" w:hint="default"/>
      </w:rPr>
    </w:lvl>
    <w:lvl w:ilvl="3" w:tplc="A4BE86BE" w:tentative="1">
      <w:start w:val="1"/>
      <w:numFmt w:val="bullet"/>
      <w:lvlText w:val="•"/>
      <w:lvlJc w:val="left"/>
      <w:pPr>
        <w:tabs>
          <w:tab w:val="num" w:pos="2880"/>
        </w:tabs>
        <w:ind w:left="2880" w:hanging="360"/>
      </w:pPr>
      <w:rPr>
        <w:rFonts w:ascii="Arial" w:hAnsi="Arial" w:hint="default"/>
      </w:rPr>
    </w:lvl>
    <w:lvl w:ilvl="4" w:tplc="B59008C2" w:tentative="1">
      <w:start w:val="1"/>
      <w:numFmt w:val="bullet"/>
      <w:lvlText w:val="•"/>
      <w:lvlJc w:val="left"/>
      <w:pPr>
        <w:tabs>
          <w:tab w:val="num" w:pos="3600"/>
        </w:tabs>
        <w:ind w:left="3600" w:hanging="360"/>
      </w:pPr>
      <w:rPr>
        <w:rFonts w:ascii="Arial" w:hAnsi="Arial" w:hint="default"/>
      </w:rPr>
    </w:lvl>
    <w:lvl w:ilvl="5" w:tplc="62887444" w:tentative="1">
      <w:start w:val="1"/>
      <w:numFmt w:val="bullet"/>
      <w:lvlText w:val="•"/>
      <w:lvlJc w:val="left"/>
      <w:pPr>
        <w:tabs>
          <w:tab w:val="num" w:pos="4320"/>
        </w:tabs>
        <w:ind w:left="4320" w:hanging="360"/>
      </w:pPr>
      <w:rPr>
        <w:rFonts w:ascii="Arial" w:hAnsi="Arial" w:hint="default"/>
      </w:rPr>
    </w:lvl>
    <w:lvl w:ilvl="6" w:tplc="D55E1168" w:tentative="1">
      <w:start w:val="1"/>
      <w:numFmt w:val="bullet"/>
      <w:lvlText w:val="•"/>
      <w:lvlJc w:val="left"/>
      <w:pPr>
        <w:tabs>
          <w:tab w:val="num" w:pos="5040"/>
        </w:tabs>
        <w:ind w:left="5040" w:hanging="360"/>
      </w:pPr>
      <w:rPr>
        <w:rFonts w:ascii="Arial" w:hAnsi="Arial" w:hint="default"/>
      </w:rPr>
    </w:lvl>
    <w:lvl w:ilvl="7" w:tplc="FF6EEB14" w:tentative="1">
      <w:start w:val="1"/>
      <w:numFmt w:val="bullet"/>
      <w:lvlText w:val="•"/>
      <w:lvlJc w:val="left"/>
      <w:pPr>
        <w:tabs>
          <w:tab w:val="num" w:pos="5760"/>
        </w:tabs>
        <w:ind w:left="5760" w:hanging="360"/>
      </w:pPr>
      <w:rPr>
        <w:rFonts w:ascii="Arial" w:hAnsi="Arial" w:hint="default"/>
      </w:rPr>
    </w:lvl>
    <w:lvl w:ilvl="8" w:tplc="F2A66E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5D6B5E"/>
    <w:multiLevelType w:val="hybridMultilevel"/>
    <w:tmpl w:val="828A5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331035"/>
    <w:multiLevelType w:val="hybridMultilevel"/>
    <w:tmpl w:val="F1DE9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080505C"/>
    <w:multiLevelType w:val="hybridMultilevel"/>
    <w:tmpl w:val="31587D8A"/>
    <w:lvl w:ilvl="0" w:tplc="EB18934C">
      <w:start w:val="3"/>
      <w:numFmt w:val="bullet"/>
      <w:lvlText w:val="-"/>
      <w:lvlJc w:val="left"/>
      <w:pPr>
        <w:ind w:left="796" w:hanging="360"/>
      </w:pPr>
      <w:rPr>
        <w:rFonts w:ascii="Times New Roman" w:eastAsia="Times New Roman"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5F"/>
    <w:rsid w:val="00031A3D"/>
    <w:rsid w:val="0004056D"/>
    <w:rsid w:val="0006229A"/>
    <w:rsid w:val="000648B8"/>
    <w:rsid w:val="00071AB7"/>
    <w:rsid w:val="00076E28"/>
    <w:rsid w:val="00077A73"/>
    <w:rsid w:val="00081B24"/>
    <w:rsid w:val="00091425"/>
    <w:rsid w:val="000914AE"/>
    <w:rsid w:val="00095528"/>
    <w:rsid w:val="000C2765"/>
    <w:rsid w:val="000C4C84"/>
    <w:rsid w:val="000C4C88"/>
    <w:rsid w:val="000D37F2"/>
    <w:rsid w:val="000D60CE"/>
    <w:rsid w:val="000E4ABC"/>
    <w:rsid w:val="0010615A"/>
    <w:rsid w:val="00120289"/>
    <w:rsid w:val="0014426C"/>
    <w:rsid w:val="00144947"/>
    <w:rsid w:val="00160929"/>
    <w:rsid w:val="00162FFA"/>
    <w:rsid w:val="001744DC"/>
    <w:rsid w:val="00195C64"/>
    <w:rsid w:val="00196FFD"/>
    <w:rsid w:val="001B6737"/>
    <w:rsid w:val="001C09F4"/>
    <w:rsid w:val="001E1108"/>
    <w:rsid w:val="001F40B5"/>
    <w:rsid w:val="001F485D"/>
    <w:rsid w:val="001F6E1E"/>
    <w:rsid w:val="00204C6A"/>
    <w:rsid w:val="00205C44"/>
    <w:rsid w:val="0020620D"/>
    <w:rsid w:val="0023138B"/>
    <w:rsid w:val="00232874"/>
    <w:rsid w:val="00235B85"/>
    <w:rsid w:val="0024582E"/>
    <w:rsid w:val="00252203"/>
    <w:rsid w:val="002719E4"/>
    <w:rsid w:val="00273E4D"/>
    <w:rsid w:val="0027639B"/>
    <w:rsid w:val="0027644A"/>
    <w:rsid w:val="00285A48"/>
    <w:rsid w:val="002925A1"/>
    <w:rsid w:val="00292799"/>
    <w:rsid w:val="002977E5"/>
    <w:rsid w:val="002A5D11"/>
    <w:rsid w:val="002A7169"/>
    <w:rsid w:val="002B075B"/>
    <w:rsid w:val="002B6CE5"/>
    <w:rsid w:val="002C3886"/>
    <w:rsid w:val="002C4177"/>
    <w:rsid w:val="002C5689"/>
    <w:rsid w:val="002D5298"/>
    <w:rsid w:val="002E427D"/>
    <w:rsid w:val="002E629E"/>
    <w:rsid w:val="002F2BA7"/>
    <w:rsid w:val="002F6E86"/>
    <w:rsid w:val="002F722C"/>
    <w:rsid w:val="002F7BC1"/>
    <w:rsid w:val="003229B5"/>
    <w:rsid w:val="00323134"/>
    <w:rsid w:val="0032344D"/>
    <w:rsid w:val="003274AC"/>
    <w:rsid w:val="003276A9"/>
    <w:rsid w:val="00347AAD"/>
    <w:rsid w:val="003513E1"/>
    <w:rsid w:val="00351A41"/>
    <w:rsid w:val="00352D63"/>
    <w:rsid w:val="00361574"/>
    <w:rsid w:val="00372F59"/>
    <w:rsid w:val="00391366"/>
    <w:rsid w:val="00396BC4"/>
    <w:rsid w:val="003A6A02"/>
    <w:rsid w:val="003B7B96"/>
    <w:rsid w:val="003C1026"/>
    <w:rsid w:val="003D3271"/>
    <w:rsid w:val="003E4A53"/>
    <w:rsid w:val="003E736C"/>
    <w:rsid w:val="003F52A0"/>
    <w:rsid w:val="004016BC"/>
    <w:rsid w:val="00401A44"/>
    <w:rsid w:val="004031D5"/>
    <w:rsid w:val="0040742F"/>
    <w:rsid w:val="00412E66"/>
    <w:rsid w:val="004224F6"/>
    <w:rsid w:val="00430D2B"/>
    <w:rsid w:val="00431FCF"/>
    <w:rsid w:val="00432723"/>
    <w:rsid w:val="00446473"/>
    <w:rsid w:val="0044669E"/>
    <w:rsid w:val="00452E9B"/>
    <w:rsid w:val="004551A1"/>
    <w:rsid w:val="0045785F"/>
    <w:rsid w:val="00473EFB"/>
    <w:rsid w:val="00482F9E"/>
    <w:rsid w:val="0048533B"/>
    <w:rsid w:val="004945D1"/>
    <w:rsid w:val="00494715"/>
    <w:rsid w:val="0049693F"/>
    <w:rsid w:val="00497025"/>
    <w:rsid w:val="004A326B"/>
    <w:rsid w:val="004A6698"/>
    <w:rsid w:val="004B65E5"/>
    <w:rsid w:val="004D0B95"/>
    <w:rsid w:val="004E0E59"/>
    <w:rsid w:val="004E1878"/>
    <w:rsid w:val="004E5821"/>
    <w:rsid w:val="004E5CB6"/>
    <w:rsid w:val="004F33E5"/>
    <w:rsid w:val="005026FF"/>
    <w:rsid w:val="00503ABA"/>
    <w:rsid w:val="00513237"/>
    <w:rsid w:val="00527C89"/>
    <w:rsid w:val="005366F0"/>
    <w:rsid w:val="00542905"/>
    <w:rsid w:val="00552856"/>
    <w:rsid w:val="005570CA"/>
    <w:rsid w:val="0056608C"/>
    <w:rsid w:val="00582EA3"/>
    <w:rsid w:val="00583204"/>
    <w:rsid w:val="005855F7"/>
    <w:rsid w:val="005972A1"/>
    <w:rsid w:val="005A1CDA"/>
    <w:rsid w:val="005A282E"/>
    <w:rsid w:val="005A4919"/>
    <w:rsid w:val="005A5FD5"/>
    <w:rsid w:val="005A7400"/>
    <w:rsid w:val="00601111"/>
    <w:rsid w:val="00606367"/>
    <w:rsid w:val="00613A30"/>
    <w:rsid w:val="00615CC0"/>
    <w:rsid w:val="00632F68"/>
    <w:rsid w:val="00634C89"/>
    <w:rsid w:val="0063604B"/>
    <w:rsid w:val="006479F2"/>
    <w:rsid w:val="006510F7"/>
    <w:rsid w:val="0065401A"/>
    <w:rsid w:val="006612E4"/>
    <w:rsid w:val="006615EB"/>
    <w:rsid w:val="0066597B"/>
    <w:rsid w:val="00666EF9"/>
    <w:rsid w:val="0068495B"/>
    <w:rsid w:val="00684E17"/>
    <w:rsid w:val="00692D25"/>
    <w:rsid w:val="00693235"/>
    <w:rsid w:val="006A2FE1"/>
    <w:rsid w:val="006B2EDF"/>
    <w:rsid w:val="006D6740"/>
    <w:rsid w:val="006E72A0"/>
    <w:rsid w:val="006F1149"/>
    <w:rsid w:val="0070532A"/>
    <w:rsid w:val="00717382"/>
    <w:rsid w:val="00732726"/>
    <w:rsid w:val="007351D9"/>
    <w:rsid w:val="00750544"/>
    <w:rsid w:val="007527FA"/>
    <w:rsid w:val="00752C7F"/>
    <w:rsid w:val="00760040"/>
    <w:rsid w:val="007641CB"/>
    <w:rsid w:val="00765FA1"/>
    <w:rsid w:val="00774D1D"/>
    <w:rsid w:val="00775EAC"/>
    <w:rsid w:val="0077700C"/>
    <w:rsid w:val="00780C5D"/>
    <w:rsid w:val="00785A2A"/>
    <w:rsid w:val="00792831"/>
    <w:rsid w:val="00796172"/>
    <w:rsid w:val="007969F9"/>
    <w:rsid w:val="007A1E84"/>
    <w:rsid w:val="007A288C"/>
    <w:rsid w:val="007A6ECB"/>
    <w:rsid w:val="007B49FB"/>
    <w:rsid w:val="007B7371"/>
    <w:rsid w:val="007D44A4"/>
    <w:rsid w:val="007E0BE6"/>
    <w:rsid w:val="007E443D"/>
    <w:rsid w:val="007E484B"/>
    <w:rsid w:val="007F42C2"/>
    <w:rsid w:val="008022CE"/>
    <w:rsid w:val="00813064"/>
    <w:rsid w:val="008239FE"/>
    <w:rsid w:val="00833FAE"/>
    <w:rsid w:val="00842510"/>
    <w:rsid w:val="00851505"/>
    <w:rsid w:val="00853485"/>
    <w:rsid w:val="0085751F"/>
    <w:rsid w:val="008626CF"/>
    <w:rsid w:val="008666E0"/>
    <w:rsid w:val="0087273D"/>
    <w:rsid w:val="00873EB2"/>
    <w:rsid w:val="0087623C"/>
    <w:rsid w:val="008829EC"/>
    <w:rsid w:val="00886877"/>
    <w:rsid w:val="00893F39"/>
    <w:rsid w:val="008A0E4E"/>
    <w:rsid w:val="008A1F46"/>
    <w:rsid w:val="008B2362"/>
    <w:rsid w:val="008B4481"/>
    <w:rsid w:val="008B4D17"/>
    <w:rsid w:val="008B5158"/>
    <w:rsid w:val="008B557E"/>
    <w:rsid w:val="008C3ED0"/>
    <w:rsid w:val="008E5B0E"/>
    <w:rsid w:val="008E7230"/>
    <w:rsid w:val="00902CA8"/>
    <w:rsid w:val="00910525"/>
    <w:rsid w:val="00921F3F"/>
    <w:rsid w:val="00923521"/>
    <w:rsid w:val="00926661"/>
    <w:rsid w:val="00930AB8"/>
    <w:rsid w:val="0093398E"/>
    <w:rsid w:val="00957EDF"/>
    <w:rsid w:val="00962491"/>
    <w:rsid w:val="00962F34"/>
    <w:rsid w:val="00977BF9"/>
    <w:rsid w:val="00982E43"/>
    <w:rsid w:val="00983F85"/>
    <w:rsid w:val="00992FBA"/>
    <w:rsid w:val="00994BB7"/>
    <w:rsid w:val="009A302D"/>
    <w:rsid w:val="009A62F5"/>
    <w:rsid w:val="009B4652"/>
    <w:rsid w:val="009B473B"/>
    <w:rsid w:val="009B6BE4"/>
    <w:rsid w:val="009C0D56"/>
    <w:rsid w:val="009C3A02"/>
    <w:rsid w:val="009C47A8"/>
    <w:rsid w:val="009D4175"/>
    <w:rsid w:val="009D7603"/>
    <w:rsid w:val="00A06FD7"/>
    <w:rsid w:val="00A4030F"/>
    <w:rsid w:val="00A4758C"/>
    <w:rsid w:val="00A53779"/>
    <w:rsid w:val="00A63C79"/>
    <w:rsid w:val="00A80072"/>
    <w:rsid w:val="00A85ACC"/>
    <w:rsid w:val="00A92183"/>
    <w:rsid w:val="00AA57E4"/>
    <w:rsid w:val="00AA7351"/>
    <w:rsid w:val="00AC7ADA"/>
    <w:rsid w:val="00AD0BCC"/>
    <w:rsid w:val="00AD4353"/>
    <w:rsid w:val="00AE14FC"/>
    <w:rsid w:val="00AE31DF"/>
    <w:rsid w:val="00AE7A85"/>
    <w:rsid w:val="00AF6B17"/>
    <w:rsid w:val="00AF6C4D"/>
    <w:rsid w:val="00AF7E19"/>
    <w:rsid w:val="00B13C02"/>
    <w:rsid w:val="00B16A48"/>
    <w:rsid w:val="00B23CED"/>
    <w:rsid w:val="00B313D3"/>
    <w:rsid w:val="00B41310"/>
    <w:rsid w:val="00B546CB"/>
    <w:rsid w:val="00B62AA1"/>
    <w:rsid w:val="00B71E46"/>
    <w:rsid w:val="00B814DF"/>
    <w:rsid w:val="00B82FF2"/>
    <w:rsid w:val="00B853FF"/>
    <w:rsid w:val="00B87AD5"/>
    <w:rsid w:val="00BA0065"/>
    <w:rsid w:val="00BA336D"/>
    <w:rsid w:val="00BA51D7"/>
    <w:rsid w:val="00BA72CB"/>
    <w:rsid w:val="00BB0342"/>
    <w:rsid w:val="00BB09EC"/>
    <w:rsid w:val="00BB5FE6"/>
    <w:rsid w:val="00BB76BA"/>
    <w:rsid w:val="00BC170A"/>
    <w:rsid w:val="00BD3AAC"/>
    <w:rsid w:val="00BE5867"/>
    <w:rsid w:val="00BE607C"/>
    <w:rsid w:val="00BF0578"/>
    <w:rsid w:val="00BF131D"/>
    <w:rsid w:val="00BF27E7"/>
    <w:rsid w:val="00BF37F4"/>
    <w:rsid w:val="00BF3AD0"/>
    <w:rsid w:val="00C01A99"/>
    <w:rsid w:val="00C02D7C"/>
    <w:rsid w:val="00C03019"/>
    <w:rsid w:val="00C033E0"/>
    <w:rsid w:val="00C05C10"/>
    <w:rsid w:val="00C21525"/>
    <w:rsid w:val="00C4169C"/>
    <w:rsid w:val="00C55B79"/>
    <w:rsid w:val="00C627BE"/>
    <w:rsid w:val="00C64BE8"/>
    <w:rsid w:val="00C747E9"/>
    <w:rsid w:val="00CA0242"/>
    <w:rsid w:val="00CA7AD2"/>
    <w:rsid w:val="00CB756C"/>
    <w:rsid w:val="00CC0CD7"/>
    <w:rsid w:val="00CD1B5E"/>
    <w:rsid w:val="00CD637D"/>
    <w:rsid w:val="00CD6A70"/>
    <w:rsid w:val="00CE43B4"/>
    <w:rsid w:val="00CF3D96"/>
    <w:rsid w:val="00CF501C"/>
    <w:rsid w:val="00D12313"/>
    <w:rsid w:val="00D17161"/>
    <w:rsid w:val="00D17465"/>
    <w:rsid w:val="00D252D7"/>
    <w:rsid w:val="00D4605F"/>
    <w:rsid w:val="00D46C6F"/>
    <w:rsid w:val="00D54219"/>
    <w:rsid w:val="00D5468F"/>
    <w:rsid w:val="00D80156"/>
    <w:rsid w:val="00D803AC"/>
    <w:rsid w:val="00D84A89"/>
    <w:rsid w:val="00D9092C"/>
    <w:rsid w:val="00D94F05"/>
    <w:rsid w:val="00DB2F5F"/>
    <w:rsid w:val="00DC0632"/>
    <w:rsid w:val="00DC67C9"/>
    <w:rsid w:val="00DD3394"/>
    <w:rsid w:val="00DE06F7"/>
    <w:rsid w:val="00DE4149"/>
    <w:rsid w:val="00DE5A7B"/>
    <w:rsid w:val="00DF02EA"/>
    <w:rsid w:val="00DF0F5C"/>
    <w:rsid w:val="00DF3407"/>
    <w:rsid w:val="00DF3D19"/>
    <w:rsid w:val="00E00C5A"/>
    <w:rsid w:val="00E10560"/>
    <w:rsid w:val="00E20A37"/>
    <w:rsid w:val="00E2672B"/>
    <w:rsid w:val="00E30F9D"/>
    <w:rsid w:val="00E317B8"/>
    <w:rsid w:val="00E35928"/>
    <w:rsid w:val="00E66188"/>
    <w:rsid w:val="00E91D97"/>
    <w:rsid w:val="00E95703"/>
    <w:rsid w:val="00EA0EFD"/>
    <w:rsid w:val="00EA2507"/>
    <w:rsid w:val="00EA5740"/>
    <w:rsid w:val="00EA5958"/>
    <w:rsid w:val="00EB5BF0"/>
    <w:rsid w:val="00EF214D"/>
    <w:rsid w:val="00EF6DD3"/>
    <w:rsid w:val="00F01A33"/>
    <w:rsid w:val="00F0632E"/>
    <w:rsid w:val="00F10C90"/>
    <w:rsid w:val="00F14C97"/>
    <w:rsid w:val="00F204CE"/>
    <w:rsid w:val="00F236CB"/>
    <w:rsid w:val="00F34BAC"/>
    <w:rsid w:val="00F43E34"/>
    <w:rsid w:val="00F45FAF"/>
    <w:rsid w:val="00F604E0"/>
    <w:rsid w:val="00F605CF"/>
    <w:rsid w:val="00F66372"/>
    <w:rsid w:val="00F6764B"/>
    <w:rsid w:val="00F72578"/>
    <w:rsid w:val="00F937BB"/>
    <w:rsid w:val="00F94885"/>
    <w:rsid w:val="00F955CB"/>
    <w:rsid w:val="00F95A64"/>
    <w:rsid w:val="00F96899"/>
    <w:rsid w:val="00FA12C5"/>
    <w:rsid w:val="00FA2733"/>
    <w:rsid w:val="00FB1641"/>
    <w:rsid w:val="00FB55B6"/>
    <w:rsid w:val="00FB68F8"/>
    <w:rsid w:val="00FC329E"/>
    <w:rsid w:val="00FC5F49"/>
    <w:rsid w:val="00FE145F"/>
    <w:rsid w:val="00FE3F31"/>
    <w:rsid w:val="00FF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95F3"/>
  <w15:docId w15:val="{103080FE-5DCD-40A5-9C73-6FFA07B9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59"/>
    <w:pPr>
      <w:spacing w:line="256" w:lineRule="auto"/>
    </w:pPr>
    <w:rPr>
      <w:rFonts w:asciiTheme="minorHAnsi" w:hAnsiTheme="minorHAnsi"/>
      <w:sz w:val="22"/>
      <w:lang w:val="en-US"/>
    </w:rPr>
  </w:style>
  <w:style w:type="paragraph" w:styleId="Heading1">
    <w:name w:val="heading 1"/>
    <w:basedOn w:val="Normal"/>
    <w:next w:val="Normal"/>
    <w:link w:val="Heading1Char"/>
    <w:uiPriority w:val="9"/>
    <w:qFormat/>
    <w:rsid w:val="00396B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Über 2"/>
    <w:basedOn w:val="Normal"/>
    <w:next w:val="Normal"/>
    <w:link w:val="Heading2Char"/>
    <w:uiPriority w:val="1"/>
    <w:semiHidden/>
    <w:unhideWhenUsed/>
    <w:qFormat/>
    <w:rsid w:val="004945D1"/>
    <w:pPr>
      <w:keepNext/>
      <w:keepLines/>
      <w:spacing w:before="200" w:after="0" w:line="276" w:lineRule="auto"/>
      <w:outlineLvl w:val="1"/>
    </w:pPr>
    <w:rPr>
      <w:rFonts w:asciiTheme="majorHAnsi" w:eastAsiaTheme="majorEastAsia" w:hAnsiTheme="majorHAnsi" w:cstheme="majorBidi"/>
      <w:color w:val="4472C4" w:themeColor="accent1"/>
      <w:sz w:val="26"/>
      <w:szCs w:val="26"/>
      <w:lang w:val="ru-RU" w:eastAsia="ru-RU"/>
    </w:rPr>
  </w:style>
  <w:style w:type="paragraph" w:styleId="Heading5">
    <w:name w:val="heading 5"/>
    <w:basedOn w:val="Normal"/>
    <w:next w:val="Normal"/>
    <w:link w:val="Heading5Char"/>
    <w:uiPriority w:val="9"/>
    <w:semiHidden/>
    <w:unhideWhenUsed/>
    <w:qFormat/>
    <w:rsid w:val="003913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372F59"/>
    <w:pPr>
      <w:spacing w:after="0" w:line="240" w:lineRule="auto"/>
      <w:jc w:val="center"/>
    </w:pPr>
    <w:rPr>
      <w:rFonts w:ascii="ArTarumianTimes" w:eastAsia="Times New Roman" w:hAnsi="ArTarumianTimes" w:cs="Times New Roman"/>
      <w:sz w:val="24"/>
      <w:szCs w:val="24"/>
      <w:lang w:val="ru-RU" w:eastAsia="ru-RU"/>
    </w:rPr>
  </w:style>
  <w:style w:type="character" w:customStyle="1" w:styleId="BodyText3Char">
    <w:name w:val="Body Text 3 Char"/>
    <w:basedOn w:val="DefaultParagraphFont"/>
    <w:link w:val="BodyText3"/>
    <w:uiPriority w:val="99"/>
    <w:semiHidden/>
    <w:rsid w:val="00372F59"/>
    <w:rPr>
      <w:rFonts w:ascii="ArTarumianTimes" w:eastAsia="Times New Roman" w:hAnsi="ArTarumianTimes" w:cs="Times New Roman"/>
      <w:szCs w:val="24"/>
      <w:lang w:eastAsia="ru-RU"/>
    </w:rPr>
  </w:style>
  <w:style w:type="character" w:customStyle="1" w:styleId="mechtexChar">
    <w:name w:val="mechtex Char"/>
    <w:link w:val="mechtex"/>
    <w:uiPriority w:val="99"/>
    <w:locked/>
    <w:rsid w:val="00372F59"/>
    <w:rPr>
      <w:rFonts w:ascii="Arial Armenian" w:hAnsi="Arial Armenian"/>
      <w:lang w:eastAsia="ru-RU"/>
    </w:rPr>
  </w:style>
  <w:style w:type="paragraph" w:customStyle="1" w:styleId="mechtex">
    <w:name w:val="mechtex"/>
    <w:basedOn w:val="Normal"/>
    <w:link w:val="mechtexChar"/>
    <w:uiPriority w:val="99"/>
    <w:rsid w:val="00372F59"/>
    <w:pPr>
      <w:spacing w:after="0" w:line="240" w:lineRule="auto"/>
      <w:jc w:val="center"/>
    </w:pPr>
    <w:rPr>
      <w:rFonts w:ascii="Arial Armenian" w:hAnsi="Arial Armenian"/>
      <w:sz w:val="24"/>
      <w:lang w:val="ru-RU" w:eastAsia="ru-RU"/>
    </w:rPr>
  </w:style>
  <w:style w:type="table" w:styleId="TableGrid">
    <w:name w:val="Table Grid"/>
    <w:basedOn w:val="TableNormal"/>
    <w:uiPriority w:val="39"/>
    <w:rsid w:val="00372F59"/>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5A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B1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02"/>
    <w:rPr>
      <w:rFonts w:ascii="Segoe UI" w:hAnsi="Segoe UI" w:cs="Segoe UI"/>
      <w:sz w:val="18"/>
      <w:szCs w:val="18"/>
      <w:lang w:val="en-US"/>
    </w:rPr>
  </w:style>
  <w:style w:type="paragraph" w:styleId="Header">
    <w:name w:val="header"/>
    <w:basedOn w:val="Normal"/>
    <w:link w:val="HeaderChar"/>
    <w:uiPriority w:val="99"/>
    <w:unhideWhenUsed/>
    <w:rsid w:val="00983F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983F85"/>
    <w:rPr>
      <w:rFonts w:asciiTheme="minorHAnsi" w:hAnsiTheme="minorHAnsi"/>
      <w:sz w:val="22"/>
      <w:lang w:val="en-US"/>
    </w:rPr>
  </w:style>
  <w:style w:type="paragraph" w:styleId="Footer">
    <w:name w:val="footer"/>
    <w:basedOn w:val="Normal"/>
    <w:link w:val="FooterChar"/>
    <w:uiPriority w:val="99"/>
    <w:unhideWhenUsed/>
    <w:rsid w:val="00983F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83F85"/>
    <w:rPr>
      <w:rFonts w:asciiTheme="minorHAnsi" w:hAnsiTheme="minorHAnsi"/>
      <w:sz w:val="22"/>
      <w:lang w:val="en-US"/>
    </w:rPr>
  </w:style>
  <w:style w:type="paragraph" w:styleId="ListParagraph">
    <w:name w:val="List Paragraph"/>
    <w:aliases w:val="Citation List,본문(내용),List Paragraph (numbered (a))"/>
    <w:basedOn w:val="Normal"/>
    <w:link w:val="ListParagraphChar"/>
    <w:qFormat/>
    <w:rsid w:val="007B7371"/>
    <w:pPr>
      <w:ind w:left="720"/>
      <w:contextualSpacing/>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unhideWhenUsed/>
    <w:qFormat/>
    <w:rsid w:val="00081B24"/>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81B24"/>
    <w:rPr>
      <w:rFonts w:asciiTheme="minorHAnsi" w:hAnsiTheme="minorHAnsi"/>
      <w:sz w:val="20"/>
      <w:szCs w:val="20"/>
      <w:lang w:val="en-US"/>
    </w:rPr>
  </w:style>
  <w:style w:type="character" w:styleId="FootnoteReference">
    <w:name w:val="footnote reference"/>
    <w:basedOn w:val="DefaultParagraphFont"/>
    <w:uiPriority w:val="99"/>
    <w:unhideWhenUsed/>
    <w:rsid w:val="00081B24"/>
    <w:rPr>
      <w:vertAlign w:val="superscript"/>
    </w:rPr>
  </w:style>
  <w:style w:type="character" w:customStyle="1" w:styleId="ListParagraphChar">
    <w:name w:val="List Paragraph Char"/>
    <w:aliases w:val="Citation List Char,본문(내용) Char,List Paragraph (numbered (a)) Char"/>
    <w:link w:val="ListParagraph"/>
    <w:uiPriority w:val="34"/>
    <w:locked/>
    <w:rsid w:val="00AD4353"/>
    <w:rPr>
      <w:rFonts w:asciiTheme="minorHAnsi" w:hAnsiTheme="minorHAnsi"/>
      <w:sz w:val="22"/>
      <w:lang w:val="en-US"/>
    </w:rPr>
  </w:style>
  <w:style w:type="character" w:customStyle="1" w:styleId="Heading2Char">
    <w:name w:val="Heading 2 Char"/>
    <w:aliases w:val="Über 2 Char"/>
    <w:basedOn w:val="DefaultParagraphFont"/>
    <w:link w:val="Heading2"/>
    <w:uiPriority w:val="1"/>
    <w:semiHidden/>
    <w:rsid w:val="004945D1"/>
    <w:rPr>
      <w:rFonts w:asciiTheme="majorHAnsi" w:eastAsiaTheme="majorEastAsia" w:hAnsiTheme="majorHAnsi" w:cstheme="majorBidi"/>
      <w:color w:val="4472C4" w:themeColor="accent1"/>
      <w:sz w:val="26"/>
      <w:szCs w:val="26"/>
      <w:lang w:eastAsia="ru-RU"/>
    </w:rPr>
  </w:style>
  <w:style w:type="paragraph" w:customStyle="1" w:styleId="titulo">
    <w:name w:val="titulo"/>
    <w:basedOn w:val="Heading5"/>
    <w:uiPriority w:val="99"/>
    <w:rsid w:val="00391366"/>
    <w:pPr>
      <w:keepNext w:val="0"/>
      <w:keepLines w:val="0"/>
      <w:spacing w:before="0" w:after="240" w:line="240" w:lineRule="auto"/>
      <w:jc w:val="center"/>
    </w:pPr>
    <w:rPr>
      <w:rFonts w:ascii="Times New Roman Bold" w:eastAsia="Times New Roman" w:hAnsi="Times New Roman Bold" w:cs="Times New Roman"/>
      <w:b/>
      <w:color w:val="auto"/>
      <w:sz w:val="24"/>
      <w:szCs w:val="20"/>
    </w:rPr>
  </w:style>
  <w:style w:type="paragraph" w:styleId="BodyText">
    <w:name w:val="Body Text"/>
    <w:basedOn w:val="Normal"/>
    <w:link w:val="BodyTextChar"/>
    <w:uiPriority w:val="99"/>
    <w:semiHidden/>
    <w:unhideWhenUsed/>
    <w:rsid w:val="00391366"/>
    <w:pPr>
      <w:spacing w:after="120" w:line="259" w:lineRule="auto"/>
    </w:pPr>
    <w:rPr>
      <w:lang w:val="ru-RU"/>
    </w:rPr>
  </w:style>
  <w:style w:type="character" w:customStyle="1" w:styleId="BodyTextChar">
    <w:name w:val="Body Text Char"/>
    <w:basedOn w:val="DefaultParagraphFont"/>
    <w:link w:val="BodyText"/>
    <w:uiPriority w:val="99"/>
    <w:semiHidden/>
    <w:rsid w:val="00391366"/>
    <w:rPr>
      <w:rFonts w:asciiTheme="minorHAnsi" w:hAnsiTheme="minorHAnsi"/>
      <w:sz w:val="22"/>
    </w:rPr>
  </w:style>
  <w:style w:type="paragraph" w:customStyle="1" w:styleId="Subtitle2">
    <w:name w:val="Subtitle 2"/>
    <w:basedOn w:val="Footer"/>
    <w:autoRedefine/>
    <w:uiPriority w:val="99"/>
    <w:rsid w:val="00391366"/>
    <w:pPr>
      <w:tabs>
        <w:tab w:val="clear" w:pos="4677"/>
        <w:tab w:val="clear" w:pos="9355"/>
        <w:tab w:val="right" w:leader="underscore" w:pos="9504"/>
      </w:tabs>
      <w:ind w:left="59"/>
      <w:jc w:val="right"/>
      <w:outlineLvl w:val="1"/>
    </w:pPr>
    <w:rPr>
      <w:rFonts w:ascii="GHEA Grapalat" w:eastAsia="Times New Roman" w:hAnsi="GHEA Grapalat" w:cs="Times New Roman"/>
      <w:b/>
      <w:sz w:val="24"/>
      <w:szCs w:val="24"/>
      <w:lang w:val="af-ZA"/>
    </w:rPr>
  </w:style>
  <w:style w:type="character" w:customStyle="1" w:styleId="Heading5Char">
    <w:name w:val="Heading 5 Char"/>
    <w:basedOn w:val="DefaultParagraphFont"/>
    <w:link w:val="Heading5"/>
    <w:uiPriority w:val="9"/>
    <w:semiHidden/>
    <w:rsid w:val="00391366"/>
    <w:rPr>
      <w:rFonts w:asciiTheme="majorHAnsi" w:eastAsiaTheme="majorEastAsia" w:hAnsiTheme="majorHAnsi" w:cstheme="majorBidi"/>
      <w:color w:val="2F5496" w:themeColor="accent1" w:themeShade="BF"/>
      <w:sz w:val="22"/>
      <w:lang w:val="en-US"/>
    </w:rPr>
  </w:style>
  <w:style w:type="paragraph" w:styleId="NoSpacing">
    <w:name w:val="No Spacing"/>
    <w:uiPriority w:val="1"/>
    <w:qFormat/>
    <w:rsid w:val="009C0D56"/>
    <w:pPr>
      <w:spacing w:after="0" w:line="240" w:lineRule="auto"/>
    </w:pPr>
    <w:rPr>
      <w:rFonts w:asciiTheme="minorHAnsi" w:hAnsiTheme="minorHAnsi"/>
      <w:sz w:val="22"/>
      <w:lang w:val="en-US"/>
    </w:rPr>
  </w:style>
  <w:style w:type="character" w:customStyle="1" w:styleId="Heading1Char">
    <w:name w:val="Heading 1 Char"/>
    <w:basedOn w:val="DefaultParagraphFont"/>
    <w:link w:val="Heading1"/>
    <w:uiPriority w:val="9"/>
    <w:rsid w:val="00396BC4"/>
    <w:rPr>
      <w:rFonts w:asciiTheme="majorHAnsi" w:eastAsiaTheme="majorEastAsia" w:hAnsiTheme="majorHAnsi" w:cstheme="majorBidi"/>
      <w:color w:val="2F5496" w:themeColor="accent1" w:themeShade="BF"/>
      <w:sz w:val="32"/>
      <w:szCs w:val="32"/>
      <w:lang w:val="en-US"/>
    </w:rPr>
  </w:style>
  <w:style w:type="paragraph" w:styleId="BodyTextIndent">
    <w:name w:val="Body Text Indent"/>
    <w:basedOn w:val="Normal"/>
    <w:link w:val="BodyTextIndentChar"/>
    <w:uiPriority w:val="99"/>
    <w:semiHidden/>
    <w:unhideWhenUsed/>
    <w:rsid w:val="00396BC4"/>
    <w:pPr>
      <w:spacing w:after="120"/>
      <w:ind w:left="360"/>
    </w:pPr>
  </w:style>
  <w:style w:type="character" w:customStyle="1" w:styleId="BodyTextIndentChar">
    <w:name w:val="Body Text Indent Char"/>
    <w:basedOn w:val="DefaultParagraphFont"/>
    <w:link w:val="BodyTextIndent"/>
    <w:uiPriority w:val="99"/>
    <w:semiHidden/>
    <w:rsid w:val="00396BC4"/>
    <w:rPr>
      <w:rFonts w:asciiTheme="minorHAnsi" w:hAnsiTheme="minorHAnsi"/>
      <w:sz w:val="22"/>
      <w:lang w:val="en-US"/>
    </w:rPr>
  </w:style>
  <w:style w:type="paragraph" w:styleId="ListNumber">
    <w:name w:val="List Number"/>
    <w:basedOn w:val="Normal"/>
    <w:uiPriority w:val="99"/>
    <w:rsid w:val="00396BC4"/>
    <w:pPr>
      <w:tabs>
        <w:tab w:val="num" w:pos="360"/>
      </w:tabs>
      <w:suppressAutoHyphens/>
      <w:spacing w:after="0" w:line="240" w:lineRule="auto"/>
      <w:ind w:left="360" w:hanging="360"/>
      <w:jc w:val="both"/>
    </w:pPr>
    <w:rPr>
      <w:rFonts w:ascii="Tms Rmn" w:eastAsia="Times New Roman" w:hAnsi="Tms Rmn" w:cs="Times New Roman"/>
      <w:sz w:val="24"/>
      <w:szCs w:val="20"/>
    </w:rPr>
  </w:style>
  <w:style w:type="paragraph" w:customStyle="1" w:styleId="Outline">
    <w:name w:val="Outline"/>
    <w:basedOn w:val="Normal"/>
    <w:uiPriority w:val="99"/>
    <w:rsid w:val="00396BC4"/>
    <w:pPr>
      <w:spacing w:before="240" w:after="0" w:line="240" w:lineRule="auto"/>
    </w:pPr>
    <w:rPr>
      <w:rFonts w:ascii="Times New Roman" w:eastAsia="Times New Roman" w:hAnsi="Times New Roman"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330">
      <w:bodyDiv w:val="1"/>
      <w:marLeft w:val="0"/>
      <w:marRight w:val="0"/>
      <w:marTop w:val="0"/>
      <w:marBottom w:val="0"/>
      <w:divBdr>
        <w:top w:val="none" w:sz="0" w:space="0" w:color="auto"/>
        <w:left w:val="none" w:sz="0" w:space="0" w:color="auto"/>
        <w:bottom w:val="none" w:sz="0" w:space="0" w:color="auto"/>
        <w:right w:val="none" w:sz="0" w:space="0" w:color="auto"/>
      </w:divBdr>
    </w:div>
    <w:div w:id="130482543">
      <w:bodyDiv w:val="1"/>
      <w:marLeft w:val="0"/>
      <w:marRight w:val="0"/>
      <w:marTop w:val="0"/>
      <w:marBottom w:val="0"/>
      <w:divBdr>
        <w:top w:val="none" w:sz="0" w:space="0" w:color="auto"/>
        <w:left w:val="none" w:sz="0" w:space="0" w:color="auto"/>
        <w:bottom w:val="none" w:sz="0" w:space="0" w:color="auto"/>
        <w:right w:val="none" w:sz="0" w:space="0" w:color="auto"/>
      </w:divBdr>
    </w:div>
    <w:div w:id="152647252">
      <w:bodyDiv w:val="1"/>
      <w:marLeft w:val="0"/>
      <w:marRight w:val="0"/>
      <w:marTop w:val="0"/>
      <w:marBottom w:val="0"/>
      <w:divBdr>
        <w:top w:val="none" w:sz="0" w:space="0" w:color="auto"/>
        <w:left w:val="none" w:sz="0" w:space="0" w:color="auto"/>
        <w:bottom w:val="none" w:sz="0" w:space="0" w:color="auto"/>
        <w:right w:val="none" w:sz="0" w:space="0" w:color="auto"/>
      </w:divBdr>
    </w:div>
    <w:div w:id="206263418">
      <w:bodyDiv w:val="1"/>
      <w:marLeft w:val="0"/>
      <w:marRight w:val="0"/>
      <w:marTop w:val="0"/>
      <w:marBottom w:val="0"/>
      <w:divBdr>
        <w:top w:val="none" w:sz="0" w:space="0" w:color="auto"/>
        <w:left w:val="none" w:sz="0" w:space="0" w:color="auto"/>
        <w:bottom w:val="none" w:sz="0" w:space="0" w:color="auto"/>
        <w:right w:val="none" w:sz="0" w:space="0" w:color="auto"/>
      </w:divBdr>
    </w:div>
    <w:div w:id="788665300">
      <w:bodyDiv w:val="1"/>
      <w:marLeft w:val="0"/>
      <w:marRight w:val="0"/>
      <w:marTop w:val="0"/>
      <w:marBottom w:val="0"/>
      <w:divBdr>
        <w:top w:val="none" w:sz="0" w:space="0" w:color="auto"/>
        <w:left w:val="none" w:sz="0" w:space="0" w:color="auto"/>
        <w:bottom w:val="none" w:sz="0" w:space="0" w:color="auto"/>
        <w:right w:val="none" w:sz="0" w:space="0" w:color="auto"/>
      </w:divBdr>
    </w:div>
    <w:div w:id="897281517">
      <w:bodyDiv w:val="1"/>
      <w:marLeft w:val="0"/>
      <w:marRight w:val="0"/>
      <w:marTop w:val="0"/>
      <w:marBottom w:val="0"/>
      <w:divBdr>
        <w:top w:val="none" w:sz="0" w:space="0" w:color="auto"/>
        <w:left w:val="none" w:sz="0" w:space="0" w:color="auto"/>
        <w:bottom w:val="none" w:sz="0" w:space="0" w:color="auto"/>
        <w:right w:val="none" w:sz="0" w:space="0" w:color="auto"/>
      </w:divBdr>
    </w:div>
    <w:div w:id="971255257">
      <w:bodyDiv w:val="1"/>
      <w:marLeft w:val="0"/>
      <w:marRight w:val="0"/>
      <w:marTop w:val="0"/>
      <w:marBottom w:val="0"/>
      <w:divBdr>
        <w:top w:val="none" w:sz="0" w:space="0" w:color="auto"/>
        <w:left w:val="none" w:sz="0" w:space="0" w:color="auto"/>
        <w:bottom w:val="none" w:sz="0" w:space="0" w:color="auto"/>
        <w:right w:val="none" w:sz="0" w:space="0" w:color="auto"/>
      </w:divBdr>
    </w:div>
    <w:div w:id="1071317933">
      <w:bodyDiv w:val="1"/>
      <w:marLeft w:val="0"/>
      <w:marRight w:val="0"/>
      <w:marTop w:val="0"/>
      <w:marBottom w:val="0"/>
      <w:divBdr>
        <w:top w:val="none" w:sz="0" w:space="0" w:color="auto"/>
        <w:left w:val="none" w:sz="0" w:space="0" w:color="auto"/>
        <w:bottom w:val="none" w:sz="0" w:space="0" w:color="auto"/>
        <w:right w:val="none" w:sz="0" w:space="0" w:color="auto"/>
      </w:divBdr>
    </w:div>
    <w:div w:id="1106539008">
      <w:bodyDiv w:val="1"/>
      <w:marLeft w:val="0"/>
      <w:marRight w:val="0"/>
      <w:marTop w:val="0"/>
      <w:marBottom w:val="0"/>
      <w:divBdr>
        <w:top w:val="none" w:sz="0" w:space="0" w:color="auto"/>
        <w:left w:val="none" w:sz="0" w:space="0" w:color="auto"/>
        <w:bottom w:val="none" w:sz="0" w:space="0" w:color="auto"/>
        <w:right w:val="none" w:sz="0" w:space="0" w:color="auto"/>
      </w:divBdr>
    </w:div>
    <w:div w:id="1381251234">
      <w:bodyDiv w:val="1"/>
      <w:marLeft w:val="0"/>
      <w:marRight w:val="0"/>
      <w:marTop w:val="0"/>
      <w:marBottom w:val="0"/>
      <w:divBdr>
        <w:top w:val="none" w:sz="0" w:space="0" w:color="auto"/>
        <w:left w:val="none" w:sz="0" w:space="0" w:color="auto"/>
        <w:bottom w:val="none" w:sz="0" w:space="0" w:color="auto"/>
        <w:right w:val="none" w:sz="0" w:space="0" w:color="auto"/>
      </w:divBdr>
    </w:div>
    <w:div w:id="1526478305">
      <w:bodyDiv w:val="1"/>
      <w:marLeft w:val="0"/>
      <w:marRight w:val="0"/>
      <w:marTop w:val="0"/>
      <w:marBottom w:val="0"/>
      <w:divBdr>
        <w:top w:val="none" w:sz="0" w:space="0" w:color="auto"/>
        <w:left w:val="none" w:sz="0" w:space="0" w:color="auto"/>
        <w:bottom w:val="none" w:sz="0" w:space="0" w:color="auto"/>
        <w:right w:val="none" w:sz="0" w:space="0" w:color="auto"/>
      </w:divBdr>
    </w:div>
    <w:div w:id="1794712991">
      <w:bodyDiv w:val="1"/>
      <w:marLeft w:val="0"/>
      <w:marRight w:val="0"/>
      <w:marTop w:val="0"/>
      <w:marBottom w:val="0"/>
      <w:divBdr>
        <w:top w:val="none" w:sz="0" w:space="0" w:color="auto"/>
        <w:left w:val="none" w:sz="0" w:space="0" w:color="auto"/>
        <w:bottom w:val="none" w:sz="0" w:space="0" w:color="auto"/>
        <w:right w:val="none" w:sz="0" w:space="0" w:color="auto"/>
      </w:divBdr>
    </w:div>
    <w:div w:id="1804497800">
      <w:bodyDiv w:val="1"/>
      <w:marLeft w:val="0"/>
      <w:marRight w:val="0"/>
      <w:marTop w:val="0"/>
      <w:marBottom w:val="0"/>
      <w:divBdr>
        <w:top w:val="none" w:sz="0" w:space="0" w:color="auto"/>
        <w:left w:val="none" w:sz="0" w:space="0" w:color="auto"/>
        <w:bottom w:val="none" w:sz="0" w:space="0" w:color="auto"/>
        <w:right w:val="none" w:sz="0" w:space="0" w:color="auto"/>
      </w:divBdr>
    </w:div>
    <w:div w:id="1817337256">
      <w:bodyDiv w:val="1"/>
      <w:marLeft w:val="0"/>
      <w:marRight w:val="0"/>
      <w:marTop w:val="0"/>
      <w:marBottom w:val="0"/>
      <w:divBdr>
        <w:top w:val="none" w:sz="0" w:space="0" w:color="auto"/>
        <w:left w:val="none" w:sz="0" w:space="0" w:color="auto"/>
        <w:bottom w:val="none" w:sz="0" w:space="0" w:color="auto"/>
        <w:right w:val="none" w:sz="0" w:space="0" w:color="auto"/>
      </w:divBdr>
    </w:div>
    <w:div w:id="1827621650">
      <w:bodyDiv w:val="1"/>
      <w:marLeft w:val="0"/>
      <w:marRight w:val="0"/>
      <w:marTop w:val="0"/>
      <w:marBottom w:val="0"/>
      <w:divBdr>
        <w:top w:val="none" w:sz="0" w:space="0" w:color="auto"/>
        <w:left w:val="none" w:sz="0" w:space="0" w:color="auto"/>
        <w:bottom w:val="none" w:sz="0" w:space="0" w:color="auto"/>
        <w:right w:val="none" w:sz="0" w:space="0" w:color="auto"/>
      </w:divBdr>
    </w:div>
    <w:div w:id="1838492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4955-7F40-439B-8F2A-37CFFB76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430</Words>
  <Characters>3668</Characters>
  <Application>Microsoft Office Word</Application>
  <DocSecurity>0</DocSecurity>
  <Lines>88</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Vahe Martirosyan</dc:creator>
  <cp:keywords>https://mul2.gov.am/tasks/596469/oneclick/2Himnavorum.docx?token=8f6d7bf8e938be2be658695e969f7ecf</cp:keywords>
  <dc:description/>
  <cp:lastModifiedBy>Astghik Melkonyan</cp:lastModifiedBy>
  <cp:revision>12</cp:revision>
  <cp:lastPrinted>2021-12-01T10:39:00Z</cp:lastPrinted>
  <dcterms:created xsi:type="dcterms:W3CDTF">2022-03-10T06:02:00Z</dcterms:created>
  <dcterms:modified xsi:type="dcterms:W3CDTF">2022-04-20T07:15:00Z</dcterms:modified>
</cp:coreProperties>
</file>