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ACA1" w14:textId="77777777" w:rsidR="00F72238" w:rsidRPr="00F72238" w:rsidRDefault="00F72238" w:rsidP="00F7223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F7223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ՀԻՄՆԱՎՈՐՈՒՄ</w:t>
      </w:r>
    </w:p>
    <w:p w14:paraId="7E3D93D8" w14:textId="075EF663" w:rsidR="00F72238" w:rsidRPr="00AB66ED" w:rsidRDefault="00F72238" w:rsidP="00AB66ED">
      <w:pPr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F722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B66ED" w:rsidRPr="00AB66ED">
        <w:rPr>
          <w:rFonts w:ascii="GHEA Grapalat" w:eastAsia="Calibri" w:hAnsi="GHEA Grapalat" w:cs="Times New Roman"/>
          <w:b/>
          <w:sz w:val="24"/>
          <w:szCs w:val="24"/>
          <w:lang w:val="hy-AM"/>
        </w:rPr>
        <w:t>ՀԱՅԱՍՏԱՆԻ ՀԱՆՐԱՊԵՏՈՒԹՅԱՆ ՊԵՏՈՒԹՅՈՒՆ-ՄԱՍՆԱՎՈՐ ԳՈՐԾԸՆԿԵՐՈՒԹՅԱՆ ՊԱՅՄԱՆԱԿԱՆ ԵՎ ՈՒՂՂԱԿԻ ՊԱՐՏԱՎՈՐՈՒԹՅՈՒՆՆԵՐԻ ԹՈՒՅԼԱՏՐԵԼԻ ՍԱՀՄԱՆԱՉԱՓ ՍԱՀՄԱՆԵԼՈՒ ՄԱՍԻՆ</w:t>
      </w:r>
      <w:r w:rsidRPr="00F722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Pr="00F7223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ԿԱՌԱՎԱՐՈՒԹՅԱՆ ՈՐՈՇՄԱՆ ՆԱԽԱԳԾԻ ԸՆԴՈՒՆՄԱՆ</w:t>
      </w:r>
    </w:p>
    <w:p w14:paraId="1B5DD350" w14:textId="77777777" w:rsidR="00F72238" w:rsidRPr="00F72238" w:rsidRDefault="00F72238" w:rsidP="00F72238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14:paraId="798051B1" w14:textId="77777777" w:rsidR="00F72238" w:rsidRPr="00F72238" w:rsidRDefault="00F72238" w:rsidP="007133F8">
      <w:pPr>
        <w:spacing w:after="0" w:line="360" w:lineRule="auto"/>
        <w:ind w:left="1287" w:firstLine="153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  <w:r w:rsidRPr="00F7223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1. Իրավական ակտի ընդունման անհրաժեշտությունը (նպատակը)</w:t>
      </w:r>
    </w:p>
    <w:p w14:paraId="4ACAE4E4" w14:textId="77777777" w:rsidR="00F72238" w:rsidRPr="00312C97" w:rsidRDefault="00F72238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312C97">
        <w:rPr>
          <w:rFonts w:ascii="GHEA Grapalat" w:eastAsia="Calibri" w:hAnsi="GHEA Grapalat" w:cs="Sylfaen"/>
          <w:sz w:val="24"/>
          <w:szCs w:val="24"/>
          <w:lang w:val="hy-AM" w:eastAsia="ru-RU"/>
        </w:rPr>
        <w:t>2019 թվականի</w:t>
      </w:r>
      <w:r w:rsidRPr="00312C97">
        <w:rPr>
          <w:rFonts w:ascii="GHEA Grapalat" w:eastAsia="Calibri" w:hAnsi="GHEA Grapalat" w:cs="Arial Armenian"/>
          <w:sz w:val="24"/>
          <w:szCs w:val="24"/>
          <w:lang w:val="hy-AM" w:eastAsia="ru-RU"/>
        </w:rPr>
        <w:t xml:space="preserve"> հունիսի 28</w:t>
      </w:r>
      <w:r w:rsidRPr="00312C97">
        <w:rPr>
          <w:rFonts w:ascii="GHEA Grapalat" w:eastAsia="Calibri" w:hAnsi="GHEA Grapalat" w:cs="Sylfaen"/>
          <w:sz w:val="24"/>
          <w:szCs w:val="24"/>
          <w:lang w:val="hy-AM" w:eastAsia="ru-RU"/>
        </w:rPr>
        <w:t>-ին ընդունվել է</w:t>
      </w:r>
      <w:r w:rsidRPr="00312C97">
        <w:rPr>
          <w:rFonts w:ascii="Calibri" w:eastAsia="Calibri" w:hAnsi="Calibri" w:cs="Calibri"/>
          <w:color w:val="000000"/>
          <w:sz w:val="24"/>
          <w:szCs w:val="24"/>
          <w:lang w:val="hy-AM" w:eastAsia="ru-RU"/>
        </w:rPr>
        <w:t> </w:t>
      </w:r>
      <w:r w:rsidRPr="00312C97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 xml:space="preserve">«Պետություն-մասնավոր գործընկերության մասին» ՀՕ-113-Ն օրենքը (այսուհետ` Օրենք), որով նախատեսված է սահմանել </w:t>
      </w:r>
      <w:r w:rsidRPr="00312C9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պետություն-մասնավոր գործընկերության հարաբերությունները, իրականացման չափանիշները, ընթացակարգերը, կառավարման ինստիտուցիոնալ շրջանակը և կիրառելի սկզբունքները: Օրենքի նպատակն է հաջողակ </w:t>
      </w:r>
      <w:r w:rsidRPr="00312C97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>պետություն-մասնավոր գործընկերության (</w:t>
      </w:r>
      <w:r w:rsidRPr="00312C9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ՊՄԳ) ծրագրի ստեղծման, խթանման և կառավարման նպատակով սահմանել անհրաժեշտ օրենսդրական և ինստիտուցիոնալ հիմքեր: </w:t>
      </w:r>
    </w:p>
    <w:p w14:paraId="64BBE6C0" w14:textId="77777777" w:rsidR="00F72238" w:rsidRDefault="00F72238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312C9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Համաձայն Օրենքի` Հայաստանի Հանրապետության կառավարությունը սահմանում է` </w:t>
      </w:r>
      <w:r w:rsidR="009447AF" w:rsidRPr="00312C97">
        <w:rPr>
          <w:rFonts w:ascii="GHEA Grapalat" w:eastAsia="Calibri" w:hAnsi="GHEA Grapalat" w:cs="Times New Roman"/>
          <w:sz w:val="24"/>
          <w:szCs w:val="24"/>
          <w:lang w:val="hy-AM" w:eastAsia="ru-RU"/>
        </w:rPr>
        <w:t>Օ</w:t>
      </w:r>
      <w:r w:rsidRPr="00312C97">
        <w:rPr>
          <w:rFonts w:ascii="GHEA Grapalat" w:eastAsia="Calibri" w:hAnsi="GHEA Grapalat" w:cs="Times New Roman"/>
          <w:sz w:val="24"/>
          <w:szCs w:val="24"/>
          <w:lang w:val="hy-AM" w:eastAsia="ru-RU"/>
        </w:rPr>
        <w:t>րենքն ուժի մեջ մտնելուց հետո կնքված ՊՄԳ պայմանագրերի գծով Հայաստանի Հանրապետության պայմանական պարտավորությունների թույլատրելի սահմանաչափ (Հոդված 2, մաս 1, կետ 16):</w:t>
      </w:r>
    </w:p>
    <w:p w14:paraId="6510C873" w14:textId="798DDF33" w:rsidR="00336D89" w:rsidRDefault="005C1861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Նշված սահմանաչափը սահմանվել էր </w:t>
      </w:r>
      <w:r w:rsidR="003A3454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սույն թվականի </w:t>
      </w:r>
      <w:r w:rsidR="003A3454" w:rsidRPr="003A3454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Հունիսի 10 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կառավարության</w:t>
      </w:r>
      <w:r w:rsidR="003A3454" w:rsidRPr="003A3454">
        <w:rPr>
          <w:rFonts w:ascii="GHEA Grapalat" w:eastAsia="Calibri" w:hAnsi="GHEA Grapalat" w:cs="Times New Roman"/>
          <w:sz w:val="24"/>
          <w:szCs w:val="24"/>
          <w:lang w:val="hy-AM" w:eastAsia="ru-RU"/>
        </w:rPr>
        <w:t>, 955</w:t>
      </w:r>
      <w:r w:rsidR="003A3454">
        <w:rPr>
          <w:rFonts w:ascii="GHEA Grapalat" w:eastAsia="Calibri" w:hAnsi="GHEA Grapalat" w:cs="Times New Roman"/>
          <w:sz w:val="24"/>
          <w:szCs w:val="24"/>
          <w:lang w:val="hy-AM" w:eastAsia="ru-RU"/>
        </w:rPr>
        <w:t>–</w:t>
      </w:r>
      <w:r w:rsidR="003A3454" w:rsidRPr="003A3454">
        <w:rPr>
          <w:rFonts w:ascii="GHEA Grapalat" w:eastAsia="Calibri" w:hAnsi="GHEA Grapalat" w:cs="Times New Roman"/>
          <w:sz w:val="24"/>
          <w:szCs w:val="24"/>
          <w:lang w:val="hy-AM" w:eastAsia="ru-RU"/>
        </w:rPr>
        <w:t>Լ</w:t>
      </w:r>
      <w:r w:rsidR="003A3454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որոշմամբ։</w:t>
      </w:r>
      <w:r w:rsidR="00792A6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Այդ սահմանաչափը վերաբերում է միայն ՊՄԳ</w:t>
      </w:r>
      <w:r w:rsidR="00086FD8">
        <w:rPr>
          <w:rFonts w:ascii="GHEA Grapalat" w:eastAsia="Calibri" w:hAnsi="GHEA Grapalat" w:cs="Times New Roman"/>
          <w:sz w:val="24"/>
          <w:szCs w:val="24"/>
          <w:lang w:val="hy-AM" w:eastAsia="ru-RU"/>
        </w:rPr>
        <w:t>-</w:t>
      </w:r>
      <w:r w:rsid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ներից ծագող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086FD8">
        <w:rPr>
          <w:rFonts w:ascii="GHEA Grapalat" w:eastAsia="Calibri" w:hAnsi="GHEA Grapalat" w:cs="Times New Roman"/>
          <w:sz w:val="24"/>
          <w:szCs w:val="24"/>
          <w:lang w:val="hy-AM" w:eastAsia="ru-RU"/>
        </w:rPr>
        <w:t>պ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այմանական պարտավորություններին (ՊՊ): </w:t>
      </w:r>
    </w:p>
    <w:p w14:paraId="74EC2D85" w14:textId="6A56A590" w:rsidR="00336D89" w:rsidRPr="001D1F57" w:rsidRDefault="00336D89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F72238">
        <w:rPr>
          <w:rFonts w:ascii="GHEA Grapalat" w:eastAsia="Calibri" w:hAnsi="GHEA Grapalat" w:cs="Sylfaen"/>
          <w:sz w:val="24"/>
          <w:szCs w:val="24"/>
          <w:lang w:val="hy-AM" w:eastAsia="ru-RU"/>
        </w:rPr>
        <w:t>20</w:t>
      </w:r>
      <w:r w:rsidRPr="00F00DD8">
        <w:rPr>
          <w:rFonts w:ascii="GHEA Grapalat" w:eastAsia="Calibri" w:hAnsi="GHEA Grapalat" w:cs="Sylfaen"/>
          <w:sz w:val="24"/>
          <w:szCs w:val="24"/>
          <w:lang w:val="hy-AM" w:eastAsia="ru-RU"/>
        </w:rPr>
        <w:t>2</w:t>
      </w:r>
      <w:r w:rsidRPr="00B73A2B">
        <w:rPr>
          <w:rFonts w:ascii="GHEA Grapalat" w:eastAsia="Calibri" w:hAnsi="GHEA Grapalat" w:cs="Sylfaen"/>
          <w:sz w:val="24"/>
          <w:szCs w:val="24"/>
          <w:lang w:val="hy-AM" w:eastAsia="ru-RU"/>
        </w:rPr>
        <w:t>1</w:t>
      </w:r>
      <w:r w:rsidRPr="00F72238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թվականի</w:t>
      </w:r>
      <w:r w:rsidRPr="00F72238">
        <w:rPr>
          <w:rFonts w:ascii="GHEA Grapalat" w:eastAsia="Calibri" w:hAnsi="GHEA Grapalat" w:cs="Arial Armenian"/>
          <w:sz w:val="24"/>
          <w:szCs w:val="24"/>
          <w:lang w:val="hy-AM" w:eastAsia="ru-RU"/>
        </w:rPr>
        <w:t xml:space="preserve"> հունիսի </w:t>
      </w:r>
      <w:r w:rsidRPr="00B73A2B">
        <w:rPr>
          <w:rFonts w:ascii="GHEA Grapalat" w:eastAsia="Calibri" w:hAnsi="GHEA Grapalat" w:cs="Arial Armenian"/>
          <w:sz w:val="24"/>
          <w:szCs w:val="24"/>
          <w:lang w:val="hy-AM" w:eastAsia="ru-RU"/>
        </w:rPr>
        <w:t>3</w:t>
      </w:r>
      <w:r w:rsidRPr="00FA6E49">
        <w:rPr>
          <w:rFonts w:ascii="GHEA Grapalat" w:eastAsia="Calibri" w:hAnsi="GHEA Grapalat" w:cs="Arial Armenian"/>
          <w:sz w:val="24"/>
          <w:szCs w:val="24"/>
          <w:lang w:val="hy-AM" w:eastAsia="ru-RU"/>
        </w:rPr>
        <w:t>0</w:t>
      </w:r>
      <w:r w:rsidRPr="00F72238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-ին </w:t>
      </w:r>
      <w:r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Ազգային ժողովի կողմից </w:t>
      </w:r>
      <w:r w:rsidRPr="00F72238">
        <w:rPr>
          <w:rFonts w:ascii="GHEA Grapalat" w:eastAsia="Calibri" w:hAnsi="GHEA Grapalat" w:cs="Sylfaen"/>
          <w:sz w:val="24"/>
          <w:szCs w:val="24"/>
          <w:lang w:val="hy-AM" w:eastAsia="ru-RU"/>
        </w:rPr>
        <w:t>ընդունվել է</w:t>
      </w:r>
      <w:r w:rsidRPr="00F72238">
        <w:rPr>
          <w:rFonts w:ascii="Calibri" w:eastAsia="Calibri" w:hAnsi="Calibri" w:cs="Calibri"/>
          <w:color w:val="000000"/>
          <w:sz w:val="24"/>
          <w:szCs w:val="24"/>
          <w:lang w:val="hy-AM" w:eastAsia="ru-RU"/>
        </w:rPr>
        <w:t> </w:t>
      </w:r>
      <w:r w:rsidRPr="00F72238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>«Պետություն-մասնավոր գործընկերության մասին» ՀՕ-113-Ն օրենք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 xml:space="preserve">ում </w:t>
      </w:r>
      <w:r w:rsidRPr="00FA6E49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 xml:space="preserve">լրացումներ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>և</w:t>
      </w:r>
      <w:r w:rsidRPr="00FA6E49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 xml:space="preserve"> փոփոխություններ կատարելու մասին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F72238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>օրենքը, որով մասնավորապես փոփոխության է ենթարկվել «ֆիսկալ մատչելիության սահմանումը», որն ընդլայնվել է</w:t>
      </w:r>
      <w:r w:rsidR="00807A91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>՝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 xml:space="preserve"> ընդգրկել</w:t>
      </w:r>
      <w:r w:rsidR="00807A91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>ով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 xml:space="preserve"> նաև ուղղակի պարտավորությունների սահմանաչափ։ Դրանով պայմանավորված առաջարկվում է ընդունել նոր որոշում, որով սահմանված կլինեն ինչպես </w:t>
      </w:r>
      <w:r w:rsidR="003C06B4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>պայմանական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 xml:space="preserve"> պարտավորությունների, այդպես էլ ուղղակի պարտավորությունների սահմանաչափերը։</w:t>
      </w:r>
    </w:p>
    <w:p w14:paraId="23AA2D33" w14:textId="27842184" w:rsidR="005F286D" w:rsidRPr="005F286D" w:rsidRDefault="00807A91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Ուղղակի պարտավորությունները</w:t>
      </w:r>
      <w:r w:rsidR="00A366C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ներկայացնում են ապագա արտահոսքերը</w:t>
      </w:r>
      <w:r w:rsidR="003548DF">
        <w:rPr>
          <w:rFonts w:ascii="GHEA Grapalat" w:eastAsia="Calibri" w:hAnsi="GHEA Grapalat" w:cs="Times New Roman"/>
          <w:sz w:val="24"/>
          <w:szCs w:val="24"/>
          <w:lang w:val="hy-AM" w:eastAsia="ru-RU"/>
        </w:rPr>
        <w:t>, որոնք ունեն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շատ բարձր որոշակիությ</w:t>
      </w:r>
      <w:r w:rsidR="003548DF">
        <w:rPr>
          <w:rFonts w:ascii="GHEA Grapalat" w:eastAsia="Calibri" w:hAnsi="GHEA Grapalat" w:cs="Times New Roman"/>
          <w:sz w:val="24"/>
          <w:szCs w:val="24"/>
          <w:lang w:val="hy-AM" w:eastAsia="ru-RU"/>
        </w:rPr>
        <w:t>ուն  և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սովորաբար արտացոլվում են </w:t>
      </w:r>
      <w:r w:rsidR="003548DF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պետական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բյուջե</w:t>
      </w:r>
      <w:r w:rsidR="003548DF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ում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և ՄԺԾԾ-ներում</w:t>
      </w:r>
      <w:r w:rsidR="00734BCE" w:rsidRPr="00734BC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: </w:t>
      </w:r>
      <w:r w:rsidR="00734BC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Բյուջետային թափանցիկության և </w:t>
      </w:r>
      <w:r w:rsidR="00AC3CB3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հաշվետվողական լավագույն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պրակտիկա</w:t>
      </w:r>
      <w:r w:rsidR="00AC3CB3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յի </w:t>
      </w:r>
      <w:r w:rsidR="00AC3CB3">
        <w:rPr>
          <w:rFonts w:ascii="GHEA Grapalat" w:eastAsia="Calibri" w:hAnsi="GHEA Grapalat" w:cs="Times New Roman"/>
          <w:sz w:val="24"/>
          <w:szCs w:val="24"/>
          <w:lang w:val="hy-AM" w:eastAsia="ru-RU"/>
        </w:rPr>
        <w:lastRenderedPageBreak/>
        <w:t xml:space="preserve">համաձայն </w:t>
      </w:r>
      <w:r w:rsidR="00E02E8E">
        <w:rPr>
          <w:rFonts w:ascii="GHEA Grapalat" w:eastAsia="Calibri" w:hAnsi="GHEA Grapalat" w:cs="Times New Roman"/>
          <w:sz w:val="24"/>
          <w:szCs w:val="24"/>
          <w:lang w:val="hy-AM" w:eastAsia="ru-RU"/>
        </w:rPr>
        <w:t>բյուջեի փա</w:t>
      </w:r>
      <w:r w:rsidR="00C248BB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ստաթղթերում </w:t>
      </w:r>
      <w:r w:rsidR="00EC6D7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արտացոլվում </w:t>
      </w:r>
      <w:r w:rsidR="00615F00">
        <w:rPr>
          <w:rFonts w:ascii="GHEA Grapalat" w:eastAsia="Calibri" w:hAnsi="GHEA Grapalat" w:cs="Times New Roman"/>
          <w:sz w:val="24"/>
          <w:szCs w:val="24"/>
          <w:lang w:val="hy-AM" w:eastAsia="ru-RU"/>
        </w:rPr>
        <w:t>է մ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ինչև պայմանագրի ավարտը </w:t>
      </w:r>
      <w:r w:rsidR="00615F00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ուղղակի պարտավորությունների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ընդհանուր գումար</w:t>
      </w:r>
      <w:r w:rsidR="00EC6D7D">
        <w:rPr>
          <w:rFonts w:ascii="GHEA Grapalat" w:eastAsia="Calibri" w:hAnsi="GHEA Grapalat" w:cs="Times New Roman"/>
          <w:sz w:val="24"/>
          <w:szCs w:val="24"/>
          <w:lang w:val="hy-AM" w:eastAsia="ru-RU"/>
        </w:rPr>
        <w:t>ը և ակնկալվող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տարեկան արտահոսք</w:t>
      </w:r>
      <w:r w:rsidR="00EC6D7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ը </w:t>
      </w:r>
      <w:r w:rsidR="000B0075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միջնաժամկետ ծախսային ծրագիրը գերազանցող ժամանակահատվածի համար։ </w:t>
      </w:r>
    </w:p>
    <w:p w14:paraId="5294B978" w14:textId="2CBC2DE2" w:rsidR="005F286D" w:rsidRPr="005F286D" w:rsidRDefault="005A49AD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Պայմանական պարտավ</w:t>
      </w:r>
      <w:r w:rsidR="00FC0274">
        <w:rPr>
          <w:rFonts w:ascii="GHEA Grapalat" w:eastAsia="Calibri" w:hAnsi="GHEA Grapalat" w:cs="Times New Roman"/>
          <w:sz w:val="24"/>
          <w:szCs w:val="24"/>
          <w:lang w:val="hy-AM" w:eastAsia="ru-RU"/>
        </w:rPr>
        <w:t>որ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ությունների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իրականացումը </w:t>
      </w:r>
      <w:r w:rsidR="00944593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անորոշ է՝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դրանք կարող են </w:t>
      </w:r>
      <w:r w:rsidR="006810AB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լինել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երաշխիքներ</w:t>
      </w:r>
      <w:r w:rsidR="006810AB">
        <w:rPr>
          <w:rFonts w:ascii="GHEA Grapalat" w:eastAsia="Calibri" w:hAnsi="GHEA Grapalat" w:cs="Times New Roman"/>
          <w:sz w:val="24"/>
          <w:szCs w:val="24"/>
          <w:lang w:val="hy-AM" w:eastAsia="ru-RU"/>
        </w:rPr>
        <w:t>ի ձևաչափով՝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պայմանագրից ակնկալվող եկամուտների </w:t>
      </w:r>
      <w:r w:rsidR="006810AB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կրճատումը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փոխհատուցելու</w:t>
      </w:r>
      <w:r w:rsidR="00513097">
        <w:rPr>
          <w:rFonts w:ascii="GHEA Grapalat" w:eastAsia="Calibri" w:hAnsi="GHEA Grapalat" w:cs="Times New Roman"/>
          <w:sz w:val="24"/>
          <w:szCs w:val="24"/>
          <w:lang w:val="hy-AM" w:eastAsia="ru-RU"/>
        </w:rPr>
        <w:t>,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անբավարար պահանջարկի դեպքում ծառայության որոշակի </w:t>
      </w:r>
      <w:r w:rsidR="006810AB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ծավալ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գնելու </w:t>
      </w:r>
      <w:r w:rsidR="00513097" w:rsidRPr="00513097">
        <w:rPr>
          <w:rFonts w:ascii="GHEA Grapalat" w:eastAsia="Calibri" w:hAnsi="GHEA Grapalat" w:cs="Times New Roman"/>
          <w:sz w:val="24"/>
          <w:szCs w:val="24"/>
          <w:lang w:val="hy-AM" w:eastAsia="ru-RU"/>
        </w:rPr>
        <w:t>(</w:t>
      </w:r>
      <w:r w:rsidR="00513097">
        <w:rPr>
          <w:rFonts w:ascii="GHEA Grapalat" w:eastAsia="Calibri" w:hAnsi="GHEA Grapalat" w:cs="Times New Roman"/>
          <w:sz w:val="24"/>
          <w:szCs w:val="24"/>
          <w:lang w:val="hy-AM" w:eastAsia="ru-RU"/>
        </w:rPr>
        <w:t>նվազագույն եկամտի երաշխիք</w:t>
      </w:r>
      <w:r w:rsidR="00513097" w:rsidRPr="0051309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)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կամ անսպասելի լրացուցիչ ծախսերի փոխհատուցման համար: </w:t>
      </w:r>
      <w:r w:rsidR="006E361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Ամենաէական պայմանական պարտավորությունը՝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նախագծ</w:t>
      </w:r>
      <w:r w:rsidR="00DB35DD">
        <w:rPr>
          <w:rFonts w:ascii="GHEA Grapalat" w:eastAsia="Calibri" w:hAnsi="GHEA Grapalat" w:cs="Times New Roman"/>
          <w:sz w:val="24"/>
          <w:szCs w:val="24"/>
          <w:lang w:val="hy-AM" w:eastAsia="ru-RU"/>
        </w:rPr>
        <w:t>ի նկատմամբ վերահսկողությունը</w:t>
      </w:r>
      <w:r w:rsidR="00AD27F2" w:rsidRPr="00AD27F2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AD27F2">
        <w:rPr>
          <w:rFonts w:ascii="GHEA Grapalat" w:eastAsia="Calibri" w:hAnsi="GHEA Grapalat" w:cs="Times New Roman"/>
          <w:sz w:val="24"/>
          <w:szCs w:val="24"/>
          <w:lang w:val="hy-AM" w:eastAsia="ru-RU"/>
        </w:rPr>
        <w:t>կառավարության կողմից</w:t>
      </w:r>
      <w:r w:rsidR="00DB35D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վերցնելու</w:t>
      </w:r>
      <w:r w:rsidR="00DB35D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ծրագիրը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հետ գնելու ռիսկն է, ներառյալ </w:t>
      </w:r>
      <w:r w:rsidR="002659C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առկայության դեպքում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ֆինանսական պար</w:t>
      </w:r>
      <w:r w:rsidR="00AD27F2">
        <w:rPr>
          <w:rFonts w:ascii="GHEA Grapalat" w:eastAsia="Calibri" w:hAnsi="GHEA Grapalat" w:cs="Times New Roman"/>
          <w:sz w:val="24"/>
          <w:szCs w:val="24"/>
          <w:lang w:val="hy-AM" w:eastAsia="ru-RU"/>
        </w:rPr>
        <w:t>տավորությունները՝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վաղաժամկետ դադարեցման իրադարձության նյութականացման </w:t>
      </w:r>
      <w:r w:rsidR="000012CB">
        <w:rPr>
          <w:rFonts w:ascii="GHEA Grapalat" w:eastAsia="Calibri" w:hAnsi="GHEA Grapalat" w:cs="Times New Roman"/>
          <w:sz w:val="24"/>
          <w:szCs w:val="24"/>
          <w:lang w:val="hy-AM" w:eastAsia="ru-RU"/>
        </w:rPr>
        <w:t>հետևանքով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: Այս ռիսկի </w:t>
      </w:r>
      <w:r w:rsidR="000012CB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նյութականացման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հավանականությունը կտրուկ մեծանում է տնտեսական և/կամ քաղաքական </w:t>
      </w:r>
      <w:r w:rsidR="00D6389E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ճգնաժամի </w:t>
      </w:r>
      <w:r w:rsidR="0025155D">
        <w:rPr>
          <w:rFonts w:ascii="GHEA Grapalat" w:eastAsia="Calibri" w:hAnsi="GHEA Grapalat" w:cs="Times New Roman"/>
          <w:sz w:val="24"/>
          <w:szCs w:val="24"/>
          <w:lang w:val="hy-AM" w:eastAsia="ru-RU"/>
        </w:rPr>
        <w:t>շրջանում</w:t>
      </w:r>
      <w:r w:rsidR="00165A70" w:rsidRPr="0025155D">
        <w:rPr>
          <w:rFonts w:ascii="GHEA Grapalat" w:eastAsia="Calibri" w:hAnsi="GHEA Grapalat" w:cs="Times New Roman"/>
          <w:sz w:val="24"/>
          <w:szCs w:val="24"/>
          <w:lang w:val="hy-AM" w:eastAsia="ru-RU"/>
        </w:rPr>
        <w:t>: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25155D">
        <w:rPr>
          <w:rFonts w:ascii="GHEA Grapalat" w:eastAsia="Calibri" w:hAnsi="GHEA Grapalat" w:cs="Times New Roman"/>
          <w:sz w:val="24"/>
          <w:szCs w:val="24"/>
          <w:lang w:val="hy-AM" w:eastAsia="ru-RU"/>
        </w:rPr>
        <w:t>Ս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ովորաբար այս տեսակի ռիսկ</w:t>
      </w:r>
      <w:r w:rsidR="00BB42B2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ի արժեքը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հասնում է </w:t>
      </w:r>
      <w:r w:rsidR="00BB42B2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առավելագույնի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շինարարության </w:t>
      </w:r>
      <w:r w:rsidR="00BB42B2">
        <w:rPr>
          <w:rFonts w:ascii="GHEA Grapalat" w:eastAsia="Calibri" w:hAnsi="GHEA Grapalat" w:cs="Times New Roman"/>
          <w:sz w:val="24"/>
          <w:szCs w:val="24"/>
          <w:lang w:val="hy-AM" w:eastAsia="ru-RU"/>
        </w:rPr>
        <w:t>փուլի ավարտին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, այնուհետև ժամանակի ընթացքում նվազում է</w:t>
      </w:r>
      <w:r w:rsidR="00290E8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՝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ակտիվներ</w:t>
      </w:r>
      <w:r w:rsidR="00290E8A">
        <w:rPr>
          <w:rFonts w:ascii="GHEA Grapalat" w:eastAsia="Calibri" w:hAnsi="GHEA Grapalat" w:cs="Times New Roman"/>
          <w:sz w:val="24"/>
          <w:szCs w:val="24"/>
          <w:lang w:val="hy-AM" w:eastAsia="ru-RU"/>
        </w:rPr>
        <w:t>ի մաշվածությանը զուգահեռ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:</w:t>
      </w:r>
    </w:p>
    <w:p w14:paraId="2E9C166C" w14:textId="49FA3DC5" w:rsidR="005F286D" w:rsidRPr="005F286D" w:rsidRDefault="00DF1957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Ուղղակի պարտավորությունները </w:t>
      </w:r>
      <w:r w:rsidR="00DC33F7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պայմանագրի գործողության ընթացքում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վճարումներ</w:t>
      </w:r>
      <w:r w:rsidR="00DC33F7">
        <w:rPr>
          <w:rFonts w:ascii="GHEA Grapalat" w:eastAsia="Calibri" w:hAnsi="GHEA Grapalat" w:cs="Times New Roman"/>
          <w:sz w:val="24"/>
          <w:szCs w:val="24"/>
          <w:lang w:val="hy-AM" w:eastAsia="ru-RU"/>
        </w:rPr>
        <w:t>ն են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, որոն</w:t>
      </w:r>
      <w:r w:rsidR="00DC33F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ք միտված են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փոխհատուցել</w:t>
      </w:r>
      <w:r w:rsidR="00DC33F7">
        <w:rPr>
          <w:rFonts w:ascii="GHEA Grapalat" w:eastAsia="Calibri" w:hAnsi="GHEA Grapalat" w:cs="Times New Roman"/>
          <w:sz w:val="24"/>
          <w:szCs w:val="24"/>
          <w:lang w:val="hy-AM" w:eastAsia="ru-RU"/>
        </w:rPr>
        <w:t>ու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մասնավոր գործընկերոջը իր </w:t>
      </w:r>
      <w:r w:rsidR="000D292B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կատարած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ներդրումներ</w:t>
      </w:r>
      <w:r w:rsidR="000D292B">
        <w:rPr>
          <w:rFonts w:ascii="GHEA Grapalat" w:eastAsia="Calibri" w:hAnsi="GHEA Grapalat" w:cs="Times New Roman"/>
          <w:sz w:val="24"/>
          <w:szCs w:val="24"/>
          <w:lang w:val="hy-AM" w:eastAsia="ru-RU"/>
        </w:rPr>
        <w:t>ը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գումարած </w:t>
      </w:r>
      <w:r w:rsidR="008A581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շահագործման և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սպասարկ</w:t>
      </w:r>
      <w:r w:rsidR="008A5817">
        <w:rPr>
          <w:rFonts w:ascii="GHEA Grapalat" w:eastAsia="Calibri" w:hAnsi="GHEA Grapalat" w:cs="Times New Roman"/>
          <w:sz w:val="24"/>
          <w:szCs w:val="24"/>
          <w:lang w:val="hy-AM" w:eastAsia="ru-RU"/>
        </w:rPr>
        <w:t>ման ծախսերը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գումարած </w:t>
      </w:r>
      <w:r w:rsidR="008A581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ներգրավված փոխառու միջոցների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դիմաց վճարված տոկոսները, գումարած ողջամիտ </w:t>
      </w:r>
      <w:r w:rsidR="008A581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շահույթի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մարժա</w:t>
      </w:r>
      <w:r w:rsidR="00797983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։ </w:t>
      </w:r>
      <w:r w:rsidR="00510F48">
        <w:rPr>
          <w:rFonts w:ascii="GHEA Grapalat" w:eastAsia="Calibri" w:hAnsi="GHEA Grapalat" w:cs="Times New Roman"/>
          <w:sz w:val="24"/>
          <w:szCs w:val="24"/>
          <w:lang w:val="hy-AM" w:eastAsia="ru-RU"/>
        </w:rPr>
        <w:t>Դ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րանք կարող են </w:t>
      </w:r>
      <w:r w:rsidR="00510F4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արտահայտվել նաև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տարեկան սուբսիդիաներ</w:t>
      </w:r>
      <w:r w:rsidR="00510F48">
        <w:rPr>
          <w:rFonts w:ascii="GHEA Grapalat" w:eastAsia="Calibri" w:hAnsi="GHEA Grapalat" w:cs="Times New Roman"/>
          <w:sz w:val="24"/>
          <w:szCs w:val="24"/>
          <w:lang w:val="hy-AM" w:eastAsia="ru-RU"/>
        </w:rPr>
        <w:t>ի ձևով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երբ օգտագործողների </w:t>
      </w:r>
      <w:r w:rsidR="00510F4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համար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սոցիալական քաղաքականության պատճառով </w:t>
      </w:r>
      <w:r w:rsidR="005B3880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սահմանված </w:t>
      </w:r>
      <w:r w:rsidR="005B3880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սակագները </w:t>
      </w:r>
      <w:r w:rsidR="00061AAF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չեն հատուցում </w:t>
      </w:r>
      <w:r w:rsidR="000159D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մասնավոր գործընկերոջ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ծախսեր</w:t>
      </w:r>
      <w:r w:rsidR="00061AAF">
        <w:rPr>
          <w:rFonts w:ascii="GHEA Grapalat" w:eastAsia="Calibri" w:hAnsi="GHEA Grapalat" w:cs="Times New Roman"/>
          <w:sz w:val="24"/>
          <w:szCs w:val="24"/>
          <w:lang w:val="hy-AM" w:eastAsia="ru-RU"/>
        </w:rPr>
        <w:t>ը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: </w:t>
      </w:r>
    </w:p>
    <w:p w14:paraId="1790517C" w14:textId="6DF51E3D" w:rsidR="00F72238" w:rsidRPr="00F72238" w:rsidRDefault="00253B34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Այն դեպքերում, եթե պայմանագիրը չի նախատեսում ուղղակի պարտավորություններ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,</w:t>
      </w:r>
      <w:r w:rsidR="00117B1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այլ միայն պայմանական պարտավորություններ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,</w:t>
      </w:r>
      <w:r w:rsidR="00F709F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ապա դրանց կառավարումը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դառնում </w:t>
      </w:r>
      <w:r w:rsidR="00AF6E4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է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ավելի կարևոր</w:t>
      </w:r>
      <w:r w:rsidR="00AF6E4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իսկ դրանց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նյութականացման ռիսկ</w:t>
      </w:r>
      <w:r w:rsidR="00AF6E46">
        <w:rPr>
          <w:rFonts w:ascii="GHEA Grapalat" w:eastAsia="Calibri" w:hAnsi="GHEA Grapalat" w:cs="Times New Roman"/>
          <w:sz w:val="24"/>
          <w:szCs w:val="24"/>
          <w:lang w:val="hy-AM" w:eastAsia="ru-RU"/>
        </w:rPr>
        <w:t>ը սովորաբար գնահատվում է ավելի բարձր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, հատկապես վաղաժամկետ դադարեցման դրույթների</w:t>
      </w:r>
      <w:r w:rsidR="00177A9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մասով։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177A9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Ուղղակի պարտավորությունների 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բացակայությունը բնորոշ է օգտագործողների կողմից ֆինանսավորվող ՊՄԳ</w:t>
      </w:r>
      <w:r w:rsidR="003D6921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ծրագրերին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որտեղ մասնավոր գործընկերը ակնկալվում է շահույթ ստանալ </w:t>
      </w:r>
      <w:r w:rsidR="00C71A6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օգտագործողների կողմից վճարների </w:t>
      </w:r>
      <w:r w:rsidR="00C71A66" w:rsidRPr="00C71A66">
        <w:rPr>
          <w:rFonts w:ascii="GHEA Grapalat" w:eastAsia="Calibri" w:hAnsi="GHEA Grapalat" w:cs="Times New Roman"/>
          <w:sz w:val="24"/>
          <w:szCs w:val="24"/>
          <w:lang w:val="hy-AM" w:eastAsia="ru-RU"/>
        </w:rPr>
        <w:t>(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>սակագների</w:t>
      </w:r>
      <w:r w:rsidR="00C71A66" w:rsidRPr="00C71A66">
        <w:rPr>
          <w:rFonts w:ascii="GHEA Grapalat" w:eastAsia="Calibri" w:hAnsi="GHEA Grapalat" w:cs="Times New Roman"/>
          <w:sz w:val="24"/>
          <w:szCs w:val="24"/>
          <w:lang w:val="hy-AM" w:eastAsia="ru-RU"/>
        </w:rPr>
        <w:t>)</w:t>
      </w:r>
      <w:r w:rsidR="005F286D" w:rsidRPr="005F286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միջոցով (օրինակ՝ օդանավակայաններ կամ վճարովի ճանապարհներ):</w:t>
      </w:r>
    </w:p>
    <w:p w14:paraId="1692AD95" w14:textId="77777777" w:rsidR="004E6F7D" w:rsidRPr="000B138A" w:rsidRDefault="00F72238" w:rsidP="007133F8">
      <w:pPr>
        <w:numPr>
          <w:ilvl w:val="0"/>
          <w:numId w:val="2"/>
        </w:numPr>
        <w:tabs>
          <w:tab w:val="left" w:pos="1260"/>
          <w:tab w:val="left" w:pos="1350"/>
        </w:tabs>
        <w:spacing w:after="0" w:line="360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F72238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lastRenderedPageBreak/>
        <w:t xml:space="preserve">Կարգավորման հարաբերությունների առկա վիճակը </w:t>
      </w:r>
    </w:p>
    <w:p w14:paraId="1419F510" w14:textId="77777777" w:rsidR="004E6F7D" w:rsidRPr="004E6F7D" w:rsidRDefault="004E6F7D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4E6F7D">
        <w:rPr>
          <w:rFonts w:ascii="GHEA Grapalat" w:eastAsia="Calibri" w:hAnsi="GHEA Grapalat" w:cs="Times New Roman"/>
          <w:sz w:val="24"/>
          <w:szCs w:val="24"/>
          <w:lang w:val="hy-AM" w:eastAsia="ru-RU"/>
        </w:rPr>
        <w:t>Հայաստանի Հանրապետությունում ՊՄԳ-ներից բխող իրավահարաբերությունների օրենսդրական կարգավորման  նպատակն է խթանել երկրում հանրային ենթակառուցվածքների  բարելավումը, ստեղծել պետություն-մասնավոր գործընկերության  բարեհաջող ծրագրերի իրագործման, խթանման և կառավարման բարենպաստ օրենսդրական և ինստիտուցիոնալ միջավայր, համարժեք՝ պետություն-մասնավոր գործընկերության միջազգային լավագույն փորձին, միաժամանակ պահպանելով ՊՄԳ պայմանագրերից ծագող ֆիսկալ ազդեցությունների սահմանափակումը:</w:t>
      </w:r>
    </w:p>
    <w:p w14:paraId="42DB28AD" w14:textId="25ACB445" w:rsidR="004E6F7D" w:rsidRDefault="004E6F7D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4E6F7D">
        <w:rPr>
          <w:rFonts w:ascii="GHEA Grapalat" w:eastAsia="Calibri" w:hAnsi="GHEA Grapalat" w:cs="Times New Roman"/>
          <w:sz w:val="24"/>
          <w:szCs w:val="24"/>
          <w:lang w:val="hy-AM" w:eastAsia="ru-RU"/>
        </w:rPr>
        <w:t>Հարկ է նշել, որ  Օրենքի կիրարկման և հետևաբար հանրային ենթակառուցվածքներում մասնավոր հատվածի ֆինանսական և կառավարման կարողությունների ներգրավմանն ուղղված  ենթաօրենսդրական շրջանակը դեռևս ամբողջական չէ: Մասնավորապես</w:t>
      </w:r>
      <w:r w:rsidRPr="00F00DD8">
        <w:rPr>
          <w:rFonts w:ascii="GHEA Grapalat" w:eastAsia="Calibri" w:hAnsi="GHEA Grapalat" w:cs="Times New Roman"/>
          <w:sz w:val="24"/>
          <w:szCs w:val="24"/>
          <w:lang w:val="hy-AM" w:eastAsia="ru-RU"/>
        </w:rPr>
        <w:t>,</w:t>
      </w:r>
      <w:r w:rsidRPr="004E6F7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ՊՄԳ իրավահարաբերությունների կարգավորման շրջանակներում, հարկաբյուջետային ռիսկերի կառավարման ու ֆիսկալ կայունության ապահովման նպատակով, Օրենքը ամրագրում է  ՊՄԳ </w:t>
      </w:r>
      <w:r w:rsidR="001D1F5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ուղղակի և պայմանական </w:t>
      </w:r>
      <w:r w:rsidRPr="004E6F7D">
        <w:rPr>
          <w:rFonts w:ascii="GHEA Grapalat" w:eastAsia="Calibri" w:hAnsi="GHEA Grapalat" w:cs="Times New Roman"/>
          <w:sz w:val="24"/>
          <w:szCs w:val="24"/>
          <w:lang w:val="hy-AM" w:eastAsia="ru-RU"/>
        </w:rPr>
        <w:t>պարտավորությունների թույլատրելի առավելագույն չափ</w:t>
      </w:r>
      <w:r w:rsidR="00820A82">
        <w:rPr>
          <w:rFonts w:ascii="GHEA Grapalat" w:eastAsia="Calibri" w:hAnsi="GHEA Grapalat" w:cs="Times New Roman"/>
          <w:sz w:val="24"/>
          <w:szCs w:val="24"/>
          <w:lang w:val="hy-AM" w:eastAsia="ru-RU"/>
        </w:rPr>
        <w:t>երի</w:t>
      </w:r>
      <w:r w:rsidRPr="004E6F7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սահմանումը՝ ՀՀ կառավարության կողմից։ Այս սահմանումը կար</w:t>
      </w:r>
      <w:r w:rsidRPr="00F00DD8">
        <w:rPr>
          <w:rFonts w:ascii="GHEA Grapalat" w:eastAsia="Calibri" w:hAnsi="GHEA Grapalat" w:cs="Times New Roman"/>
          <w:sz w:val="24"/>
          <w:szCs w:val="24"/>
          <w:lang w:val="hy-AM" w:eastAsia="ru-RU"/>
        </w:rPr>
        <w:t>և</w:t>
      </w:r>
      <w:r w:rsidRPr="004E6F7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որվում է ՊՄԳ-ներից ծագող ֆիսկալ ռիսկերի զսպման անհրաժեշտության տեսանկյունից՝ նկատի առնելով դրանց կարճաժամկետ, միջնաժամկետ և երկարաժամկետ ազդեցությունները ընդհանուր հարկաբյուջետային իրավիճակի վրա։ </w:t>
      </w:r>
    </w:p>
    <w:p w14:paraId="3D8F8B89" w14:textId="77777777" w:rsidR="007133F8" w:rsidRDefault="00A82734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Գործող սահմանաչափը, որը կիրառելի է միայն պայմանական պարտավորությունների նկատմամբ </w:t>
      </w:r>
      <w:r w:rsidR="00A87E3E"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սահմանվել է </w:t>
      </w:r>
      <w:r w:rsidR="007C499E" w:rsidRPr="004E6F7D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 xml:space="preserve">հաշվարկի իրականացման տարվա Հայաստանի Հանրապետության համախառն ներքին արդյունքի ծրագրային ցուցանիշի </w:t>
      </w:r>
      <w:r w:rsidR="00A87E3E"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3%-ի չափով։ </w:t>
      </w:r>
    </w:p>
    <w:p w14:paraId="4FE657C5" w14:textId="66971136" w:rsidR="00A87E3E" w:rsidRPr="00A87E3E" w:rsidRDefault="00A87E3E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>Հաշվի առնելով</w:t>
      </w:r>
      <w:r w:rsidR="00841CA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հաշվարկի </w:t>
      </w:r>
      <w:r w:rsidR="00D00912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նկատմամբ կիրառելի </w:t>
      </w:r>
      <w:r w:rsidR="00841CA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մեթոդաբանությունը, որը հաստատվել է </w:t>
      </w:r>
      <w:r w:rsidR="00772B9F">
        <w:rPr>
          <w:rFonts w:ascii="GHEA Grapalat" w:eastAsia="Calibri" w:hAnsi="GHEA Grapalat" w:cs="Times New Roman"/>
          <w:sz w:val="24"/>
          <w:szCs w:val="24"/>
          <w:lang w:eastAsia="ru-RU"/>
        </w:rPr>
        <w:t xml:space="preserve">ՀՀ </w:t>
      </w:r>
      <w:proofErr w:type="spellStart"/>
      <w:r w:rsidR="00772B9F">
        <w:rPr>
          <w:rFonts w:ascii="GHEA Grapalat" w:eastAsia="Calibri" w:hAnsi="GHEA Grapalat" w:cs="Times New Roman"/>
          <w:sz w:val="24"/>
          <w:szCs w:val="24"/>
          <w:lang w:eastAsia="ru-RU"/>
        </w:rPr>
        <w:t>կառավարության</w:t>
      </w:r>
      <w:proofErr w:type="spellEnd"/>
      <w:r w:rsidR="00772B9F">
        <w:rPr>
          <w:rFonts w:ascii="GHEA Grapalat" w:eastAsia="Calibri" w:hAnsi="GHEA Grapalat" w:cs="Times New Roman"/>
          <w:sz w:val="24"/>
          <w:szCs w:val="24"/>
          <w:lang w:eastAsia="ru-RU"/>
        </w:rPr>
        <w:t xml:space="preserve"> </w:t>
      </w:r>
      <w:r w:rsidR="00327221" w:rsidRPr="000060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2020 թվականի </w:t>
      </w:r>
      <w:r w:rsidR="00772B9F">
        <w:rPr>
          <w:rFonts w:ascii="GHEA Grapalat" w:eastAsia="Calibri" w:hAnsi="GHEA Grapalat" w:cs="Times New Roman"/>
          <w:sz w:val="24"/>
          <w:szCs w:val="24"/>
          <w:lang w:val="hy-AM" w:eastAsia="ru-RU"/>
        </w:rPr>
        <w:t>ն</w:t>
      </w:r>
      <w:r w:rsidR="00884A2C" w:rsidRPr="0000605D">
        <w:rPr>
          <w:rFonts w:ascii="GHEA Grapalat" w:eastAsia="Calibri" w:hAnsi="GHEA Grapalat" w:cs="Times New Roman"/>
          <w:sz w:val="24"/>
          <w:szCs w:val="24"/>
          <w:lang w:val="hy-AM" w:eastAsia="ru-RU"/>
        </w:rPr>
        <w:t>ոյեմբերի</w:t>
      </w:r>
      <w:r w:rsidR="00327221" w:rsidRPr="000060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6</w:t>
      </w:r>
      <w:r w:rsidR="00772B9F">
        <w:rPr>
          <w:rFonts w:ascii="GHEA Grapalat" w:eastAsia="Calibri" w:hAnsi="GHEA Grapalat" w:cs="Times New Roman"/>
          <w:sz w:val="24"/>
          <w:szCs w:val="24"/>
          <w:lang w:eastAsia="ru-RU"/>
        </w:rPr>
        <w:t>-ի</w:t>
      </w:r>
      <w:r w:rsidR="00327221" w:rsidRPr="000060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772B9F">
        <w:rPr>
          <w:rFonts w:ascii="GHEA Grapalat" w:eastAsia="Calibri" w:hAnsi="GHEA Grapalat" w:cs="Times New Roman"/>
          <w:sz w:val="24"/>
          <w:szCs w:val="24"/>
          <w:lang w:eastAsia="ru-RU"/>
        </w:rPr>
        <w:t>N</w:t>
      </w:r>
      <w:r w:rsidR="00327221" w:rsidRPr="0000605D">
        <w:rPr>
          <w:rFonts w:ascii="GHEA Grapalat" w:eastAsia="Calibri" w:hAnsi="GHEA Grapalat" w:cs="Times New Roman"/>
          <w:sz w:val="24"/>
          <w:szCs w:val="24"/>
          <w:lang w:val="hy-AM" w:eastAsia="ru-RU"/>
        </w:rPr>
        <w:t>1785-Լ որոշմամբ</w:t>
      </w:r>
      <w:r w:rsidR="00884A2C" w:rsidRPr="0000605D">
        <w:rPr>
          <w:rFonts w:ascii="GHEA Grapalat" w:eastAsia="Calibri" w:hAnsi="GHEA Grapalat" w:cs="Times New Roman"/>
          <w:sz w:val="24"/>
          <w:szCs w:val="24"/>
          <w:lang w:val="hy-AM" w:eastAsia="ru-RU"/>
        </w:rPr>
        <w:t>,</w:t>
      </w: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3F65D6">
        <w:rPr>
          <w:rFonts w:ascii="GHEA Grapalat" w:eastAsia="Calibri" w:hAnsi="GHEA Grapalat" w:cs="Times New Roman"/>
          <w:sz w:val="24"/>
          <w:szCs w:val="24"/>
          <w:lang w:val="hy-AM" w:eastAsia="ru-RU"/>
        </w:rPr>
        <w:t>այն</w:t>
      </w: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գործնականում վերաբերում է և՛ տարեկան առավելագույն պոտենցիալ արտահոսքերին, եթե </w:t>
      </w:r>
      <w:r w:rsidR="005E340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կառավարությունը ստիպված լինի վերցնել ակտիվի նկատմամբ կառավարումը </w:t>
      </w: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(վաղաժամկետ դադարեցման ռիսկ), և՛ ընդհանուր </w:t>
      </w:r>
      <w:r w:rsidR="005E340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պայմանական պարտավորությունների </w:t>
      </w: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առավելագույն </w:t>
      </w:r>
      <w:r w:rsidR="00F15DF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ծավալի </w:t>
      </w: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>համար:</w:t>
      </w:r>
    </w:p>
    <w:p w14:paraId="53CD071F" w14:textId="77777777" w:rsidR="007133F8" w:rsidRDefault="00452F56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Սահմանաչափի </w:t>
      </w:r>
      <w:r w:rsidR="00A87E3E"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մակարդակը </w:t>
      </w:r>
      <w:r w:rsidR="00C04FC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պայմանավորված է </w:t>
      </w:r>
      <w:r w:rsid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>հետևա</w:t>
      </w:r>
      <w:r w:rsidR="00C04FC6">
        <w:rPr>
          <w:rFonts w:ascii="GHEA Grapalat" w:eastAsia="Calibri" w:hAnsi="GHEA Grapalat" w:cs="Times New Roman"/>
          <w:sz w:val="24"/>
          <w:szCs w:val="24"/>
          <w:lang w:val="hy-AM" w:eastAsia="ru-RU"/>
        </w:rPr>
        <w:t>լով</w:t>
      </w:r>
      <w:r w:rsidR="00A87E3E"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>.</w:t>
      </w:r>
      <w:r w:rsidR="007133F8">
        <w:rPr>
          <w:rFonts w:ascii="GHEA Grapalat" w:eastAsia="Calibri" w:hAnsi="GHEA Grapalat" w:cs="Times New Roman"/>
          <w:sz w:val="24"/>
          <w:szCs w:val="24"/>
          <w:lang w:eastAsia="ru-RU"/>
        </w:rPr>
        <w:t xml:space="preserve"> </w:t>
      </w:r>
    </w:p>
    <w:p w14:paraId="0E9BB06B" w14:textId="77777777" w:rsidR="007133F8" w:rsidRDefault="007133F8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eastAsia="ru-RU"/>
        </w:rPr>
        <w:t xml:space="preserve">- </w:t>
      </w:r>
      <w:r w:rsidR="004E475A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>ռիսկերի ն</w:t>
      </w:r>
      <w:r w:rsidR="00680A9C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յութականացման պարագայում </w:t>
      </w:r>
      <w:r w:rsidR="00705C0B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պարտավորությունների </w:t>
      </w:r>
      <w:r w:rsidR="00680A9C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>ողջ</w:t>
      </w:r>
      <w:r w:rsidR="004E475A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գումարը </w:t>
      </w:r>
      <w:r w:rsidR="00E97467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լինելու է </w:t>
      </w:r>
      <w:r w:rsidR="004E475A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բյուջետային շրջանակից դուրս և </w:t>
      </w:r>
      <w:r w:rsidR="00B35EF1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>դրանց</w:t>
      </w:r>
      <w:r w:rsidR="004E475A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սպասարկումը կբերի պետական պարտքի </w:t>
      </w:r>
      <w:r w:rsidR="004E475A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lastRenderedPageBreak/>
        <w:t>ավելացմանը</w:t>
      </w:r>
      <w:r w:rsidR="00E97467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իսկ հաշվի առնելով </w:t>
      </w:r>
      <w:r w:rsidR="003F3B20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>ներկայիս պարտք/ՀՆԱ հարաբերակցության բարձր մակարդակը</w:t>
      </w:r>
      <w:r w:rsidR="00EB26D9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>, նպատակահարմար չէ էական ռիսկեր</w:t>
      </w:r>
      <w:r w:rsidR="00966FB7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ի </w:t>
      </w:r>
      <w:r w:rsidR="002F63DA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ծավալ կուտակել նոր ՊՄԳ ծրագրերի գծով։ </w:t>
      </w:r>
    </w:p>
    <w:p w14:paraId="6CB441B9" w14:textId="4FE01A2B" w:rsidR="00F72238" w:rsidRPr="00F5454F" w:rsidRDefault="007133F8" w:rsidP="007133F8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eastAsia="ru-RU"/>
        </w:rPr>
        <w:t xml:space="preserve">- </w:t>
      </w:r>
      <w:r w:rsidR="00785468" w:rsidRPr="007133F8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>ՀՀ կառավարության 06.11.2020թ. «Պետություն-մասնավոր գործընկերության ծրագրերի գծով Հայաստանի Հանրապետության պայմանական պարտավորությունների հաշվարկման և գնահատման մեթոդաբանությունը սահմանելու մասին» N1785-Լ որոշման դրույթներին համապատասխան՝ իրականացվել է ՊՄԳ ծրագրերից ծագող պայմանական պարտավորությունների ֆիսկալ հետևանքների համակողմանի գնահատում (գնահատվել են գործող ՊՄԳ ծրագրերը և Էլեկտրաէներգիայի գնման պայմանագրերը</w:t>
      </w:r>
      <w:r w:rsidR="00785468">
        <w:rPr>
          <w:rStyle w:val="FootnoteReference"/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footnoteReference w:id="1"/>
      </w:r>
      <w:r w:rsidR="00785468" w:rsidRPr="007133F8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>։ Արդյունքում, պարզվել է, որ</w:t>
      </w:r>
      <w:r w:rsidR="00785468" w:rsidRPr="007133F8">
        <w:rPr>
          <w:rFonts w:ascii="Calibri" w:eastAsia="Calibri" w:hAnsi="Calibri" w:cs="Calibri"/>
          <w:color w:val="000000"/>
          <w:sz w:val="24"/>
          <w:szCs w:val="24"/>
          <w:lang w:val="hy-AM" w:eastAsia="ru-RU"/>
        </w:rPr>
        <w:t> </w:t>
      </w:r>
      <w:r w:rsidR="00785468" w:rsidRPr="007133F8">
        <w:rPr>
          <w:rFonts w:ascii="GHEA Grapalat" w:eastAsia="Calibri" w:hAnsi="GHEA Grapalat" w:cs="Times New Roman"/>
          <w:color w:val="000000"/>
          <w:sz w:val="24"/>
          <w:szCs w:val="24"/>
          <w:lang w:val="hy-AM" w:eastAsia="ru-RU"/>
        </w:rPr>
        <w:t xml:space="preserve"> ռիսկի ենթակա գումարի ընդհանուր չափը համարժեք է 2020թ. ՀՆԱ 8  տոկոսին) </w:t>
      </w:r>
      <w:r w:rsidR="004542C1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և </w:t>
      </w:r>
      <w:r w:rsidR="0000605D" w:rsidRP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>դրանք հարկաբյուջետային կայունության տեսանկյունից ևս պետք է հաշվի առնվեն։</w:t>
      </w:r>
    </w:p>
    <w:p w14:paraId="5A4A3DFB" w14:textId="77777777" w:rsidR="00084B9E" w:rsidRPr="000B138A" w:rsidRDefault="00F72238" w:rsidP="007133F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F72238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Առաջարկվող կարգավորման բնույթը</w:t>
      </w:r>
    </w:p>
    <w:p w14:paraId="6D38B60D" w14:textId="70963C4F" w:rsidR="00084B9E" w:rsidRPr="009E717A" w:rsidRDefault="00084B9E" w:rsidP="007133F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Նախագծով առաջարկվում է ՊՄԳ ծրագրերի գծով Հայաստանի Հանրապետության պայմանական պարտավորությունների թույլատրելի սահմանաչափը </w:t>
      </w:r>
      <w:r w:rsidR="0029362C"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>թողնել անփոփոխ</w:t>
      </w:r>
      <w:r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3 տոկոս՝ հաշվարկի իրականացման տարվա Հայաստանի Հանրապետության համախառն ներքին արդյունքի ծրագրային ցուցանիշի նկատմամբ</w:t>
      </w:r>
      <w:r w:rsidR="008803F2"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և ուղղակի պարտավորությունների թույլատրելի սահմանաչափ սահմանել 1 տոկոս՝ հաշվարկի իրականացման տարվա Հայաստանի Հանրապետության ծրագրային համախառն ներքին արդյունքի նկատմամբ:</w:t>
      </w:r>
    </w:p>
    <w:p w14:paraId="12384D2D" w14:textId="77777777" w:rsidR="002F453B" w:rsidRDefault="008803F2" w:rsidP="007133F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Միջազգային պրակտիկայում </w:t>
      </w:r>
      <w:r w:rsidR="0000605D"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ՊՄԳ-ից </w:t>
      </w:r>
      <w:r w:rsidR="00536722">
        <w:rPr>
          <w:rFonts w:ascii="GHEA Grapalat" w:eastAsia="Calibri" w:hAnsi="GHEA Grapalat" w:cs="Times New Roman"/>
          <w:sz w:val="24"/>
          <w:szCs w:val="24"/>
          <w:lang w:val="hy-AM" w:eastAsia="ru-RU"/>
        </w:rPr>
        <w:t>ծագող</w:t>
      </w:r>
      <w:r w:rsidR="0000605D"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պարտավորությունների առաստաղները </w:t>
      </w:r>
      <w:r w:rsidR="00536722">
        <w:rPr>
          <w:rFonts w:ascii="GHEA Grapalat" w:eastAsia="Calibri" w:hAnsi="GHEA Grapalat" w:cs="Times New Roman"/>
          <w:sz w:val="24"/>
          <w:szCs w:val="24"/>
          <w:lang w:val="hy-AM" w:eastAsia="ru-RU"/>
        </w:rPr>
        <w:t>սահմանվում են միասնական՝ պայմանական և ուղղակի պարտավորությունների համա</w:t>
      </w:r>
      <w:r w:rsidR="00E67C44">
        <w:rPr>
          <w:rFonts w:ascii="GHEA Grapalat" w:eastAsia="Calibri" w:hAnsi="GHEA Grapalat" w:cs="Times New Roman"/>
          <w:sz w:val="24"/>
          <w:szCs w:val="24"/>
          <w:lang w:val="hy-AM" w:eastAsia="ru-RU"/>
        </w:rPr>
        <w:t>ր</w:t>
      </w:r>
      <w:r w:rsidR="0000605D"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>:</w:t>
      </w:r>
      <w:r w:rsidR="00074C10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</w:p>
    <w:p w14:paraId="4D8FCB70" w14:textId="77777777" w:rsidR="000D4573" w:rsidRPr="009E717A" w:rsidRDefault="002F453B" w:rsidP="007133F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Կատարված </w:t>
      </w:r>
      <w:r w:rsidR="000D4573"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միջազգային փորձի </w:t>
      </w:r>
      <w:r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>ուսումնասիրությ</w:t>
      </w:r>
      <w:r w:rsidR="000D4573"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>ան արդյունքում կարող ենք փաստել, որ առաստաղի սահմանումը պայմանվորված չէ որևէ բանաձևով կամ ալգորիթմով, այլ բխում է հետևյալ գործոնների գնահատականից՝</w:t>
      </w:r>
    </w:p>
    <w:p w14:paraId="3241AF3E" w14:textId="761639DA" w:rsidR="000D4573" w:rsidRPr="009E717A" w:rsidRDefault="000D4573" w:rsidP="007133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>Պարտ</w:t>
      </w:r>
      <w:r w:rsidR="00107915"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>ք</w:t>
      </w:r>
      <w:r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>/ՀՆԱ հարաբերակցություն</w:t>
      </w:r>
      <w:r w:rsidR="00193859"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>,</w:t>
      </w:r>
    </w:p>
    <w:p w14:paraId="4F080C29" w14:textId="4B3EDAF7" w:rsidR="000D4573" w:rsidRPr="009E717A" w:rsidRDefault="000D4573" w:rsidP="009E717A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>ՊՄԳ իրականացման փորձ</w:t>
      </w:r>
      <w:r w:rsidR="00193859" w:rsidRPr="009E717A">
        <w:rPr>
          <w:rFonts w:ascii="GHEA Grapalat" w:eastAsia="Calibri" w:hAnsi="GHEA Grapalat" w:cs="Times New Roman"/>
          <w:sz w:val="24"/>
          <w:szCs w:val="24"/>
          <w:lang w:val="hy-AM" w:eastAsia="ru-RU"/>
        </w:rPr>
        <w:t>:</w:t>
      </w:r>
    </w:p>
    <w:p w14:paraId="495B114F" w14:textId="4419C889" w:rsidR="00B06EF4" w:rsidRPr="00A5775D" w:rsidRDefault="00B06EF4" w:rsidP="00A5775D">
      <w:pPr>
        <w:pStyle w:val="Caption"/>
        <w:keepNext/>
        <w:rPr>
          <w:lang w:val="hy-AM"/>
        </w:rPr>
      </w:pPr>
      <w:r w:rsidRPr="00A5775D">
        <w:rPr>
          <w:lang w:val="hy-AM"/>
        </w:rPr>
        <w:t xml:space="preserve">Աղյուսակ </w:t>
      </w:r>
      <w:r>
        <w:fldChar w:fldCharType="begin"/>
      </w:r>
      <w:r w:rsidRPr="00A5775D">
        <w:rPr>
          <w:lang w:val="hy-AM"/>
        </w:rPr>
        <w:instrText xml:space="preserve"> SEQ Աղյուսակ \* ARABIC </w:instrText>
      </w:r>
      <w:r>
        <w:fldChar w:fldCharType="separate"/>
      </w:r>
      <w:r w:rsidR="007133F8">
        <w:rPr>
          <w:noProof/>
          <w:lang w:val="hy-AM"/>
        </w:rPr>
        <w:t>1</w:t>
      </w:r>
      <w:r>
        <w:fldChar w:fldCharType="end"/>
      </w:r>
      <w:r w:rsidRPr="00A5775D">
        <w:rPr>
          <w:lang w:val="hy-AM"/>
        </w:rPr>
        <w:t xml:space="preserve"> </w:t>
      </w:r>
      <w:r>
        <w:rPr>
          <w:lang w:val="hy-AM"/>
        </w:rPr>
        <w:t>Ուղղակի և պայմանական պարտավորությունների միասնական առաստաղ սահմանած երկրների օրինակ</w:t>
      </w:r>
      <w:r w:rsidR="0074330E">
        <w:rPr>
          <w:lang w:val="hy-AM"/>
        </w:rPr>
        <w:t>ներ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4"/>
        <w:gridCol w:w="1638"/>
        <w:gridCol w:w="1638"/>
        <w:gridCol w:w="1638"/>
        <w:gridCol w:w="1638"/>
      </w:tblGrid>
      <w:tr w:rsidR="00E53316" w:rsidRPr="00CA6709" w14:paraId="5467C3FC" w14:textId="3E9FDF5C" w:rsidTr="00A5775D">
        <w:tc>
          <w:tcPr>
            <w:tcW w:w="3644" w:type="dxa"/>
          </w:tcPr>
          <w:p w14:paraId="6F882106" w14:textId="0CACC250" w:rsidR="00E53316" w:rsidRPr="00CA6709" w:rsidRDefault="00E53316" w:rsidP="00CA6709">
            <w:pPr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8" w:type="dxa"/>
          </w:tcPr>
          <w:p w14:paraId="62136B86" w14:textId="35B2B75B" w:rsidR="00E53316" w:rsidRPr="009859F7" w:rsidRDefault="00E53316" w:rsidP="009859F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9859F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Հունգարիա</w:t>
            </w:r>
          </w:p>
        </w:tc>
        <w:tc>
          <w:tcPr>
            <w:tcW w:w="1638" w:type="dxa"/>
          </w:tcPr>
          <w:p w14:paraId="6991B660" w14:textId="34F685B5" w:rsidR="00E53316" w:rsidRPr="009859F7" w:rsidRDefault="00140199" w:rsidP="009859F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9859F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Հոնդուրաս</w:t>
            </w:r>
          </w:p>
        </w:tc>
        <w:tc>
          <w:tcPr>
            <w:tcW w:w="1638" w:type="dxa"/>
          </w:tcPr>
          <w:p w14:paraId="39918740" w14:textId="59205784" w:rsidR="00E53316" w:rsidRPr="009859F7" w:rsidRDefault="00140199" w:rsidP="009859F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9859F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Պերու</w:t>
            </w:r>
          </w:p>
        </w:tc>
        <w:tc>
          <w:tcPr>
            <w:tcW w:w="1638" w:type="dxa"/>
          </w:tcPr>
          <w:p w14:paraId="1648AE48" w14:textId="72DF3A54" w:rsidR="00E53316" w:rsidRPr="009859F7" w:rsidRDefault="005E4587" w:rsidP="009859F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9859F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Սալվադոր</w:t>
            </w:r>
          </w:p>
        </w:tc>
      </w:tr>
      <w:tr w:rsidR="00E53316" w:rsidRPr="00CA6709" w14:paraId="61241EA1" w14:textId="159B589C" w:rsidTr="00A5775D">
        <w:tc>
          <w:tcPr>
            <w:tcW w:w="3644" w:type="dxa"/>
          </w:tcPr>
          <w:p w14:paraId="2BD68E76" w14:textId="31EFAB26" w:rsidR="00E53316" w:rsidRPr="00CA6709" w:rsidRDefault="00E53316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CA6709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lastRenderedPageBreak/>
              <w:t>Միասնական առաստաղ</w:t>
            </w:r>
            <w:r w:rsidR="00D92424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, ՀՆԱ -ի նկատմամբ</w:t>
            </w:r>
          </w:p>
        </w:tc>
        <w:tc>
          <w:tcPr>
            <w:tcW w:w="1638" w:type="dxa"/>
          </w:tcPr>
          <w:p w14:paraId="72274AE2" w14:textId="0759CD06" w:rsidR="00E53316" w:rsidRPr="00CA6709" w:rsidRDefault="00140199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5426FE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3%</w:t>
            </w:r>
          </w:p>
        </w:tc>
        <w:tc>
          <w:tcPr>
            <w:tcW w:w="1638" w:type="dxa"/>
          </w:tcPr>
          <w:p w14:paraId="7015B131" w14:textId="39C0066E" w:rsidR="00E53316" w:rsidRPr="00A5775D" w:rsidRDefault="00140199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638" w:type="dxa"/>
          </w:tcPr>
          <w:p w14:paraId="0A8A6EC5" w14:textId="77777777" w:rsidR="00140199" w:rsidRPr="005426FE" w:rsidRDefault="00140199" w:rsidP="00140199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5426FE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12%</w:t>
            </w:r>
          </w:p>
          <w:p w14:paraId="74386DCC" w14:textId="77777777" w:rsidR="00E53316" w:rsidRPr="00CA6709" w:rsidRDefault="00E53316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1638" w:type="dxa"/>
          </w:tcPr>
          <w:p w14:paraId="03A304E2" w14:textId="553E52FB" w:rsidR="00E53316" w:rsidRPr="00A5775D" w:rsidRDefault="00FE2A85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E53316" w:rsidRPr="00CA6709" w14:paraId="49A0E019" w14:textId="5541C4AC" w:rsidTr="00A5775D">
        <w:tc>
          <w:tcPr>
            <w:tcW w:w="3644" w:type="dxa"/>
          </w:tcPr>
          <w:p w14:paraId="41B7F78E" w14:textId="05980C5C" w:rsidR="00E53316" w:rsidRPr="00CA6709" w:rsidRDefault="00E53316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CA6709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Պարտք/ՀՆԱ հարաբերակցություն</w:t>
            </w:r>
          </w:p>
        </w:tc>
        <w:tc>
          <w:tcPr>
            <w:tcW w:w="1638" w:type="dxa"/>
          </w:tcPr>
          <w:p w14:paraId="194A60AD" w14:textId="5BCB673F" w:rsidR="00E53316" w:rsidRPr="00A5775D" w:rsidRDefault="00140199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426FE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95</w:t>
            </w:r>
            <w:r w:rsidR="00D75A1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8" w:type="dxa"/>
          </w:tcPr>
          <w:p w14:paraId="1D985711" w14:textId="7C8B4C06" w:rsidR="00E53316" w:rsidRPr="00A5775D" w:rsidRDefault="00B06EF4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638" w:type="dxa"/>
          </w:tcPr>
          <w:p w14:paraId="325F131B" w14:textId="5CF3B70F" w:rsidR="00E53316" w:rsidRPr="00CA6709" w:rsidRDefault="00140199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5426FE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23%</w:t>
            </w:r>
          </w:p>
        </w:tc>
        <w:tc>
          <w:tcPr>
            <w:tcW w:w="1638" w:type="dxa"/>
          </w:tcPr>
          <w:p w14:paraId="5722E8ED" w14:textId="4ADFE64A" w:rsidR="00E53316" w:rsidRPr="00A5775D" w:rsidRDefault="00D75A16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E53316" w:rsidRPr="00CA6709" w14:paraId="19AB5C1A" w14:textId="2F1F60FC" w:rsidTr="00A5775D">
        <w:tc>
          <w:tcPr>
            <w:tcW w:w="3644" w:type="dxa"/>
          </w:tcPr>
          <w:p w14:paraId="3BC1ECEF" w14:textId="070A2DAD" w:rsidR="00E53316" w:rsidRPr="00CA6709" w:rsidRDefault="00E53316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CA6709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ՊՄԳ ների քանակ</w:t>
            </w:r>
          </w:p>
        </w:tc>
        <w:tc>
          <w:tcPr>
            <w:tcW w:w="1638" w:type="dxa"/>
          </w:tcPr>
          <w:p w14:paraId="4233BE91" w14:textId="3B110549" w:rsidR="00E53316" w:rsidRPr="00A5775D" w:rsidRDefault="00140199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n/a</w:t>
            </w:r>
          </w:p>
        </w:tc>
        <w:tc>
          <w:tcPr>
            <w:tcW w:w="1638" w:type="dxa"/>
          </w:tcPr>
          <w:p w14:paraId="36039582" w14:textId="71BB5885" w:rsidR="00E53316" w:rsidRPr="00CA6709" w:rsidRDefault="00065A95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065A95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1638" w:type="dxa"/>
          </w:tcPr>
          <w:p w14:paraId="4031017A" w14:textId="06D3B24C" w:rsidR="00E53316" w:rsidRPr="00CA6709" w:rsidRDefault="00140199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5426FE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49</w:t>
            </w:r>
          </w:p>
        </w:tc>
        <w:tc>
          <w:tcPr>
            <w:tcW w:w="1638" w:type="dxa"/>
          </w:tcPr>
          <w:p w14:paraId="61D86602" w14:textId="44BAC245" w:rsidR="00E53316" w:rsidRPr="00A5775D" w:rsidRDefault="000818FC" w:rsidP="00CA6709">
            <w:pP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18FC" w:rsidRPr="00CA6709" w14:paraId="071EBDC3" w14:textId="77777777" w:rsidTr="00E53316">
        <w:tc>
          <w:tcPr>
            <w:tcW w:w="3644" w:type="dxa"/>
          </w:tcPr>
          <w:p w14:paraId="067D1B20" w14:textId="40C528CC" w:rsidR="000818FC" w:rsidRPr="00CA6709" w:rsidRDefault="000818FC" w:rsidP="00B06EF4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Եկամուտների մակարդակ</w:t>
            </w:r>
          </w:p>
        </w:tc>
        <w:tc>
          <w:tcPr>
            <w:tcW w:w="1638" w:type="dxa"/>
          </w:tcPr>
          <w:p w14:paraId="0886615C" w14:textId="3E67B3BE" w:rsidR="000818FC" w:rsidRPr="00A5775D" w:rsidRDefault="000818FC" w:rsidP="000818FC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Բարձր</w:t>
            </w:r>
          </w:p>
        </w:tc>
        <w:tc>
          <w:tcPr>
            <w:tcW w:w="1638" w:type="dxa"/>
          </w:tcPr>
          <w:p w14:paraId="2651CBE2" w14:textId="0BBD9911" w:rsidR="000818FC" w:rsidRPr="00065A95" w:rsidRDefault="000818FC" w:rsidP="000818FC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Ցածր միջին </w:t>
            </w:r>
          </w:p>
        </w:tc>
        <w:tc>
          <w:tcPr>
            <w:tcW w:w="1638" w:type="dxa"/>
          </w:tcPr>
          <w:p w14:paraId="2B075F31" w14:textId="5D8DEC0E" w:rsidR="000818FC" w:rsidRPr="005426FE" w:rsidRDefault="000818FC" w:rsidP="000818FC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Բարձր միջին </w:t>
            </w:r>
          </w:p>
        </w:tc>
        <w:tc>
          <w:tcPr>
            <w:tcW w:w="1638" w:type="dxa"/>
          </w:tcPr>
          <w:p w14:paraId="54DB9638" w14:textId="21853366" w:rsidR="000818FC" w:rsidRPr="00CA6709" w:rsidRDefault="000818FC" w:rsidP="000818FC">
            <w:pP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Ցածր միջին </w:t>
            </w:r>
          </w:p>
        </w:tc>
      </w:tr>
    </w:tbl>
    <w:p w14:paraId="088939FC" w14:textId="50FAE3F0" w:rsidR="00B06EF4" w:rsidRPr="00A5775D" w:rsidRDefault="00B06EF4" w:rsidP="008B1D56">
      <w:pPr>
        <w:rPr>
          <w:rFonts w:ascii="GHEA Grapalat" w:eastAsia="Calibri" w:hAnsi="GHEA Grapalat" w:cs="Times New Roman"/>
          <w:i/>
          <w:iCs/>
          <w:sz w:val="16"/>
          <w:szCs w:val="16"/>
          <w:lang w:eastAsia="ru-RU"/>
        </w:rPr>
      </w:pPr>
      <w:r w:rsidRPr="00A5775D">
        <w:rPr>
          <w:rFonts w:ascii="GHEA Grapalat" w:eastAsia="Calibri" w:hAnsi="GHEA Grapalat" w:cs="Times New Roman"/>
          <w:i/>
          <w:iCs/>
          <w:sz w:val="16"/>
          <w:szCs w:val="16"/>
          <w:lang w:val="hy-AM" w:eastAsia="ru-RU"/>
        </w:rPr>
        <w:t>Աղբյուր՝ Համաշխարհային բան</w:t>
      </w:r>
      <w:r w:rsidR="00AD5944" w:rsidRPr="00A5775D">
        <w:rPr>
          <w:rFonts w:ascii="GHEA Grapalat" w:eastAsia="Calibri" w:hAnsi="GHEA Grapalat" w:cs="Times New Roman"/>
          <w:i/>
          <w:iCs/>
          <w:sz w:val="16"/>
          <w:szCs w:val="16"/>
          <w:lang w:val="hy-AM" w:eastAsia="ru-RU"/>
        </w:rPr>
        <w:t>կ</w:t>
      </w:r>
      <w:r w:rsidR="005657D3" w:rsidRPr="00A5775D">
        <w:rPr>
          <w:rFonts w:ascii="GHEA Grapalat" w:eastAsia="Calibri" w:hAnsi="GHEA Grapalat" w:cs="Times New Roman"/>
          <w:i/>
          <w:iCs/>
          <w:sz w:val="16"/>
          <w:szCs w:val="16"/>
          <w:lang w:eastAsia="ru-RU"/>
        </w:rPr>
        <w:t xml:space="preserve">, </w:t>
      </w:r>
      <w:r w:rsidR="006B75CF">
        <w:rPr>
          <w:rFonts w:ascii="GHEA Grapalat" w:eastAsia="Calibri" w:hAnsi="GHEA Grapalat" w:cs="Times New Roman"/>
          <w:i/>
          <w:iCs/>
          <w:sz w:val="16"/>
          <w:szCs w:val="16"/>
          <w:lang w:eastAsia="ru-RU"/>
        </w:rPr>
        <w:t xml:space="preserve">Statista, </w:t>
      </w:r>
      <w:r w:rsidR="005657D3" w:rsidRPr="00A5775D">
        <w:rPr>
          <w:i/>
          <w:iCs/>
          <w:sz w:val="16"/>
          <w:szCs w:val="16"/>
        </w:rPr>
        <w:t xml:space="preserve">How to control the costs of public-private partnerships / this note was prepared by Tim Irwin, </w:t>
      </w:r>
      <w:proofErr w:type="spellStart"/>
      <w:r w:rsidR="005657D3" w:rsidRPr="00A5775D">
        <w:rPr>
          <w:i/>
          <w:iCs/>
          <w:sz w:val="16"/>
          <w:szCs w:val="16"/>
        </w:rPr>
        <w:t>Samah</w:t>
      </w:r>
      <w:proofErr w:type="spellEnd"/>
      <w:r w:rsidR="005657D3" w:rsidRPr="00A5775D">
        <w:rPr>
          <w:i/>
          <w:iCs/>
          <w:sz w:val="16"/>
          <w:szCs w:val="16"/>
        </w:rPr>
        <w:t xml:space="preserve"> </w:t>
      </w:r>
      <w:proofErr w:type="spellStart"/>
      <w:r w:rsidR="005657D3" w:rsidRPr="00A5775D">
        <w:rPr>
          <w:i/>
          <w:iCs/>
          <w:sz w:val="16"/>
          <w:szCs w:val="16"/>
        </w:rPr>
        <w:t>Mazraani</w:t>
      </w:r>
      <w:proofErr w:type="spellEnd"/>
      <w:r w:rsidR="005657D3" w:rsidRPr="00A5775D">
        <w:rPr>
          <w:i/>
          <w:iCs/>
          <w:sz w:val="16"/>
          <w:szCs w:val="16"/>
        </w:rPr>
        <w:t>, and Sandeep Saxena. (International Monetary Fund)</w:t>
      </w:r>
    </w:p>
    <w:p w14:paraId="78E82C54" w14:textId="480A6336" w:rsidR="00074C10" w:rsidRPr="00A5775D" w:rsidRDefault="004F07EA" w:rsidP="007133F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Նշված փորձը առաջարկվող կարգավորման հետ համադրելիս, </w:t>
      </w:r>
      <w:r w:rsidR="001163C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պետք է </w:t>
      </w:r>
      <w:r w:rsidR="008066F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հաշվի առնել </w:t>
      </w:r>
      <w:r w:rsidR="00B174A5">
        <w:rPr>
          <w:rFonts w:ascii="GHEA Grapalat" w:eastAsia="Calibri" w:hAnsi="GHEA Grapalat" w:cs="Times New Roman"/>
          <w:sz w:val="24"/>
          <w:szCs w:val="24"/>
          <w:lang w:val="hy-AM" w:eastAsia="ru-RU"/>
        </w:rPr>
        <w:t>գործող ՊՄԳ-ների գծով առկա գնահատված պարտավորություններ</w:t>
      </w:r>
      <w:r w:rsidR="0022471E">
        <w:rPr>
          <w:rFonts w:ascii="GHEA Grapalat" w:eastAsia="Calibri" w:hAnsi="GHEA Grapalat" w:cs="Times New Roman"/>
          <w:sz w:val="24"/>
          <w:szCs w:val="24"/>
          <w:lang w:val="hy-AM" w:eastAsia="ru-RU"/>
        </w:rPr>
        <w:t>ի չափը</w:t>
      </w:r>
      <w:r w:rsidR="00C05A56">
        <w:rPr>
          <w:rFonts w:ascii="GHEA Grapalat" w:eastAsia="Calibri" w:hAnsi="GHEA Grapalat" w:cs="Times New Roman"/>
          <w:sz w:val="24"/>
          <w:szCs w:val="24"/>
          <w:lang w:val="hy-AM" w:eastAsia="ru-RU"/>
        </w:rPr>
        <w:t>, որոնք չեն ներառվում սահմանաչափում, քանի որ պայմանագրերը կնքված են եղել նախքան Օրենքի ուժի մեջ մտնելը</w:t>
      </w:r>
      <w:r w:rsidR="001163C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սակայն հարկաբյուջետային ռիսկի աղբյուր են։ </w:t>
      </w:r>
    </w:p>
    <w:p w14:paraId="20E89FB2" w14:textId="55BC85B8" w:rsidR="0000605D" w:rsidRDefault="00772B9F" w:rsidP="007133F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Ներկայում</w:t>
      </w:r>
      <w:r w:rsidR="0000605D"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Հայաստանում </w:t>
      </w:r>
      <w:r w:rsidR="00907F76">
        <w:rPr>
          <w:rFonts w:ascii="GHEA Grapalat" w:eastAsia="Calibri" w:hAnsi="GHEA Grapalat" w:cs="Times New Roman"/>
          <w:sz w:val="24"/>
          <w:szCs w:val="24"/>
          <w:lang w:val="hy-AM" w:eastAsia="ru-RU"/>
        </w:rPr>
        <w:t>ուղղակի պարտավորություններ</w:t>
      </w:r>
      <w:r w:rsidR="003348E6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3348E6">
        <w:rPr>
          <w:rFonts w:ascii="GHEA Grapalat" w:eastAsia="Calibri" w:hAnsi="GHEA Grapalat" w:cs="Times New Roman"/>
          <w:sz w:val="24"/>
          <w:szCs w:val="24"/>
          <w:lang w:val="hy-AM" w:eastAsia="ru-RU"/>
        </w:rPr>
        <w:t>պարունակող</w:t>
      </w:r>
      <w:r w:rsidR="00907F7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00605D"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>ՊՄԳ պայմանագրեր չկան</w:t>
      </w:r>
      <w:r w:rsidR="00A86329">
        <w:rPr>
          <w:rFonts w:ascii="GHEA Grapalat" w:eastAsia="Calibri" w:hAnsi="GHEA Grapalat" w:cs="Times New Roman"/>
          <w:sz w:val="24"/>
          <w:szCs w:val="24"/>
          <w:lang w:val="hy-AM" w:eastAsia="ru-RU"/>
        </w:rPr>
        <w:t>։</w:t>
      </w:r>
      <w:r w:rsidR="002A1A6B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Հնարավոր չէ նախապես իմանալ, թե ապագայում մշ</w:t>
      </w:r>
      <w:r w:rsidR="00DC52D7">
        <w:rPr>
          <w:rFonts w:ascii="GHEA Grapalat" w:eastAsia="Calibri" w:hAnsi="GHEA Grapalat" w:cs="Times New Roman"/>
          <w:sz w:val="24"/>
          <w:szCs w:val="24"/>
          <w:lang w:val="hy-AM" w:eastAsia="ru-RU"/>
        </w:rPr>
        <w:t>ա</w:t>
      </w:r>
      <w:r w:rsidR="002A1A6B">
        <w:rPr>
          <w:rFonts w:ascii="GHEA Grapalat" w:eastAsia="Calibri" w:hAnsi="GHEA Grapalat" w:cs="Times New Roman"/>
          <w:sz w:val="24"/>
          <w:szCs w:val="24"/>
          <w:lang w:val="hy-AM" w:eastAsia="ru-RU"/>
        </w:rPr>
        <w:t>կվելիք ՊՄԳ ծրագրերը կհիմնվեն պայմանական թե ուղղակի պարտավորությունների վրա</w:t>
      </w:r>
      <w:r w:rsidR="00EA0A47" w:rsidRPr="00EA0A4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</w:t>
      </w:r>
      <w:r w:rsidR="00EA0A4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այդ պատճառով երկու </w:t>
      </w:r>
      <w:r w:rsidR="000119D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սահմանաչափերի միաժամանակյա կիրառությունը թույլ կտա կառավարելի մակարդակում պահել </w:t>
      </w:r>
      <w:r w:rsidR="00BC6662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հարկաբյուջետային </w:t>
      </w:r>
      <w:r w:rsidR="000119D6">
        <w:rPr>
          <w:rFonts w:ascii="GHEA Grapalat" w:eastAsia="Calibri" w:hAnsi="GHEA Grapalat" w:cs="Times New Roman"/>
          <w:sz w:val="24"/>
          <w:szCs w:val="24"/>
          <w:lang w:val="hy-AM" w:eastAsia="ru-RU"/>
        </w:rPr>
        <w:t>ռիսկերը</w:t>
      </w:r>
      <w:r w:rsidR="00370664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:</w:t>
      </w:r>
      <w:r w:rsidR="000119D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2A1A6B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00605D"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</w:p>
    <w:p w14:paraId="535E7057" w14:textId="3C62CE51" w:rsidR="001E558E" w:rsidRPr="00866632" w:rsidRDefault="00866632" w:rsidP="007133F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ՊՄԳ-ների գծով ո</w:t>
      </w:r>
      <w:r w:rsidR="001E558E">
        <w:rPr>
          <w:rFonts w:ascii="GHEA Grapalat" w:eastAsia="Calibri" w:hAnsi="GHEA Grapalat" w:cs="Times New Roman"/>
          <w:sz w:val="24"/>
          <w:szCs w:val="24"/>
          <w:lang w:val="hy-AM" w:eastAsia="ru-RU"/>
        </w:rPr>
        <w:t>ւղղակի պարտավորությունների մեծ գումարը կարող է հա</w:t>
      </w:r>
      <w:r w:rsidR="00772B9F">
        <w:rPr>
          <w:rFonts w:ascii="GHEA Grapalat" w:eastAsia="Calibri" w:hAnsi="GHEA Grapalat" w:cs="Times New Roman"/>
          <w:sz w:val="24"/>
          <w:szCs w:val="24"/>
          <w:lang w:eastAsia="ru-RU"/>
        </w:rPr>
        <w:t>ն</w:t>
      </w:r>
      <w:r w:rsidR="001E558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գեցնել ֆիսկալ ճկունության նվազմանը, քանի որ 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ՊՄԳ պայմանագրերը կնքվում են միջինում 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20 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տարի տևողությամբ</w:t>
      </w:r>
      <w:r w:rsidR="00EF6283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և այդպիսի պայմանագրերը կստիպեն </w:t>
      </w:r>
      <w:r w:rsidR="009D78B5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արգելափակել էական </w:t>
      </w:r>
      <w:r w:rsidR="0031244A">
        <w:rPr>
          <w:rFonts w:ascii="GHEA Grapalat" w:eastAsia="Calibri" w:hAnsi="GHEA Grapalat" w:cs="Times New Roman"/>
          <w:sz w:val="24"/>
          <w:szCs w:val="24"/>
          <w:lang w:val="hy-AM" w:eastAsia="ru-RU"/>
        </w:rPr>
        <w:t>պետական միջոցներ</w:t>
      </w:r>
      <w:r w:rsidR="009D78B5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31244A">
        <w:rPr>
          <w:rFonts w:ascii="GHEA Grapalat" w:eastAsia="Calibri" w:hAnsi="GHEA Grapalat" w:cs="Times New Roman"/>
          <w:sz w:val="24"/>
          <w:szCs w:val="24"/>
          <w:lang w:val="hy-AM" w:eastAsia="ru-RU"/>
        </w:rPr>
        <w:t>երկար ժամանակահատվածի ընթացքում, քանի որ ՊՄԳ պայմանագրի դադարեցումը</w:t>
      </w:r>
      <w:r w:rsidR="00F86F1F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անցանկալի է՝ </w:t>
      </w:r>
      <w:r w:rsidR="001E1634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այդ թվում </w:t>
      </w:r>
      <w:r w:rsidR="0031244A">
        <w:rPr>
          <w:rFonts w:ascii="GHEA Grapalat" w:eastAsia="Calibri" w:hAnsi="GHEA Grapalat" w:cs="Times New Roman"/>
          <w:sz w:val="24"/>
          <w:szCs w:val="24"/>
          <w:lang w:val="hy-AM" w:eastAsia="ru-RU"/>
        </w:rPr>
        <w:t>պայմանական պարտավորությունների նյութականացման</w:t>
      </w:r>
      <w:r w:rsidR="00F86F1F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պատճառով։</w:t>
      </w:r>
      <w:r w:rsidR="0031244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</w:p>
    <w:p w14:paraId="4468B415" w14:textId="0FB63509" w:rsidR="00084B9E" w:rsidRPr="00A5775D" w:rsidRDefault="00084B9E" w:rsidP="007133F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Օրենքի համաձայն, ՊՄԳ պարտավորությունների թույլատրելի սահմանաչափն անհրաժեշտ է կիրառել այն</w:t>
      </w:r>
      <w:r w:rsidRPr="00A5775D">
        <w:rPr>
          <w:rFonts w:ascii="Calibri" w:eastAsia="Calibri" w:hAnsi="Calibri" w:cs="Calibri"/>
          <w:sz w:val="24"/>
          <w:szCs w:val="24"/>
          <w:lang w:val="hy-AM" w:eastAsia="ru-RU"/>
        </w:rPr>
        <w:t> 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ՊՄԳ պայմանագրերի</w:t>
      </w:r>
      <w:r w:rsidRPr="00A5775D">
        <w:rPr>
          <w:rFonts w:ascii="Calibri" w:eastAsia="Calibri" w:hAnsi="Calibri" w:cs="Calibri"/>
          <w:sz w:val="24"/>
          <w:szCs w:val="24"/>
          <w:lang w:val="hy-AM" w:eastAsia="ru-RU"/>
        </w:rPr>
        <w:t> 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համար, որոնք կնքվել են</w:t>
      </w:r>
      <w:r w:rsidRPr="00A5775D">
        <w:rPr>
          <w:rFonts w:ascii="Calibri" w:eastAsia="Calibri" w:hAnsi="Calibri" w:cs="Calibri"/>
          <w:sz w:val="24"/>
          <w:szCs w:val="24"/>
          <w:lang w:val="hy-AM" w:eastAsia="ru-RU"/>
        </w:rPr>
        <w:t>  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Օրենքն ուժի մեջ մտնելուց հետո: Այս սահմանափակումը </w:t>
      </w:r>
      <w:r w:rsidR="00772B9F">
        <w:rPr>
          <w:rFonts w:ascii="GHEA Grapalat" w:eastAsia="Calibri" w:hAnsi="GHEA Grapalat" w:cs="Times New Roman"/>
          <w:sz w:val="24"/>
          <w:szCs w:val="24"/>
          <w:lang w:val="hy-AM" w:eastAsia="ru-RU"/>
        </w:rPr>
        <w:t>հ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արկաբյուջետային պատասխանատվության տեսանկյունից</w:t>
      </w:r>
      <w:r w:rsidRPr="00A5775D">
        <w:rPr>
          <w:rFonts w:ascii="Calibri" w:eastAsia="Calibri" w:hAnsi="Calibri" w:cs="Calibri"/>
          <w:sz w:val="24"/>
          <w:szCs w:val="24"/>
          <w:lang w:val="hy-AM" w:eastAsia="ru-RU"/>
        </w:rPr>
        <w:t> 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անցանկալի հետևանքներ կարող է ունենալ, քանի որ գործող ՊՄԳ և </w:t>
      </w:r>
      <w:r w:rsidR="00693374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է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լեկտրաէներգիայի գնման պայմանագրերը (ԷԳՊ) էական տեսակարար կշիռ ունեն 2020թ. ՀՆԱ-ի նկատմամբ։ Այդ պատճառով ՊՄԳ պարտավորությունների թույլատրելի սահմանաչափը որոշելիս կարևոր է հաշվի առնել նաև գործող</w:t>
      </w:r>
      <w:r w:rsidRPr="00A5775D">
        <w:rPr>
          <w:rFonts w:ascii="Calibri" w:eastAsia="Calibri" w:hAnsi="Calibri" w:cs="Calibri"/>
          <w:sz w:val="24"/>
          <w:szCs w:val="24"/>
          <w:lang w:val="hy-AM" w:eastAsia="ru-RU"/>
        </w:rPr>
        <w:t> 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պայմանագրերով ստանձնած պայմանական պարտավորությունների վերլուծության արդյունքները` ընդհանուր ֆիսկալ ռիսկը կառավարելի մակարդակում պահելու նպատակով։</w:t>
      </w:r>
    </w:p>
    <w:p w14:paraId="56E2F446" w14:textId="4938174B" w:rsidR="00AF42BC" w:rsidRPr="00A5775D" w:rsidRDefault="00AF42BC" w:rsidP="00772B9F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lastRenderedPageBreak/>
        <w:t>Հաշվի առնելով, որ առանձին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վերցված ՊՄԳ</w:t>
      </w: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խոշոր նախագիծը 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արժեքով </w:t>
      </w: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>սովորաբար չի գերազանցում ՀՆԱ-ի 1</w:t>
      </w:r>
      <w:r w:rsidR="008D4C77" w:rsidRPr="008D4C77">
        <w:rPr>
          <w:rFonts w:ascii="GHEA Grapalat" w:eastAsia="Calibri" w:hAnsi="GHEA Grapalat" w:cs="Times New Roman"/>
          <w:sz w:val="24"/>
          <w:szCs w:val="24"/>
          <w:lang w:val="hy-AM" w:eastAsia="ru-RU"/>
        </w:rPr>
        <w:t>.</w:t>
      </w: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5%-ը, 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առաջարկվող </w:t>
      </w:r>
      <w:r w:rsidR="0092488B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պայմանական պարտավորությունների 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սահմանաչափը հնարավորություն է </w:t>
      </w: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>տալիս մի քանի ՊՄԳ ծրագրեր</w:t>
      </w:r>
      <w:r w:rsidR="00C42E4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իրականացնել՝</w:t>
      </w:r>
      <w:r w:rsidRPr="00A87E3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միևնույն ժամանակ հաշվի առնելով այն փաստը, որ Հ</w:t>
      </w:r>
      <w:r w:rsidR="00B10B10">
        <w:rPr>
          <w:rFonts w:ascii="GHEA Grapalat" w:eastAsia="Calibri" w:hAnsi="GHEA Grapalat" w:cs="Times New Roman"/>
          <w:sz w:val="24"/>
          <w:szCs w:val="24"/>
          <w:lang w:val="hy-AM" w:eastAsia="ru-RU"/>
        </w:rPr>
        <w:t>Հ կառավարությունը գտնվում է տեխնիկական կարողությունների ձևավորման փուլում</w:t>
      </w:r>
      <w:r w:rsidR="009D1C14">
        <w:rPr>
          <w:rFonts w:ascii="GHEA Grapalat" w:eastAsia="Calibri" w:hAnsi="GHEA Grapalat" w:cs="Times New Roman"/>
          <w:sz w:val="24"/>
          <w:szCs w:val="24"/>
          <w:lang w:val="hy-AM" w:eastAsia="ru-RU"/>
        </w:rPr>
        <w:t>, ինչը էական գործ</w:t>
      </w:r>
      <w:r w:rsidR="00753A8F">
        <w:rPr>
          <w:rFonts w:ascii="GHEA Grapalat" w:eastAsia="Calibri" w:hAnsi="GHEA Grapalat" w:cs="Times New Roman"/>
          <w:sz w:val="24"/>
          <w:szCs w:val="24"/>
          <w:lang w:val="hy-AM" w:eastAsia="ru-RU"/>
        </w:rPr>
        <w:t>ա</w:t>
      </w:r>
      <w:r w:rsidR="009D1C14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ռնական սահմանափակում է միաժամանակյա մի քանի խոշոր ծրագրերի իրականացման համար։ </w:t>
      </w:r>
      <w:r w:rsidR="00084B9E" w:rsidRPr="00A5775D">
        <w:rPr>
          <w:rFonts w:ascii="Calibri" w:eastAsia="Calibri" w:hAnsi="Calibri" w:cs="Calibri"/>
          <w:sz w:val="24"/>
          <w:szCs w:val="24"/>
          <w:lang w:val="hy-AM" w:eastAsia="ru-RU"/>
        </w:rPr>
        <w:t>       </w:t>
      </w:r>
      <w:r w:rsidR="00084B9E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084B9E" w:rsidRPr="00A5775D">
        <w:rPr>
          <w:rFonts w:ascii="Calibri" w:eastAsia="Calibri" w:hAnsi="Calibri" w:cs="Calibri"/>
          <w:sz w:val="24"/>
          <w:szCs w:val="24"/>
          <w:lang w:val="hy-AM" w:eastAsia="ru-RU"/>
        </w:rPr>
        <w:t> </w:t>
      </w:r>
    </w:p>
    <w:p w14:paraId="7FD1590D" w14:textId="160B38F8" w:rsidR="00084B9E" w:rsidRPr="00A5775D" w:rsidRDefault="00084B9E" w:rsidP="00772B9F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Պայմանական պարտավորությունների թույլատրելի առավելագույն սահամանաչափը</w:t>
      </w:r>
      <w:r w:rsidRPr="00A5775D">
        <w:rPr>
          <w:rFonts w:ascii="Calibri" w:eastAsia="Calibri" w:hAnsi="Calibri" w:cs="Calibri"/>
          <w:sz w:val="24"/>
          <w:szCs w:val="24"/>
          <w:lang w:val="hy-AM" w:eastAsia="ru-RU"/>
        </w:rPr>
        <w:t> 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3 տոկոս սահմանելու դեպքում կպահպանվի ֆիսկալ առումով մատչելի ՊՄԳ նախագծերի իրականացման հնարավորությունը` պահպանելով միջնաժամկետ և երկարաժամկետ ֆիսկալ կայունությունը, հընթացս մշտադիտարկելով գործող պայմանագրերը։</w:t>
      </w:r>
    </w:p>
    <w:p w14:paraId="5D5D83B4" w14:textId="4CA0B6FE" w:rsidR="008D4C77" w:rsidRPr="00A5775D" w:rsidRDefault="008D4C77" w:rsidP="00772B9F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Ուղակի պարտավորությունների սահմանաչափ </w:t>
      </w:r>
      <w:r w:rsidR="00EB7295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ամրագրելու նպատակ</w:t>
      </w:r>
      <w:r w:rsidR="004A3CD6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ն է</w:t>
      </w:r>
      <w:r w:rsidR="00EB7295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կառավարելի մակարդակում պահել ՊՄԳ ներից ծագո</w:t>
      </w:r>
      <w:r w:rsidR="004A3CD6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ղ 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երկարաժամկետ պարտավորությունների կտրուկ աճի ռիսկը</w:t>
      </w:r>
      <w:r w:rsidR="00BC38DB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: </w:t>
      </w:r>
    </w:p>
    <w:p w14:paraId="679267D4" w14:textId="7B98DE78" w:rsidR="008D4C77" w:rsidRPr="00A5775D" w:rsidRDefault="008D4C77" w:rsidP="00BE49A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Ուղղակի պարտավորությունները </w:t>
      </w:r>
      <w:r w:rsidR="00FB75E6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կարող են բաղկացած լինեն </w:t>
      </w:r>
      <w:r w:rsidR="0009216C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կապիտալ և ընթացիկ ծախսերի գումարից։ Առաստաղի սահմանման համար ուղենիշ է հանդիսացել պետական բյուջեում 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«ոչ ֆինանսական ակտիվների ձեռքբերման» </w:t>
      </w:r>
      <w:r w:rsidR="0009216C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ծախսերը, որոնք 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վերջին տարիներին կազմել </w:t>
      </w:r>
      <w:r w:rsidR="00AD7341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են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AD7341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միջինում 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ՀՆԱ-ի 3%-ը, իսկ ԱՄՀ</w:t>
      </w:r>
      <w:r w:rsidR="00BA6FEC" w:rsidRPr="00A5775D">
        <w:rPr>
          <w:rFonts w:ascii="GHEA Grapalat" w:eastAsia="Calibri" w:hAnsi="GHEA Grapalat" w:cs="Times New Roman"/>
          <w:sz w:val="24"/>
          <w:szCs w:val="24"/>
          <w:vertAlign w:val="superscript"/>
          <w:lang w:val="hy-AM" w:eastAsia="ru-RU"/>
        </w:rPr>
        <w:footnoteReference w:id="2"/>
      </w:r>
      <w:r w:rsidR="00BA6FEC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-ի կանխատեսումների համաձայն ապագայում պետք է գերազանցի ՀՆԱ-ի 4</w:t>
      </w:r>
      <w:r w:rsidR="00264D92">
        <w:rPr>
          <w:rFonts w:ascii="GHEA Grapalat" w:eastAsia="Calibri" w:hAnsi="GHEA Grapalat" w:cs="Times New Roman"/>
          <w:sz w:val="24"/>
          <w:szCs w:val="24"/>
          <w:lang w:eastAsia="ru-RU"/>
        </w:rPr>
        <w:t>.3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%-ը։ Նույնիսկ այն երկրներում, որտեղ առկա են ուղղակի պարտավորություններ</w:t>
      </w:r>
      <w:r w:rsidR="00A30EE1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ի հիմքով նախագծված 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մեծ թվով ՊՄԳ-ներ, այդ </w:t>
      </w:r>
      <w:r w:rsidR="00572351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ուղ</w:t>
      </w:r>
      <w:r w:rsidR="00E9448F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ղ</w:t>
      </w:r>
      <w:r w:rsidR="00572351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ակի պարտավորությունները 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ներկայացնում են ընդհանուր </w:t>
      </w:r>
      <w:r w:rsidR="00572351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հանրային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Pr="00A5775D">
        <w:rPr>
          <w:rFonts w:ascii="Cambria Math" w:eastAsia="Calibri" w:hAnsi="Cambria Math" w:cs="Cambria Math"/>
          <w:sz w:val="24"/>
          <w:szCs w:val="24"/>
          <w:lang w:val="hy-AM" w:eastAsia="ru-RU"/>
        </w:rPr>
        <w:t>​​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ներդրումների փոքր մասը, հազվադեպ՝ 25%-ից ավելի: Դասական պետական </w:t>
      </w:r>
      <w:r w:rsidRPr="00A5775D">
        <w:rPr>
          <w:rFonts w:ascii="Cambria Math" w:eastAsia="Calibri" w:hAnsi="Cambria Math" w:cs="Cambria Math"/>
          <w:sz w:val="24"/>
          <w:szCs w:val="24"/>
          <w:lang w:val="hy-AM" w:eastAsia="ru-RU"/>
        </w:rPr>
        <w:t>​​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գնումները հիմնականում գերիշխում են </w:t>
      </w:r>
      <w:r w:rsidR="004C121C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հանրային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Pr="00A5775D">
        <w:rPr>
          <w:rFonts w:ascii="Cambria Math" w:eastAsia="Calibri" w:hAnsi="Cambria Math" w:cs="Cambria Math"/>
          <w:sz w:val="24"/>
          <w:szCs w:val="24"/>
          <w:lang w:val="hy-AM" w:eastAsia="ru-RU"/>
        </w:rPr>
        <w:t>​​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ներդրումների համար:</w:t>
      </w:r>
      <w:r w:rsidR="00EE4EC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Որպես օրինակ կարելի է բերել </w:t>
      </w:r>
      <w:r w:rsidR="00EE4ECA" w:rsidRPr="005426FE">
        <w:rPr>
          <w:rFonts w:ascii="GHEA Grapalat" w:eastAsia="Calibri" w:hAnsi="GHEA Grapalat" w:cs="Times New Roman"/>
          <w:sz w:val="24"/>
          <w:szCs w:val="24"/>
          <w:lang w:val="hy-AM" w:eastAsia="ru-RU"/>
        </w:rPr>
        <w:t>Պերու</w:t>
      </w:r>
      <w:r w:rsidR="00EE4ECA">
        <w:rPr>
          <w:rFonts w:ascii="GHEA Grapalat" w:eastAsia="Calibri" w:hAnsi="GHEA Grapalat" w:cs="Times New Roman"/>
          <w:sz w:val="24"/>
          <w:szCs w:val="24"/>
          <w:lang w:val="hy-AM" w:eastAsia="ru-RU"/>
        </w:rPr>
        <w:t>ն</w:t>
      </w:r>
      <w:r w:rsidR="00EE4ECA" w:rsidRPr="005426FE">
        <w:rPr>
          <w:rFonts w:ascii="GHEA Grapalat" w:eastAsia="Calibri" w:hAnsi="GHEA Grapalat" w:cs="Times New Roman"/>
          <w:sz w:val="24"/>
          <w:szCs w:val="24"/>
          <w:lang w:val="hy-AM" w:eastAsia="ru-RU"/>
        </w:rPr>
        <w:t>, որտեղ սահմանված չէ տարեկան ուղղակի պարտավորությունների սահմանաչափ, սակայն կիրառվում է ՊՄԳ-ներ միասնական սահմանաչափ, հանրային ներդրումների գծով ծախսերի տարեկան գումարը տատանվում է ՀՆԱ-ի 4.5-5.9% միջակայքում։ Ըստ հրապարակվող ՄԺԾԾ-ի ՊՄԳ-ների գծով ուղղակի պարտավորությունների գումարները պատմականորեն չեն գերազանցել հանրային ներդրումների 10%, սակայն ակնկալվում էր դրանց աճը 2016-</w:t>
      </w:r>
      <w:r w:rsidR="00EE4ECA" w:rsidRPr="005426FE">
        <w:rPr>
          <w:rFonts w:ascii="GHEA Grapalat" w:eastAsia="Calibri" w:hAnsi="GHEA Grapalat" w:cs="Times New Roman"/>
          <w:sz w:val="24"/>
          <w:szCs w:val="24"/>
          <w:lang w:val="hy-AM" w:eastAsia="ru-RU"/>
        </w:rPr>
        <w:lastRenderedPageBreak/>
        <w:t>2018 թվականներին մինչև 17% (մինչև ՀՆԱ-ի 1%) և 24% (ՀՆԱ-ի 1.4%) 2017-2019</w:t>
      </w:r>
      <w:r w:rsidR="00EE4ECA" w:rsidRPr="005426FE">
        <w:rPr>
          <w:rFonts w:ascii="GHEA Grapalat" w:eastAsia="Calibri" w:hAnsi="GHEA Grapalat" w:cs="Times New Roman"/>
          <w:sz w:val="24"/>
          <w:szCs w:val="24"/>
          <w:vertAlign w:val="superscript"/>
          <w:lang w:val="hy-AM" w:eastAsia="ru-RU"/>
        </w:rPr>
        <w:footnoteReference w:id="3"/>
      </w:r>
      <w:r w:rsidR="00EE4ECA" w:rsidRPr="005426FE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թվականներին։  </w:t>
      </w:r>
    </w:p>
    <w:p w14:paraId="4CB40451" w14:textId="360C25A7" w:rsidR="008D4C77" w:rsidRPr="00A5775D" w:rsidRDefault="000401A5" w:rsidP="00BE49A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Այսպիսով</w:t>
      </w:r>
      <w:r w:rsidR="00CD737A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ենթադրելով որ տարեկան պետական բյուջեի միջոցներով իրականացվող </w:t>
      </w:r>
      <w:r w:rsidR="008D4C77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կապիտալ ծախսեր</w:t>
      </w:r>
      <w:r w:rsidR="00CD737A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ի գումարը կազմելու է </w:t>
      </w:r>
      <w:r w:rsidR="008D4C77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ՀՆԱ-ի </w:t>
      </w:r>
      <w:r w:rsidR="00CD737A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4</w:t>
      </w:r>
      <w:r w:rsidR="00EE205A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տոկոսը</w:t>
      </w:r>
      <w:r w:rsidR="008D4C77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և հաշվի առնելով </w:t>
      </w:r>
      <w:r w:rsidR="00EE205A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ներկայիս</w:t>
      </w:r>
      <w:r w:rsidR="008D4C77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սահմանափակ գործառնական կարողությունները ՊՄԳ մշակելու և կառավարելու համար, </w:t>
      </w:r>
      <w:r w:rsidR="007A07E5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որպես </w:t>
      </w:r>
      <w:r w:rsidR="001A654F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ՊՄԳ ներից ծագող ուղղակի պարտավորությունների տարեկան </w:t>
      </w:r>
      <w:r w:rsidR="007A07E5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սահմանաչափ առաջարկվում է սահմանել </w:t>
      </w:r>
      <w:r w:rsidR="001A654F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1%</w:t>
      </w:r>
      <w:r w:rsidR="008D4C77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: </w:t>
      </w:r>
    </w:p>
    <w:p w14:paraId="6F32CFCE" w14:textId="2227EB16" w:rsidR="009947EA" w:rsidRPr="00A5775D" w:rsidRDefault="009947EA" w:rsidP="007133F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Ուղղակի պարտավորությունների </w:t>
      </w:r>
      <w:r w:rsidR="0023274B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տարեկան սահմանաչափի կարգավորում կիրառող երկրների թիվը մեծ չէ</w:t>
      </w:r>
      <w:r w:rsidR="00D92424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։</w:t>
      </w:r>
    </w:p>
    <w:p w14:paraId="0A3C8536" w14:textId="6112A72A" w:rsidR="009E717A" w:rsidRPr="009E717A" w:rsidRDefault="009E717A" w:rsidP="009E717A">
      <w:pPr>
        <w:pStyle w:val="Caption"/>
        <w:keepNext/>
        <w:rPr>
          <w:lang w:val="hy-AM"/>
        </w:rPr>
      </w:pPr>
      <w:r w:rsidRPr="009E717A">
        <w:rPr>
          <w:lang w:val="hy-AM"/>
        </w:rPr>
        <w:t xml:space="preserve">Աղյուսակ </w:t>
      </w:r>
      <w:r>
        <w:fldChar w:fldCharType="begin"/>
      </w:r>
      <w:r w:rsidRPr="009E717A">
        <w:rPr>
          <w:lang w:val="hy-AM"/>
        </w:rPr>
        <w:instrText xml:space="preserve"> SEQ Աղյուսակ \* ARABIC </w:instrText>
      </w:r>
      <w:r>
        <w:fldChar w:fldCharType="separate"/>
      </w:r>
      <w:r w:rsidR="007133F8">
        <w:rPr>
          <w:noProof/>
          <w:lang w:val="hy-AM"/>
        </w:rPr>
        <w:t>2</w:t>
      </w:r>
      <w:r>
        <w:fldChar w:fldCharType="end"/>
      </w:r>
      <w:r>
        <w:rPr>
          <w:lang w:val="hy-AM"/>
        </w:rPr>
        <w:t xml:space="preserve"> Ուղղակի պարտավորությունների սահմանաչափ կիրառող երկրների օրինակ</w:t>
      </w:r>
      <w:r w:rsidR="0074330E">
        <w:rPr>
          <w:lang w:val="hy-AM"/>
        </w:rPr>
        <w:t>ներ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D92424" w14:paraId="15957B12" w14:textId="77777777" w:rsidTr="00D92424">
        <w:tc>
          <w:tcPr>
            <w:tcW w:w="3398" w:type="dxa"/>
          </w:tcPr>
          <w:p w14:paraId="3E007DE3" w14:textId="77777777" w:rsidR="00D92424" w:rsidRDefault="00D92424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399" w:type="dxa"/>
          </w:tcPr>
          <w:p w14:paraId="33EA407D" w14:textId="626F5926" w:rsidR="00D92424" w:rsidRDefault="00D92424" w:rsidP="009E717A">
            <w:pPr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  <w:t>Կոլումբիա</w:t>
            </w:r>
          </w:p>
        </w:tc>
        <w:tc>
          <w:tcPr>
            <w:tcW w:w="3399" w:type="dxa"/>
          </w:tcPr>
          <w:p w14:paraId="3CB8B8C7" w14:textId="55CC8916" w:rsidR="00D92424" w:rsidRDefault="00D92424" w:rsidP="009E717A">
            <w:pPr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5775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  <w:t>Բրազիլիա</w:t>
            </w:r>
          </w:p>
        </w:tc>
      </w:tr>
      <w:tr w:rsidR="00D92424" w14:paraId="0AC910D0" w14:textId="77777777" w:rsidTr="00D92424">
        <w:tc>
          <w:tcPr>
            <w:tcW w:w="3398" w:type="dxa"/>
          </w:tcPr>
          <w:p w14:paraId="229F0DAD" w14:textId="3F04B505" w:rsidR="00D92424" w:rsidRDefault="00D92424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Ա</w:t>
            </w:r>
            <w:r w:rsidRPr="00CA6709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ռաստաղ</w:t>
            </w:r>
          </w:p>
        </w:tc>
        <w:tc>
          <w:tcPr>
            <w:tcW w:w="3399" w:type="dxa"/>
          </w:tcPr>
          <w:p w14:paraId="4ADC58CC" w14:textId="1575D39B" w:rsidR="00D92424" w:rsidRDefault="00D92424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426FE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  <w:t>ՀՆԱ-ի 0.4%</w:t>
            </w:r>
          </w:p>
        </w:tc>
        <w:tc>
          <w:tcPr>
            <w:tcW w:w="3399" w:type="dxa"/>
          </w:tcPr>
          <w:p w14:paraId="438EA70B" w14:textId="77777777" w:rsidR="00D92424" w:rsidRDefault="00D92424" w:rsidP="00D92424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26FE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  <w:t>բյուջեի եկամուտների</w:t>
            </w:r>
            <w:r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  <w:t>ց</w:t>
            </w:r>
          </w:p>
          <w:p w14:paraId="024777BC" w14:textId="28293B87" w:rsidR="00111DCD" w:rsidRPr="00D92424" w:rsidRDefault="00111DCD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426FE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  <w:t>ինչը համադրելի է ՀՆԱ-ի 0.3-0.4% հետ</w:t>
            </w:r>
          </w:p>
        </w:tc>
      </w:tr>
      <w:tr w:rsidR="00D92424" w14:paraId="63200B84" w14:textId="77777777" w:rsidTr="00D92424">
        <w:tc>
          <w:tcPr>
            <w:tcW w:w="3398" w:type="dxa"/>
          </w:tcPr>
          <w:p w14:paraId="5E96A0CD" w14:textId="12938547" w:rsidR="00D92424" w:rsidRDefault="00D92424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CA6709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Պարտք/ՀՆԱ հարաբերակցություն</w:t>
            </w:r>
          </w:p>
        </w:tc>
        <w:tc>
          <w:tcPr>
            <w:tcW w:w="3399" w:type="dxa"/>
          </w:tcPr>
          <w:p w14:paraId="53A3D3DF" w14:textId="286CF185" w:rsidR="00D92424" w:rsidRDefault="00EC000F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57</w:t>
            </w:r>
            <w:r w:rsidR="00D92424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9" w:type="dxa"/>
          </w:tcPr>
          <w:p w14:paraId="4F03E2C9" w14:textId="691F6C46" w:rsidR="00D92424" w:rsidRDefault="00472E13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73</w:t>
            </w:r>
            <w:r w:rsidR="00D92424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2424" w14:paraId="5507C64B" w14:textId="77777777" w:rsidTr="00D92424">
        <w:tc>
          <w:tcPr>
            <w:tcW w:w="3398" w:type="dxa"/>
          </w:tcPr>
          <w:p w14:paraId="5F66A044" w14:textId="4746F720" w:rsidR="00D92424" w:rsidRDefault="00D92424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CA6709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ՊՄԳ ների քանակ</w:t>
            </w:r>
          </w:p>
        </w:tc>
        <w:tc>
          <w:tcPr>
            <w:tcW w:w="3399" w:type="dxa"/>
          </w:tcPr>
          <w:p w14:paraId="7F1F3E52" w14:textId="23E82E1E" w:rsidR="00D92424" w:rsidRDefault="0081694E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  <w:t>39</w:t>
            </w:r>
          </w:p>
        </w:tc>
        <w:tc>
          <w:tcPr>
            <w:tcW w:w="3399" w:type="dxa"/>
          </w:tcPr>
          <w:p w14:paraId="6CA6C606" w14:textId="468DDBEC" w:rsidR="00D92424" w:rsidRPr="00A5775D" w:rsidRDefault="001541AE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D92424" w14:paraId="449A478A" w14:textId="77777777" w:rsidTr="00D92424">
        <w:tc>
          <w:tcPr>
            <w:tcW w:w="3398" w:type="dxa"/>
          </w:tcPr>
          <w:p w14:paraId="264F1DAA" w14:textId="287BD6BF" w:rsidR="00D92424" w:rsidRDefault="00D92424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Եկամուտների մակարդակ</w:t>
            </w:r>
          </w:p>
        </w:tc>
        <w:tc>
          <w:tcPr>
            <w:tcW w:w="3399" w:type="dxa"/>
          </w:tcPr>
          <w:p w14:paraId="4431C43F" w14:textId="3ED0E1B7" w:rsidR="00D92424" w:rsidRDefault="00D92424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Բարձր</w:t>
            </w:r>
            <w:r w:rsidR="0081694E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միջին</w:t>
            </w:r>
          </w:p>
        </w:tc>
        <w:tc>
          <w:tcPr>
            <w:tcW w:w="3399" w:type="dxa"/>
          </w:tcPr>
          <w:p w14:paraId="44427549" w14:textId="629A1CD2" w:rsidR="00D92424" w:rsidRDefault="00472E13" w:rsidP="00A5775D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Բարձր</w:t>
            </w:r>
            <w:r w:rsidR="00D92424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միջին </w:t>
            </w:r>
          </w:p>
        </w:tc>
      </w:tr>
    </w:tbl>
    <w:p w14:paraId="1EF9BF31" w14:textId="212BEEE5" w:rsidR="00A5775D" w:rsidRDefault="00A5775D" w:rsidP="00A5775D">
      <w:pPr>
        <w:spacing w:before="120" w:after="12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52280E">
        <w:rPr>
          <w:i/>
          <w:iCs/>
          <w:sz w:val="16"/>
          <w:szCs w:val="16"/>
        </w:rPr>
        <w:t>Աղբյուրը՝ Համաշխարհային բանկ</w:t>
      </w:r>
      <w:r w:rsidR="0052280E" w:rsidRPr="0052280E">
        <w:rPr>
          <w:i/>
          <w:iCs/>
          <w:sz w:val="16"/>
          <w:szCs w:val="16"/>
        </w:rPr>
        <w:t xml:space="preserve">, </w:t>
      </w:r>
      <w:r w:rsidR="0052280E" w:rsidRPr="00A5775D">
        <w:rPr>
          <w:i/>
          <w:iCs/>
          <w:sz w:val="16"/>
          <w:szCs w:val="16"/>
        </w:rPr>
        <w:t xml:space="preserve">How to control the costs of public-private partnerships / this note was prepared by Tim Irwin, </w:t>
      </w:r>
      <w:proofErr w:type="spellStart"/>
      <w:r w:rsidR="0052280E" w:rsidRPr="00A5775D">
        <w:rPr>
          <w:i/>
          <w:iCs/>
          <w:sz w:val="16"/>
          <w:szCs w:val="16"/>
        </w:rPr>
        <w:t>Samah</w:t>
      </w:r>
      <w:proofErr w:type="spellEnd"/>
      <w:r w:rsidR="0052280E" w:rsidRPr="00A5775D">
        <w:rPr>
          <w:i/>
          <w:iCs/>
          <w:sz w:val="16"/>
          <w:szCs w:val="16"/>
        </w:rPr>
        <w:t xml:space="preserve"> </w:t>
      </w:r>
      <w:proofErr w:type="spellStart"/>
      <w:r w:rsidR="0052280E" w:rsidRPr="00A5775D">
        <w:rPr>
          <w:i/>
          <w:iCs/>
          <w:sz w:val="16"/>
          <w:szCs w:val="16"/>
        </w:rPr>
        <w:t>Mazraani</w:t>
      </w:r>
      <w:proofErr w:type="spellEnd"/>
      <w:r w:rsidR="0052280E" w:rsidRPr="00A5775D">
        <w:rPr>
          <w:i/>
          <w:iCs/>
          <w:sz w:val="16"/>
          <w:szCs w:val="16"/>
        </w:rPr>
        <w:t>, and Sandeep Saxena. (International Monetary Fund)</w:t>
      </w:r>
    </w:p>
    <w:p w14:paraId="1D52363F" w14:textId="15378529" w:rsidR="00F72238" w:rsidRPr="00A5775D" w:rsidRDefault="00111DCD" w:rsidP="007133F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Հաշվի առնելով այս </w:t>
      </w:r>
      <w:r w:rsidR="00202DCF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երկրներում իրականացվող ՊՄԳ ների էականորեն ավելի մեծ 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քանակը կարելի է եզրակացնել, որ </w:t>
      </w:r>
      <w:r w:rsidR="00E905D0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կարգավորմամբ առաջարկվող ՀՆԱ-ի 1% սահմանաչափը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5573CD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համարել</w:t>
      </w:r>
      <w:r w:rsidR="00E905D0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5573CD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բավականին </w:t>
      </w:r>
      <w:r w:rsidR="00281688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լայն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է</w:t>
      </w:r>
      <w:r w:rsidR="00281688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։ </w:t>
      </w:r>
    </w:p>
    <w:p w14:paraId="3E9CE70C" w14:textId="0993F0D8" w:rsidR="00693374" w:rsidRPr="00207EAD" w:rsidRDefault="00F72238" w:rsidP="00207E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207EAD">
        <w:rPr>
          <w:rFonts w:ascii="GHEA Grapalat" w:eastAsia="Calibri" w:hAnsi="GHEA Grapalat" w:cs="Sylfaen"/>
          <w:b/>
          <w:sz w:val="24"/>
          <w:szCs w:val="24"/>
          <w:lang w:val="hy-AM" w:eastAsia="ru-RU"/>
        </w:rPr>
        <w:t>Իրավական ակտի կիրառման դեպքում ակնկալվող</w:t>
      </w:r>
      <w:r w:rsidRPr="00207EAD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արդյունքը</w:t>
      </w:r>
    </w:p>
    <w:p w14:paraId="245894CC" w14:textId="2266F887" w:rsidR="00693374" w:rsidRPr="00A5775D" w:rsidRDefault="007133F8" w:rsidP="007133F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Նա</w:t>
      </w:r>
      <w:r w:rsidR="00BE49A2">
        <w:rPr>
          <w:rFonts w:ascii="GHEA Grapalat" w:eastAsia="Calibri" w:hAnsi="GHEA Grapalat" w:cs="Times New Roman"/>
          <w:sz w:val="24"/>
          <w:szCs w:val="24"/>
          <w:lang w:eastAsia="ru-RU"/>
        </w:rPr>
        <w:t>խ</w:t>
      </w:r>
      <w:r w:rsidR="00693374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ագիծը կնպաստի ՊՄԳ ծրագրերի իրականացման դեպքում հանրային ֆինանսների վրա ֆիսկալ ազդեցությունների սահմանափակմանը, ինչպես նաև  ֆինանսական կայունության ապահովմանը: Պայմանական </w:t>
      </w:r>
      <w:r w:rsidR="009825DB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և ուղղակի պարտավորությունների </w:t>
      </w:r>
      <w:r w:rsidR="00693374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առավելագույն չափ</w:t>
      </w:r>
      <w:r w:rsidR="009825DB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երի</w:t>
      </w:r>
      <w:r w:rsidR="00693374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սահմանումը կօգնի զսպել ֆիսկալ ծախսերը և պահպանել պետական երկարաժամկետ պարտավորությունների ֆիսկալ մատչելիությունը։ Նախագծի ընդունումը նաև կարող է  նպաստել հանրային ներդրումային նախագծերի առաջնահերթությունների որոշմանը: </w:t>
      </w:r>
    </w:p>
    <w:p w14:paraId="75511CFD" w14:textId="70675182" w:rsidR="00693374" w:rsidRPr="00A5775D" w:rsidRDefault="00693374" w:rsidP="007133F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lastRenderedPageBreak/>
        <w:t xml:space="preserve">Լավագույն փորձը ցույց է տալիս, որ բոլոր ՊՄԳ ծրագրերի նախգծերը պետք է անցնեն «հաջորդ փուլին անցնելու» գործընթացով, որը թույլ է տալիս լիազոր մարմնին կասեցնել կամ ժամանակավորապես դադարեցնել ՊՄԳ ծրագրի նախագիծը ցանկացած փուլում: Հաջորդ փուլին անցնելու գործընթացի նպատակն է, լիազոր մարմնին թույլ տալ կառավարել և վերահսկել ՊՄԳ-ների </w:t>
      </w:r>
      <w:r w:rsidR="0084353C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երկարաժամկետ </w:t>
      </w:r>
      <w:r w:rsidR="00C217A4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բյուջետային 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ծախսերը և </w:t>
      </w:r>
      <w:r w:rsidR="0084353C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ֆիսկալ 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ռիսկերը, ինչպես նաև դադարեցնել ՊՄԳ-ների նախագծերը, եթե դրանք հանգեցնում են ՊՄԳ պարտավորությունների թույլատրելի սահմանաչափ</w:t>
      </w:r>
      <w:r w:rsidR="00C217A4"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երից որևէ մեկ</w:t>
      </w:r>
      <w:r w:rsidRPr="00A5775D">
        <w:rPr>
          <w:rFonts w:ascii="GHEA Grapalat" w:eastAsia="Calibri" w:hAnsi="GHEA Grapalat" w:cs="Times New Roman"/>
          <w:sz w:val="24"/>
          <w:szCs w:val="24"/>
          <w:lang w:val="hy-AM" w:eastAsia="ru-RU"/>
        </w:rPr>
        <w:t>ի գերազանցմանը։</w:t>
      </w:r>
    </w:p>
    <w:p w14:paraId="68389363" w14:textId="41BB9D85" w:rsidR="00D814F6" w:rsidRPr="00207EAD" w:rsidRDefault="00D814F6" w:rsidP="00207E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MS Mincho" w:hAnsi="GHEA Grapalat" w:cs="MS Mincho"/>
          <w:b/>
          <w:sz w:val="24"/>
          <w:szCs w:val="24"/>
          <w:lang w:val="hy-AM" w:eastAsia="ru-RU"/>
        </w:rPr>
      </w:pPr>
      <w:r w:rsidRPr="00207EAD">
        <w:rPr>
          <w:rFonts w:ascii="GHEA Grapalat" w:eastAsia="MS Mincho" w:hAnsi="GHEA Grapalat" w:cs="MS Mincho"/>
          <w:b/>
          <w:sz w:val="24"/>
          <w:szCs w:val="24"/>
          <w:lang w:val="hy-AM" w:eastAsia="ru-RU"/>
        </w:rPr>
        <w:t xml:space="preserve">Նախագծի կապը ռազմավարական փաստաթղթերի հետ. </w:t>
      </w:r>
    </w:p>
    <w:p w14:paraId="6DEA21D2" w14:textId="615C52C5" w:rsidR="00B9016E" w:rsidRPr="007133F8" w:rsidRDefault="00D814F6" w:rsidP="007133F8">
      <w:pPr>
        <w:spacing w:after="0" w:line="360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eastAsia="ru-RU"/>
        </w:rPr>
      </w:pPr>
      <w:r>
        <w:rPr>
          <w:rFonts w:ascii="GHEA Grapalat" w:eastAsia="MS Mincho" w:hAnsi="GHEA Grapalat" w:cs="MS Mincho"/>
          <w:sz w:val="24"/>
          <w:szCs w:val="24"/>
          <w:lang w:eastAsia="ru-RU"/>
        </w:rPr>
        <w:t>Ն</w:t>
      </w:r>
      <w:r w:rsidRPr="00D814F6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ախագիծը չի բխում որևէ ռազմավարական փաստաթղթից: </w:t>
      </w:r>
      <w:proofErr w:type="spellStart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>Սակայն</w:t>
      </w:r>
      <w:proofErr w:type="spellEnd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 xml:space="preserve"> </w:t>
      </w:r>
      <w:proofErr w:type="spellStart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>Նախագիծն</w:t>
      </w:r>
      <w:proofErr w:type="spellEnd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 xml:space="preserve"> </w:t>
      </w:r>
      <w:proofErr w:type="spellStart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>առնչվում</w:t>
      </w:r>
      <w:proofErr w:type="spellEnd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 xml:space="preserve"> է ՀՀ </w:t>
      </w:r>
      <w:proofErr w:type="spellStart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>կ</w:t>
      </w:r>
      <w:r w:rsidR="0065023D" w:rsidRPr="0065023D">
        <w:rPr>
          <w:rFonts w:ascii="GHEA Grapalat" w:eastAsia="MS Mincho" w:hAnsi="GHEA Grapalat" w:cs="MS Mincho"/>
          <w:sz w:val="24"/>
          <w:szCs w:val="24"/>
          <w:lang w:eastAsia="ru-RU"/>
        </w:rPr>
        <w:t>առավարության</w:t>
      </w:r>
      <w:proofErr w:type="spellEnd"/>
      <w:r w:rsidR="0065023D" w:rsidRPr="0065023D">
        <w:rPr>
          <w:rFonts w:ascii="GHEA Grapalat" w:eastAsia="MS Mincho" w:hAnsi="GHEA Grapalat" w:cs="MS Mincho"/>
          <w:sz w:val="24"/>
          <w:szCs w:val="24"/>
          <w:lang w:eastAsia="ru-RU"/>
        </w:rPr>
        <w:t xml:space="preserve"> 2021-2026թթ. </w:t>
      </w:r>
      <w:proofErr w:type="spellStart"/>
      <w:r w:rsidR="0065023D" w:rsidRPr="0065023D">
        <w:rPr>
          <w:rFonts w:ascii="GHEA Grapalat" w:eastAsia="MS Mincho" w:hAnsi="GHEA Grapalat" w:cs="MS Mincho"/>
          <w:sz w:val="24"/>
          <w:szCs w:val="24"/>
          <w:lang w:eastAsia="ru-RU"/>
        </w:rPr>
        <w:t>Ծրագր</w:t>
      </w:r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>ի</w:t>
      </w:r>
      <w:proofErr w:type="spellEnd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 xml:space="preserve"> 6.10 </w:t>
      </w:r>
      <w:proofErr w:type="spellStart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>բաժնում</w:t>
      </w:r>
      <w:proofErr w:type="spellEnd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 xml:space="preserve"> </w:t>
      </w:r>
      <w:proofErr w:type="spellStart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>նախանշված</w:t>
      </w:r>
      <w:proofErr w:type="spellEnd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 xml:space="preserve"> </w:t>
      </w:r>
      <w:proofErr w:type="spellStart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>բարեփոխումներին</w:t>
      </w:r>
      <w:proofErr w:type="spellEnd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 xml:space="preserve">՝ </w:t>
      </w:r>
      <w:proofErr w:type="spellStart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>ամբողջացնելով</w:t>
      </w:r>
      <w:proofErr w:type="spellEnd"/>
      <w:r w:rsidR="0065023D">
        <w:rPr>
          <w:rFonts w:ascii="GHEA Grapalat" w:eastAsia="MS Mincho" w:hAnsi="GHEA Grapalat" w:cs="MS Mincho"/>
          <w:sz w:val="24"/>
          <w:szCs w:val="24"/>
          <w:lang w:eastAsia="ru-RU"/>
        </w:rPr>
        <w:t xml:space="preserve"> ՊՄԳ</w:t>
      </w:r>
      <w:r w:rsidR="0065023D" w:rsidRPr="0065023D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65023D" w:rsidRPr="00B9016E">
        <w:rPr>
          <w:rFonts w:ascii="GHEA Grapalat" w:eastAsia="MS Mincho" w:hAnsi="GHEA Grapalat" w:cs="MS Mincho"/>
          <w:sz w:val="24"/>
          <w:szCs w:val="24"/>
          <w:lang w:val="hy-AM" w:eastAsia="ru-RU"/>
        </w:rPr>
        <w:t>կարգավորման դաշտը՝ ապահովելով լավագույն ծրագրերի և դրանք իրականացնող մասնավոր գործընկերների ընտրությունը</w:t>
      </w:r>
      <w:r w:rsidR="006726D6">
        <w:rPr>
          <w:rFonts w:ascii="GHEA Grapalat" w:eastAsia="MS Mincho" w:hAnsi="GHEA Grapalat" w:cs="MS Mincho"/>
          <w:sz w:val="24"/>
          <w:szCs w:val="24"/>
          <w:lang w:eastAsia="ru-RU"/>
        </w:rPr>
        <w:t>:</w:t>
      </w:r>
    </w:p>
    <w:p w14:paraId="35199FEB" w14:textId="51722990" w:rsidR="00F72238" w:rsidRPr="00207EAD" w:rsidRDefault="00F72238" w:rsidP="00207EAD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07EAD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Այլ տեղեկություններ</w:t>
      </w:r>
    </w:p>
    <w:p w14:paraId="5921FDD7" w14:textId="5E7FF25B" w:rsidR="00F72238" w:rsidRPr="007133F8" w:rsidRDefault="00F72238" w:rsidP="007133F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F72238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Նախագիծը </w:t>
      </w:r>
      <w:r w:rsidR="00D84195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մշակել է </w:t>
      </w:r>
      <w:r w:rsidR="00644C35">
        <w:rPr>
          <w:rFonts w:ascii="GHEA Grapalat" w:eastAsia="MS Mincho" w:hAnsi="GHEA Grapalat" w:cs="MS Mincho"/>
          <w:sz w:val="24"/>
          <w:szCs w:val="24"/>
          <w:lang w:eastAsia="ru-RU"/>
        </w:rPr>
        <w:t xml:space="preserve">ՀՀ </w:t>
      </w:r>
      <w:proofErr w:type="spellStart"/>
      <w:r w:rsidR="00644C35">
        <w:rPr>
          <w:rFonts w:ascii="GHEA Grapalat" w:eastAsia="MS Mincho" w:hAnsi="GHEA Grapalat" w:cs="MS Mincho"/>
          <w:sz w:val="24"/>
          <w:szCs w:val="24"/>
          <w:lang w:eastAsia="ru-RU"/>
        </w:rPr>
        <w:t>ֆինանսների</w:t>
      </w:r>
      <w:proofErr w:type="spellEnd"/>
      <w:r w:rsidR="00644C35">
        <w:rPr>
          <w:rFonts w:ascii="GHEA Grapalat" w:eastAsia="MS Mincho" w:hAnsi="GHEA Grapalat" w:cs="MS Mincho"/>
          <w:sz w:val="24"/>
          <w:szCs w:val="24"/>
          <w:lang w:eastAsia="ru-RU"/>
        </w:rPr>
        <w:t xml:space="preserve"> </w:t>
      </w:r>
      <w:proofErr w:type="spellStart"/>
      <w:r w:rsidR="00644C35">
        <w:rPr>
          <w:rFonts w:ascii="GHEA Grapalat" w:eastAsia="MS Mincho" w:hAnsi="GHEA Grapalat" w:cs="MS Mincho"/>
          <w:sz w:val="24"/>
          <w:szCs w:val="24"/>
          <w:lang w:eastAsia="ru-RU"/>
        </w:rPr>
        <w:t>նախարարությունը</w:t>
      </w:r>
      <w:proofErr w:type="spellEnd"/>
      <w:r w:rsidR="00644C35">
        <w:rPr>
          <w:rFonts w:ascii="GHEA Grapalat" w:eastAsia="MS Mincho" w:hAnsi="GHEA Grapalat" w:cs="MS Mincho"/>
          <w:sz w:val="24"/>
          <w:szCs w:val="24"/>
          <w:lang w:eastAsia="ru-RU"/>
        </w:rPr>
        <w:t xml:space="preserve">՝ </w:t>
      </w:r>
      <w:r w:rsidRPr="00F72238">
        <w:rPr>
          <w:rFonts w:ascii="GHEA Grapalat" w:eastAsia="MS Mincho" w:hAnsi="GHEA Grapalat" w:cs="MS Mincho"/>
          <w:sz w:val="24"/>
          <w:szCs w:val="24"/>
          <w:lang w:val="hy-AM" w:eastAsia="ru-RU"/>
        </w:rPr>
        <w:t>Ասիական զարգացման բանկի</w:t>
      </w:r>
      <w:r w:rsidR="00D45116" w:rsidRPr="00D45116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D45116">
        <w:rPr>
          <w:rFonts w:ascii="GHEA Grapalat" w:eastAsia="MS Mincho" w:hAnsi="GHEA Grapalat" w:cs="MS Mincho"/>
          <w:sz w:val="24"/>
          <w:szCs w:val="24"/>
          <w:lang w:val="hy-AM" w:eastAsia="ru-RU"/>
        </w:rPr>
        <w:t>խորհրդատուների աջակցությամբ</w:t>
      </w:r>
      <w:r w:rsidR="00D84195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և </w:t>
      </w:r>
      <w:r w:rsidR="00D84195" w:rsidRPr="00F72238">
        <w:rPr>
          <w:rFonts w:ascii="GHEA Grapalat" w:eastAsia="MS Mincho" w:hAnsi="GHEA Grapalat" w:cs="MS Mincho"/>
          <w:sz w:val="24"/>
          <w:szCs w:val="24"/>
          <w:lang w:val="hy-AM" w:eastAsia="ru-RU"/>
        </w:rPr>
        <w:t>համաձայնեցվել է Արժույթի միջազգային հիմնադրամ</w:t>
      </w:r>
      <w:r w:rsidR="00D84195">
        <w:rPr>
          <w:rFonts w:ascii="GHEA Grapalat" w:eastAsia="MS Mincho" w:hAnsi="GHEA Grapalat" w:cs="MS Mincho"/>
          <w:sz w:val="24"/>
          <w:szCs w:val="24"/>
          <w:lang w:val="hy-AM" w:eastAsia="ru-RU"/>
        </w:rPr>
        <w:t>ի հետ</w:t>
      </w:r>
      <w:r w:rsidRPr="00F72238">
        <w:rPr>
          <w:rFonts w:ascii="GHEA Grapalat" w:eastAsia="MS Mincho" w:hAnsi="GHEA Grapalat" w:cs="MS Mincho"/>
          <w:sz w:val="24"/>
          <w:szCs w:val="24"/>
          <w:lang w:val="hy-AM" w:eastAsia="ru-RU"/>
        </w:rPr>
        <w:t>:</w:t>
      </w:r>
    </w:p>
    <w:p w14:paraId="08141745" w14:textId="77777777" w:rsidR="00F72238" w:rsidRDefault="00F72238" w:rsidP="00207EA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50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F72238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Պետական բյուջեում կամ տեղական ինքնակառավարման մարմինների բյուջեների վրա ազդեցությունը</w:t>
      </w:r>
    </w:p>
    <w:p w14:paraId="05CD76B4" w14:textId="77777777" w:rsidR="00693374" w:rsidRPr="00F72238" w:rsidRDefault="00693374" w:rsidP="007133F8">
      <w:pPr>
        <w:autoSpaceDE w:val="0"/>
        <w:autoSpaceDN w:val="0"/>
        <w:adjustRightInd w:val="0"/>
        <w:spacing w:after="0" w:line="276" w:lineRule="auto"/>
        <w:ind w:left="1260" w:right="50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</w:p>
    <w:p w14:paraId="26C29EF9" w14:textId="17B73E58" w:rsidR="00691D74" w:rsidRPr="007133F8" w:rsidRDefault="00693374" w:rsidP="007133F8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93374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Նախագծի ընդունման առնչությամբ  պետական կամ տեղական ինքնակառավարման մարմնի բյուջեում  ծախսերի և եկամուտների  էական ավելացում կամ նվազեցում  չի նախատեսվում:</w:t>
      </w:r>
    </w:p>
    <w:p w14:paraId="13598DC0" w14:textId="77777777" w:rsidR="00F72238" w:rsidRPr="00693374" w:rsidRDefault="00F72238" w:rsidP="00207EA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693374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Նախագծի ընդունման առնչությամբ ընդունվելիք այլ իրավական ակտերի կամ դրանց ընդունման անհրաժեշտության բացակայության մասին </w:t>
      </w:r>
    </w:p>
    <w:p w14:paraId="6D9FC9AD" w14:textId="77777777" w:rsidR="00693374" w:rsidRPr="00693374" w:rsidRDefault="00693374" w:rsidP="00693374">
      <w:pPr>
        <w:pStyle w:val="ListParagraph"/>
        <w:spacing w:after="0" w:line="276" w:lineRule="auto"/>
        <w:ind w:left="1260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</w:p>
    <w:p w14:paraId="745C579F" w14:textId="744792CF" w:rsidR="004E6F7D" w:rsidRDefault="00693374" w:rsidP="007133F8">
      <w:pPr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6933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 ընդունման առնչությամբ  այլ իրավական ակտերում փոփոխություններ և լրացումներ կատարելու անհրաժեշտություն չի առաջանում:</w:t>
      </w:r>
      <w:r w:rsidR="007133F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</w:p>
    <w:p w14:paraId="159A6201" w14:textId="77777777" w:rsidR="004E6F7D" w:rsidRDefault="004E6F7D" w:rsidP="00F72238">
      <w:pPr>
        <w:spacing w:after="0" w:line="360" w:lineRule="auto"/>
        <w:jc w:val="right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bookmarkStart w:id="0" w:name="_GoBack"/>
      <w:bookmarkEnd w:id="0"/>
    </w:p>
    <w:sectPr w:rsidR="004E6F7D" w:rsidSect="007133F8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4CFE" w14:textId="77777777" w:rsidR="00E04FCF" w:rsidRDefault="00E04FCF" w:rsidP="00F72238">
      <w:pPr>
        <w:spacing w:after="0" w:line="240" w:lineRule="auto"/>
      </w:pPr>
      <w:r>
        <w:separator/>
      </w:r>
    </w:p>
  </w:endnote>
  <w:endnote w:type="continuationSeparator" w:id="0">
    <w:p w14:paraId="0896CED8" w14:textId="77777777" w:rsidR="00E04FCF" w:rsidRDefault="00E04FCF" w:rsidP="00F7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9612" w14:textId="77777777" w:rsidR="00E04FCF" w:rsidRDefault="00E04FCF" w:rsidP="00F72238">
      <w:pPr>
        <w:spacing w:after="0" w:line="240" w:lineRule="auto"/>
      </w:pPr>
      <w:r>
        <w:separator/>
      </w:r>
    </w:p>
  </w:footnote>
  <w:footnote w:type="continuationSeparator" w:id="0">
    <w:p w14:paraId="59D868F1" w14:textId="77777777" w:rsidR="00E04FCF" w:rsidRDefault="00E04FCF" w:rsidP="00F72238">
      <w:pPr>
        <w:spacing w:after="0" w:line="240" w:lineRule="auto"/>
      </w:pPr>
      <w:r>
        <w:continuationSeparator/>
      </w:r>
    </w:p>
  </w:footnote>
  <w:footnote w:id="1">
    <w:p w14:paraId="576D8C25" w14:textId="77777777" w:rsidR="00785468" w:rsidRPr="00084B9E" w:rsidRDefault="00785468" w:rsidP="00785468">
      <w:pPr>
        <w:pStyle w:val="FootnoteText"/>
        <w:rPr>
          <w:sz w:val="16"/>
          <w:szCs w:val="16"/>
        </w:rPr>
      </w:pPr>
      <w:r w:rsidRPr="00084B9E">
        <w:rPr>
          <w:rStyle w:val="FootnoteReference"/>
          <w:sz w:val="16"/>
          <w:szCs w:val="16"/>
        </w:rPr>
        <w:footnoteRef/>
      </w:r>
      <w:r w:rsidRPr="00084B9E">
        <w:rPr>
          <w:sz w:val="16"/>
          <w:szCs w:val="16"/>
        </w:rPr>
        <w:t xml:space="preserve">     </w:t>
      </w:r>
      <w:proofErr w:type="spellStart"/>
      <w:r w:rsidRPr="00084B9E">
        <w:rPr>
          <w:sz w:val="16"/>
          <w:szCs w:val="16"/>
        </w:rPr>
        <w:t>Գնահատումներն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իրականացվել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են</w:t>
      </w:r>
      <w:proofErr w:type="spellEnd"/>
      <w:r w:rsidRPr="00084B9E">
        <w:rPr>
          <w:sz w:val="16"/>
          <w:szCs w:val="16"/>
        </w:rPr>
        <w:t xml:space="preserve"> «</w:t>
      </w:r>
      <w:proofErr w:type="spellStart"/>
      <w:r w:rsidRPr="00084B9E">
        <w:rPr>
          <w:sz w:val="16"/>
          <w:szCs w:val="16"/>
        </w:rPr>
        <w:t>Հարավկովկասյան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երկաթուղի</w:t>
      </w:r>
      <w:proofErr w:type="spellEnd"/>
      <w:r w:rsidRPr="00084B9E">
        <w:rPr>
          <w:sz w:val="16"/>
          <w:szCs w:val="16"/>
        </w:rPr>
        <w:t>», «</w:t>
      </w:r>
      <w:proofErr w:type="spellStart"/>
      <w:r w:rsidRPr="00084B9E">
        <w:rPr>
          <w:sz w:val="16"/>
          <w:szCs w:val="16"/>
        </w:rPr>
        <w:t>Վեոլիա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ջուր</w:t>
      </w:r>
      <w:proofErr w:type="spellEnd"/>
      <w:r w:rsidRPr="00084B9E">
        <w:rPr>
          <w:sz w:val="16"/>
          <w:szCs w:val="16"/>
        </w:rPr>
        <w:t>» և «</w:t>
      </w:r>
      <w:proofErr w:type="spellStart"/>
      <w:r w:rsidRPr="00084B9E">
        <w:rPr>
          <w:sz w:val="16"/>
          <w:szCs w:val="16"/>
        </w:rPr>
        <w:t>Արմենիա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Միջազգային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օդանավակայաններ</w:t>
      </w:r>
      <w:proofErr w:type="spellEnd"/>
      <w:r w:rsidRPr="00084B9E">
        <w:rPr>
          <w:sz w:val="16"/>
          <w:szCs w:val="16"/>
        </w:rPr>
        <w:t>» ՓԲԸ-</w:t>
      </w:r>
      <w:proofErr w:type="spellStart"/>
      <w:r w:rsidRPr="00084B9E">
        <w:rPr>
          <w:sz w:val="16"/>
          <w:szCs w:val="16"/>
        </w:rPr>
        <w:t>ների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պայմանագրերի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մասով</w:t>
      </w:r>
      <w:proofErr w:type="spellEnd"/>
      <w:r w:rsidRPr="00084B9E">
        <w:rPr>
          <w:sz w:val="16"/>
          <w:szCs w:val="16"/>
        </w:rPr>
        <w:t xml:space="preserve">, </w:t>
      </w:r>
      <w:proofErr w:type="spellStart"/>
      <w:r w:rsidRPr="00084B9E">
        <w:rPr>
          <w:sz w:val="16"/>
          <w:szCs w:val="16"/>
        </w:rPr>
        <w:t>իսկ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էլեկտրաէներգիայի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գնման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համաձայնագրերից</w:t>
      </w:r>
      <w:proofErr w:type="spellEnd"/>
      <w:r>
        <w:rPr>
          <w:sz w:val="16"/>
          <w:szCs w:val="16"/>
        </w:rPr>
        <w:t xml:space="preserve"> </w:t>
      </w:r>
      <w:r w:rsidRPr="00084B9E">
        <w:rPr>
          <w:sz w:val="16"/>
          <w:szCs w:val="16"/>
        </w:rPr>
        <w:t>«</w:t>
      </w:r>
      <w:proofErr w:type="spellStart"/>
      <w:r w:rsidRPr="00084B9E">
        <w:rPr>
          <w:sz w:val="16"/>
          <w:szCs w:val="16"/>
        </w:rPr>
        <w:t>Քոնթուր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գլոբալ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հիդրո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կասկադ</w:t>
      </w:r>
      <w:proofErr w:type="spellEnd"/>
      <w:r w:rsidRPr="00084B9E">
        <w:rPr>
          <w:sz w:val="16"/>
          <w:szCs w:val="16"/>
        </w:rPr>
        <w:t xml:space="preserve">», «Մասրիկ-1» </w:t>
      </w:r>
      <w:proofErr w:type="spellStart"/>
      <w:r w:rsidRPr="00084B9E">
        <w:rPr>
          <w:sz w:val="16"/>
          <w:szCs w:val="16"/>
        </w:rPr>
        <w:t>արևային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ֆոտովոլտային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էլեկտրակայան</w:t>
      </w:r>
      <w:proofErr w:type="spellEnd"/>
      <w:r w:rsidRPr="00084B9E">
        <w:rPr>
          <w:sz w:val="16"/>
          <w:szCs w:val="16"/>
        </w:rPr>
        <w:t xml:space="preserve"> և «</w:t>
      </w:r>
      <w:proofErr w:type="spellStart"/>
      <w:r w:rsidRPr="00084B9E">
        <w:rPr>
          <w:sz w:val="16"/>
          <w:szCs w:val="16"/>
        </w:rPr>
        <w:t>Ռենկո</w:t>
      </w:r>
      <w:proofErr w:type="spellEnd"/>
      <w:r w:rsidRPr="00084B9E">
        <w:rPr>
          <w:sz w:val="16"/>
          <w:szCs w:val="16"/>
        </w:rPr>
        <w:t xml:space="preserve"> U </w:t>
      </w:r>
      <w:proofErr w:type="spellStart"/>
      <w:r w:rsidRPr="00084B9E">
        <w:rPr>
          <w:sz w:val="16"/>
          <w:szCs w:val="16"/>
        </w:rPr>
        <w:t>SpA</w:t>
      </w:r>
      <w:proofErr w:type="spellEnd"/>
      <w:r w:rsidRPr="00084B9E">
        <w:rPr>
          <w:sz w:val="16"/>
          <w:szCs w:val="16"/>
        </w:rPr>
        <w:t xml:space="preserve"> և </w:t>
      </w:r>
      <w:proofErr w:type="spellStart"/>
      <w:r w:rsidRPr="00084B9E">
        <w:rPr>
          <w:sz w:val="16"/>
          <w:szCs w:val="16"/>
        </w:rPr>
        <w:t>Արմփաուեր</w:t>
      </w:r>
      <w:proofErr w:type="spellEnd"/>
      <w:r w:rsidRPr="00084B9E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 w:rsidRPr="00084B9E">
        <w:rPr>
          <w:sz w:val="16"/>
          <w:szCs w:val="16"/>
        </w:rPr>
        <w:t>ՓԲԸ-</w:t>
      </w:r>
      <w:proofErr w:type="spellStart"/>
      <w:r w:rsidRPr="00084B9E">
        <w:rPr>
          <w:sz w:val="16"/>
          <w:szCs w:val="16"/>
        </w:rPr>
        <w:t>ների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պայմանագրերի</w:t>
      </w:r>
      <w:proofErr w:type="spellEnd"/>
      <w:r w:rsidRPr="00084B9E">
        <w:rPr>
          <w:sz w:val="16"/>
          <w:szCs w:val="16"/>
        </w:rPr>
        <w:t xml:space="preserve"> </w:t>
      </w:r>
      <w:proofErr w:type="spellStart"/>
      <w:r w:rsidRPr="00084B9E">
        <w:rPr>
          <w:sz w:val="16"/>
          <w:szCs w:val="16"/>
        </w:rPr>
        <w:t>մասով</w:t>
      </w:r>
      <w:proofErr w:type="spellEnd"/>
      <w:r w:rsidRPr="00084B9E">
        <w:rPr>
          <w:sz w:val="16"/>
          <w:szCs w:val="16"/>
        </w:rPr>
        <w:t>:</w:t>
      </w:r>
    </w:p>
  </w:footnote>
  <w:footnote w:id="2">
    <w:p w14:paraId="36C5C2B2" w14:textId="77777777" w:rsidR="00264D92" w:rsidRDefault="00BA6FEC" w:rsidP="00BA6FEC">
      <w:pPr>
        <w:pStyle w:val="FootnoteText"/>
      </w:pPr>
      <w:r>
        <w:rPr>
          <w:rStyle w:val="FootnoteReference"/>
        </w:rPr>
        <w:footnoteRef/>
      </w:r>
      <w:r w:rsidRPr="00C20AB9">
        <w:t xml:space="preserve"> </w:t>
      </w:r>
      <w:r w:rsidR="00264D92" w:rsidRPr="00264D92">
        <w:t>https://www.imf.org/en/Publications/CR/Issues/2021/12/21/Republic-of-Armenia-2021-Article-IV-Consultation-Fourth-and-Fifth-Reviews-Under-the-Stand-511248</w:t>
      </w:r>
      <w:r w:rsidRPr="00C20AB9">
        <w:t xml:space="preserve">  </w:t>
      </w:r>
    </w:p>
    <w:p w14:paraId="1B2729A3" w14:textId="14A5D4A2" w:rsidR="00BA6FEC" w:rsidRPr="00C20AB9" w:rsidRDefault="00BA6FEC" w:rsidP="00BA6FEC">
      <w:pPr>
        <w:pStyle w:val="FootnoteText"/>
      </w:pPr>
    </w:p>
  </w:footnote>
  <w:footnote w:id="3">
    <w:p w14:paraId="24B19849" w14:textId="77777777" w:rsidR="00EE4ECA" w:rsidRPr="00BF6807" w:rsidRDefault="00EE4ECA" w:rsidP="00EE4ECA">
      <w:pPr>
        <w:pStyle w:val="FootnoteText"/>
      </w:pPr>
      <w:r>
        <w:rPr>
          <w:rStyle w:val="FootnoteReference"/>
        </w:rPr>
        <w:footnoteRef/>
      </w:r>
      <w:r w:rsidRPr="00BF6807">
        <w:t xml:space="preserve"> MMM 2016-2018 </w:t>
      </w:r>
      <w:proofErr w:type="spellStart"/>
      <w:r w:rsidRPr="00BF6807">
        <w:t>Revisado</w:t>
      </w:r>
      <w:proofErr w:type="spellEnd"/>
      <w:r w:rsidRPr="00BF6807">
        <w:t xml:space="preserve"> (pages 39-40) and MMM 2017-2019 (pages 64-65)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D3F"/>
    <w:multiLevelType w:val="hybridMultilevel"/>
    <w:tmpl w:val="F6FA8AE0"/>
    <w:lvl w:ilvl="0" w:tplc="039842F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0F07F1"/>
    <w:multiLevelType w:val="hybridMultilevel"/>
    <w:tmpl w:val="5BB6B2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D4156"/>
    <w:multiLevelType w:val="multilevel"/>
    <w:tmpl w:val="8AF2E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817F1"/>
    <w:multiLevelType w:val="hybridMultilevel"/>
    <w:tmpl w:val="7C5C3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B268D1"/>
    <w:multiLevelType w:val="multilevel"/>
    <w:tmpl w:val="BD48E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A5337"/>
    <w:multiLevelType w:val="multilevel"/>
    <w:tmpl w:val="72780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678C1"/>
    <w:multiLevelType w:val="hybridMultilevel"/>
    <w:tmpl w:val="8AD69578"/>
    <w:lvl w:ilvl="0" w:tplc="AFDE849A">
      <w:start w:val="7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961EE8"/>
    <w:multiLevelType w:val="hybridMultilevel"/>
    <w:tmpl w:val="9628045A"/>
    <w:lvl w:ilvl="0" w:tplc="7A9AF8A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E3F6E6B"/>
    <w:multiLevelType w:val="multilevel"/>
    <w:tmpl w:val="8E028B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8223B"/>
    <w:multiLevelType w:val="hybridMultilevel"/>
    <w:tmpl w:val="1632D1A4"/>
    <w:lvl w:ilvl="0" w:tplc="39F6F8BE">
      <w:start w:val="2021"/>
      <w:numFmt w:val="bullet"/>
      <w:lvlText w:val="-"/>
      <w:lvlJc w:val="left"/>
      <w:pPr>
        <w:ind w:left="927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A906B38"/>
    <w:multiLevelType w:val="multilevel"/>
    <w:tmpl w:val="23EEB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27AF0"/>
    <w:multiLevelType w:val="multilevel"/>
    <w:tmpl w:val="5156D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70A91"/>
    <w:multiLevelType w:val="multilevel"/>
    <w:tmpl w:val="26B6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04A79"/>
    <w:multiLevelType w:val="multilevel"/>
    <w:tmpl w:val="871CDE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F"/>
    <w:rsid w:val="000000DE"/>
    <w:rsid w:val="000012CB"/>
    <w:rsid w:val="00005F23"/>
    <w:rsid w:val="0000605D"/>
    <w:rsid w:val="000119D6"/>
    <w:rsid w:val="000159DA"/>
    <w:rsid w:val="00026D09"/>
    <w:rsid w:val="00030125"/>
    <w:rsid w:val="000401A5"/>
    <w:rsid w:val="00061AAF"/>
    <w:rsid w:val="00063B00"/>
    <w:rsid w:val="00065A95"/>
    <w:rsid w:val="0007115E"/>
    <w:rsid w:val="00074C10"/>
    <w:rsid w:val="000818FC"/>
    <w:rsid w:val="000824C6"/>
    <w:rsid w:val="00084B9E"/>
    <w:rsid w:val="00086FD8"/>
    <w:rsid w:val="0009216C"/>
    <w:rsid w:val="000A316A"/>
    <w:rsid w:val="000A7561"/>
    <w:rsid w:val="000B0075"/>
    <w:rsid w:val="000B138A"/>
    <w:rsid w:val="000C070F"/>
    <w:rsid w:val="000C6AB3"/>
    <w:rsid w:val="000D292B"/>
    <w:rsid w:val="000D4573"/>
    <w:rsid w:val="000E1055"/>
    <w:rsid w:val="000F7F78"/>
    <w:rsid w:val="000F7F8A"/>
    <w:rsid w:val="00107915"/>
    <w:rsid w:val="00111DCD"/>
    <w:rsid w:val="00112BC2"/>
    <w:rsid w:val="001163C8"/>
    <w:rsid w:val="00117B1A"/>
    <w:rsid w:val="00121338"/>
    <w:rsid w:val="00121EE1"/>
    <w:rsid w:val="001367CF"/>
    <w:rsid w:val="00140199"/>
    <w:rsid w:val="0014657E"/>
    <w:rsid w:val="001541AE"/>
    <w:rsid w:val="00160058"/>
    <w:rsid w:val="00165A70"/>
    <w:rsid w:val="00171619"/>
    <w:rsid w:val="00177A9E"/>
    <w:rsid w:val="00193859"/>
    <w:rsid w:val="001A654F"/>
    <w:rsid w:val="001A79E5"/>
    <w:rsid w:val="001D1F57"/>
    <w:rsid w:val="001E1634"/>
    <w:rsid w:val="001E558E"/>
    <w:rsid w:val="001F4BEF"/>
    <w:rsid w:val="00202DCF"/>
    <w:rsid w:val="00207EAD"/>
    <w:rsid w:val="00214E21"/>
    <w:rsid w:val="0022471E"/>
    <w:rsid w:val="0023274B"/>
    <w:rsid w:val="0025155D"/>
    <w:rsid w:val="00253B34"/>
    <w:rsid w:val="00264D92"/>
    <w:rsid w:val="002659C6"/>
    <w:rsid w:val="00267048"/>
    <w:rsid w:val="00277B57"/>
    <w:rsid w:val="00281688"/>
    <w:rsid w:val="00290E8A"/>
    <w:rsid w:val="0029362C"/>
    <w:rsid w:val="002A1A6B"/>
    <w:rsid w:val="002A3BE8"/>
    <w:rsid w:val="002F453B"/>
    <w:rsid w:val="002F63DA"/>
    <w:rsid w:val="0031244A"/>
    <w:rsid w:val="00312C97"/>
    <w:rsid w:val="00314576"/>
    <w:rsid w:val="00320742"/>
    <w:rsid w:val="00323C38"/>
    <w:rsid w:val="00327221"/>
    <w:rsid w:val="003348E6"/>
    <w:rsid w:val="00336D89"/>
    <w:rsid w:val="003548DF"/>
    <w:rsid w:val="00355A6F"/>
    <w:rsid w:val="003566E8"/>
    <w:rsid w:val="00356B8B"/>
    <w:rsid w:val="00370664"/>
    <w:rsid w:val="0038212C"/>
    <w:rsid w:val="003855C3"/>
    <w:rsid w:val="00395895"/>
    <w:rsid w:val="003A3454"/>
    <w:rsid w:val="003C06B4"/>
    <w:rsid w:val="003C7425"/>
    <w:rsid w:val="003D6921"/>
    <w:rsid w:val="003E5E80"/>
    <w:rsid w:val="003F3B20"/>
    <w:rsid w:val="003F65D6"/>
    <w:rsid w:val="00452F56"/>
    <w:rsid w:val="004542C1"/>
    <w:rsid w:val="00472E13"/>
    <w:rsid w:val="00485827"/>
    <w:rsid w:val="004A3CD6"/>
    <w:rsid w:val="004C121C"/>
    <w:rsid w:val="004E26AD"/>
    <w:rsid w:val="004E2EEE"/>
    <w:rsid w:val="004E475A"/>
    <w:rsid w:val="004E6F7D"/>
    <w:rsid w:val="004F07EA"/>
    <w:rsid w:val="00510F48"/>
    <w:rsid w:val="00513097"/>
    <w:rsid w:val="0052280E"/>
    <w:rsid w:val="00536722"/>
    <w:rsid w:val="0055559B"/>
    <w:rsid w:val="005573CD"/>
    <w:rsid w:val="005657D3"/>
    <w:rsid w:val="005658F2"/>
    <w:rsid w:val="00572351"/>
    <w:rsid w:val="005A49AD"/>
    <w:rsid w:val="005B3880"/>
    <w:rsid w:val="005B765C"/>
    <w:rsid w:val="005C1861"/>
    <w:rsid w:val="005E3408"/>
    <w:rsid w:val="005E4587"/>
    <w:rsid w:val="005E46AD"/>
    <w:rsid w:val="005F286D"/>
    <w:rsid w:val="00615F00"/>
    <w:rsid w:val="00644C35"/>
    <w:rsid w:val="0065023D"/>
    <w:rsid w:val="006726D6"/>
    <w:rsid w:val="00680A9C"/>
    <w:rsid w:val="006810AB"/>
    <w:rsid w:val="00681D57"/>
    <w:rsid w:val="0068496A"/>
    <w:rsid w:val="00691D74"/>
    <w:rsid w:val="00693151"/>
    <w:rsid w:val="00693374"/>
    <w:rsid w:val="006B75CF"/>
    <w:rsid w:val="006C6FED"/>
    <w:rsid w:val="006E361E"/>
    <w:rsid w:val="00705C0B"/>
    <w:rsid w:val="007133F8"/>
    <w:rsid w:val="00717234"/>
    <w:rsid w:val="00731F78"/>
    <w:rsid w:val="00734BCE"/>
    <w:rsid w:val="0074330E"/>
    <w:rsid w:val="00753A8F"/>
    <w:rsid w:val="00754957"/>
    <w:rsid w:val="0076782A"/>
    <w:rsid w:val="00772B9F"/>
    <w:rsid w:val="007847A6"/>
    <w:rsid w:val="00785468"/>
    <w:rsid w:val="00792A6A"/>
    <w:rsid w:val="00797983"/>
    <w:rsid w:val="007A07E5"/>
    <w:rsid w:val="007A50D2"/>
    <w:rsid w:val="007A752C"/>
    <w:rsid w:val="007B5D0A"/>
    <w:rsid w:val="007C2148"/>
    <w:rsid w:val="007C499E"/>
    <w:rsid w:val="008066FD"/>
    <w:rsid w:val="00807A91"/>
    <w:rsid w:val="00813DE0"/>
    <w:rsid w:val="0081694E"/>
    <w:rsid w:val="00820A82"/>
    <w:rsid w:val="00841CA6"/>
    <w:rsid w:val="0084353C"/>
    <w:rsid w:val="00850F01"/>
    <w:rsid w:val="008637EA"/>
    <w:rsid w:val="00866632"/>
    <w:rsid w:val="00870C7F"/>
    <w:rsid w:val="008803F2"/>
    <w:rsid w:val="008842EB"/>
    <w:rsid w:val="00884A2C"/>
    <w:rsid w:val="00890E03"/>
    <w:rsid w:val="00893F6C"/>
    <w:rsid w:val="008A5817"/>
    <w:rsid w:val="008B1D56"/>
    <w:rsid w:val="008B3E67"/>
    <w:rsid w:val="008D0B1A"/>
    <w:rsid w:val="008D4C77"/>
    <w:rsid w:val="00901258"/>
    <w:rsid w:val="00907F76"/>
    <w:rsid w:val="00911F84"/>
    <w:rsid w:val="0092488B"/>
    <w:rsid w:val="00944593"/>
    <w:rsid w:val="009447AF"/>
    <w:rsid w:val="00950078"/>
    <w:rsid w:val="00957C43"/>
    <w:rsid w:val="009631F3"/>
    <w:rsid w:val="00966FB7"/>
    <w:rsid w:val="009825DB"/>
    <w:rsid w:val="009859F7"/>
    <w:rsid w:val="009947EA"/>
    <w:rsid w:val="009A4B06"/>
    <w:rsid w:val="009B6454"/>
    <w:rsid w:val="009C069C"/>
    <w:rsid w:val="009D1C14"/>
    <w:rsid w:val="009D78B5"/>
    <w:rsid w:val="009E0EC6"/>
    <w:rsid w:val="009E717A"/>
    <w:rsid w:val="00A30EE1"/>
    <w:rsid w:val="00A366C8"/>
    <w:rsid w:val="00A4276F"/>
    <w:rsid w:val="00A5775D"/>
    <w:rsid w:val="00A82734"/>
    <w:rsid w:val="00A85CB0"/>
    <w:rsid w:val="00A86329"/>
    <w:rsid w:val="00A876A2"/>
    <w:rsid w:val="00A87E3E"/>
    <w:rsid w:val="00A9207F"/>
    <w:rsid w:val="00A95AD1"/>
    <w:rsid w:val="00AB66ED"/>
    <w:rsid w:val="00AC3CB3"/>
    <w:rsid w:val="00AC52DA"/>
    <w:rsid w:val="00AD27F2"/>
    <w:rsid w:val="00AD5944"/>
    <w:rsid w:val="00AD7341"/>
    <w:rsid w:val="00AF0C36"/>
    <w:rsid w:val="00AF42BC"/>
    <w:rsid w:val="00AF6E46"/>
    <w:rsid w:val="00B06EF4"/>
    <w:rsid w:val="00B10B10"/>
    <w:rsid w:val="00B174A5"/>
    <w:rsid w:val="00B30C32"/>
    <w:rsid w:val="00B35EF1"/>
    <w:rsid w:val="00B57EAA"/>
    <w:rsid w:val="00B73A2B"/>
    <w:rsid w:val="00B9016E"/>
    <w:rsid w:val="00BA6FEC"/>
    <w:rsid w:val="00BB42B2"/>
    <w:rsid w:val="00BC38DB"/>
    <w:rsid w:val="00BC6662"/>
    <w:rsid w:val="00BD5944"/>
    <w:rsid w:val="00BD7E72"/>
    <w:rsid w:val="00BE49A2"/>
    <w:rsid w:val="00C04FC6"/>
    <w:rsid w:val="00C05A56"/>
    <w:rsid w:val="00C14ACE"/>
    <w:rsid w:val="00C20CF5"/>
    <w:rsid w:val="00C217A4"/>
    <w:rsid w:val="00C248BB"/>
    <w:rsid w:val="00C42E47"/>
    <w:rsid w:val="00C63524"/>
    <w:rsid w:val="00C6577F"/>
    <w:rsid w:val="00C71A66"/>
    <w:rsid w:val="00C8457C"/>
    <w:rsid w:val="00CC673F"/>
    <w:rsid w:val="00CD737A"/>
    <w:rsid w:val="00CE6722"/>
    <w:rsid w:val="00CE67E1"/>
    <w:rsid w:val="00D00912"/>
    <w:rsid w:val="00D05202"/>
    <w:rsid w:val="00D15D44"/>
    <w:rsid w:val="00D45116"/>
    <w:rsid w:val="00D63786"/>
    <w:rsid w:val="00D6389E"/>
    <w:rsid w:val="00D75722"/>
    <w:rsid w:val="00D75A16"/>
    <w:rsid w:val="00D814F6"/>
    <w:rsid w:val="00D84195"/>
    <w:rsid w:val="00D92424"/>
    <w:rsid w:val="00DB0D3E"/>
    <w:rsid w:val="00DB1F08"/>
    <w:rsid w:val="00DB35DD"/>
    <w:rsid w:val="00DC2196"/>
    <w:rsid w:val="00DC33F7"/>
    <w:rsid w:val="00DC52D7"/>
    <w:rsid w:val="00DF0C8B"/>
    <w:rsid w:val="00DF1957"/>
    <w:rsid w:val="00DF399D"/>
    <w:rsid w:val="00E02E8E"/>
    <w:rsid w:val="00E04FCF"/>
    <w:rsid w:val="00E246B4"/>
    <w:rsid w:val="00E362F2"/>
    <w:rsid w:val="00E53316"/>
    <w:rsid w:val="00E67C44"/>
    <w:rsid w:val="00E7286E"/>
    <w:rsid w:val="00E76511"/>
    <w:rsid w:val="00E905D0"/>
    <w:rsid w:val="00E9410F"/>
    <w:rsid w:val="00E9448F"/>
    <w:rsid w:val="00E97467"/>
    <w:rsid w:val="00EA0A47"/>
    <w:rsid w:val="00EB26D9"/>
    <w:rsid w:val="00EB7295"/>
    <w:rsid w:val="00EC000F"/>
    <w:rsid w:val="00EC6D7D"/>
    <w:rsid w:val="00ED3BA8"/>
    <w:rsid w:val="00EE205A"/>
    <w:rsid w:val="00EE4ECA"/>
    <w:rsid w:val="00EF6283"/>
    <w:rsid w:val="00F00DD8"/>
    <w:rsid w:val="00F15DFD"/>
    <w:rsid w:val="00F43DB0"/>
    <w:rsid w:val="00F444A7"/>
    <w:rsid w:val="00F44E00"/>
    <w:rsid w:val="00F52A15"/>
    <w:rsid w:val="00F5454F"/>
    <w:rsid w:val="00F67701"/>
    <w:rsid w:val="00F709FE"/>
    <w:rsid w:val="00F72238"/>
    <w:rsid w:val="00F86F1F"/>
    <w:rsid w:val="00F92B85"/>
    <w:rsid w:val="00FA6E49"/>
    <w:rsid w:val="00FB1095"/>
    <w:rsid w:val="00FB75E6"/>
    <w:rsid w:val="00FC0274"/>
    <w:rsid w:val="00FC21EB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E534"/>
  <w15:chartTrackingRefBased/>
  <w15:docId w15:val="{3309ED7A-4FE0-4547-95EB-46F1D107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2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6F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6FE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444A7"/>
    <w:pPr>
      <w:spacing w:after="0" w:line="240" w:lineRule="auto"/>
    </w:pPr>
  </w:style>
  <w:style w:type="table" w:styleId="TableGrid">
    <w:name w:val="Table Grid"/>
    <w:basedOn w:val="TableNormal"/>
    <w:uiPriority w:val="39"/>
    <w:rsid w:val="00E5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06E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D370-10C1-4DE8-A214-9980022C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Muradyan</dc:creator>
  <cp:keywords>https://mul2-minfin.gov.am/tasks/434929/oneclick/Himnavorum clear.docx?token=c97eeacd19622127f9cd26715d79d49c</cp:keywords>
  <dc:description/>
  <cp:lastModifiedBy>Loris Muradyan</cp:lastModifiedBy>
  <cp:revision>12</cp:revision>
  <dcterms:created xsi:type="dcterms:W3CDTF">2022-02-21T06:46:00Z</dcterms:created>
  <dcterms:modified xsi:type="dcterms:W3CDTF">2022-03-25T08:18:00Z</dcterms:modified>
</cp:coreProperties>
</file>