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35C6" w:rsidRPr="00D3377C" w:rsidRDefault="006235C6" w:rsidP="006235C6">
      <w:pPr>
        <w:spacing w:line="360" w:lineRule="auto"/>
        <w:jc w:val="center"/>
        <w:rPr>
          <w:rFonts w:ascii="GHEA Grapalat" w:hAnsi="GHEA Grapalat"/>
          <w:b/>
          <w:bCs/>
          <w:lang w:val="hy-AM"/>
        </w:rPr>
      </w:pPr>
      <w:r w:rsidRPr="00D3377C">
        <w:rPr>
          <w:rFonts w:ascii="GHEA Grapalat" w:hAnsi="GHEA Grapalat"/>
          <w:b/>
          <w:bCs/>
          <w:lang w:val="hy-AM"/>
        </w:rPr>
        <w:t>ՀԻՄՆԱՎՈՐՈՒՄ</w:t>
      </w:r>
    </w:p>
    <w:p w:rsidR="006235C6" w:rsidRPr="00D3377C" w:rsidRDefault="006235C6" w:rsidP="006235C6">
      <w:pPr>
        <w:spacing w:line="360" w:lineRule="auto"/>
        <w:jc w:val="center"/>
        <w:rPr>
          <w:rFonts w:ascii="GHEA Grapalat" w:hAnsi="GHEA Grapalat"/>
          <w:b/>
          <w:bCs/>
          <w:lang w:val="hy-AM"/>
        </w:rPr>
      </w:pPr>
      <w:r w:rsidRPr="00D3377C">
        <w:rPr>
          <w:rFonts w:ascii="GHEA Grapalat" w:hAnsi="GHEA Grapalat"/>
          <w:b/>
          <w:bCs/>
          <w:lang w:val="hy-AM"/>
        </w:rPr>
        <w:t>«ՀԱՅԱՍՏԱՆԻ ՀԱՆՐԱՊԵՏՈՒԹՅԱՆ ԴԱՏԱԿԱՆ ՕՐԵՆՍԳԻՐՔ» ՍԱՀՄԱՆԱԴՐԱԿԱՆ ՕՐԵՆՔՈՒՄ ՓՈՓՈԽՈՒԹՅՈՒՆՆԵՐ ԵՎ ԼՐԱՑՈՒՄ ԿԱՏԱՐԵԼՈՒ ՄԱՍԻՆ» ՕՐԵՆՔԻ ՆԱԽԱԳԾԻ ԸՆԴՈՒՆՄԱՆ</w:t>
      </w:r>
    </w:p>
    <w:p w:rsidR="006235C6" w:rsidRPr="006F5D3C" w:rsidRDefault="006235C6" w:rsidP="006235C6">
      <w:pPr>
        <w:spacing w:line="360" w:lineRule="auto"/>
        <w:jc w:val="both"/>
        <w:rPr>
          <w:rFonts w:ascii="GHEA Grapalat" w:eastAsia="Calibri" w:hAnsi="GHEA Grapalat"/>
          <w:bCs/>
          <w:lang w:val="hy-AM"/>
        </w:rPr>
      </w:pPr>
    </w:p>
    <w:p w:rsidR="006235C6" w:rsidRPr="006F5D3C" w:rsidRDefault="006235C6" w:rsidP="006235C6">
      <w:pPr>
        <w:spacing w:line="360" w:lineRule="auto"/>
        <w:ind w:right="270" w:firstLine="540"/>
        <w:jc w:val="both"/>
        <w:rPr>
          <w:rFonts w:ascii="GHEA Grapalat" w:eastAsia="Calibri" w:hAnsi="GHEA Grapalat"/>
          <w:b/>
          <w:bCs/>
          <w:lang w:val="hy-AM"/>
        </w:rPr>
      </w:pPr>
      <w:r w:rsidRPr="006F5D3C">
        <w:rPr>
          <w:rFonts w:ascii="GHEA Grapalat" w:eastAsia="Calibri" w:hAnsi="GHEA Grapalat"/>
          <w:b/>
          <w:bCs/>
          <w:lang w:val="hy-AM"/>
        </w:rPr>
        <w:t>Ընթացիկ իրավիճակը և իրավական ակտի ընդունման անհրաժեշտությունը</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cs="Tahoma"/>
          <w:sz w:val="24"/>
          <w:szCs w:val="24"/>
          <w:lang w:val="hy-AM"/>
        </w:rPr>
        <w:t xml:space="preserve">Հայաստանի Հանրապետության դատական և իրավական բարեփոխումների 2019-2023թթ. ռազմավարությամբ որպես ռազմավարական նպատակ սահմանված է դատական իշխանության անկախության և անաչառության ապահովումը: </w:t>
      </w:r>
      <w:bookmarkStart w:id="0" w:name="m_3153787839441692854_page14"/>
      <w:bookmarkEnd w:id="0"/>
      <w:r w:rsidRPr="00D3377C">
        <w:rPr>
          <w:rFonts w:ascii="GHEA Grapalat" w:hAnsi="GHEA Grapalat" w:cs="Tahoma"/>
          <w:sz w:val="24"/>
          <w:szCs w:val="24"/>
          <w:lang w:val="hy-AM"/>
        </w:rPr>
        <w:t>Դատական</w:t>
      </w:r>
      <w:r w:rsidRPr="00D3377C">
        <w:rPr>
          <w:rFonts w:ascii="GHEA Grapalat" w:hAnsi="GHEA Grapalat"/>
          <w:sz w:val="24"/>
          <w:szCs w:val="24"/>
          <w:lang w:val="hy-AM"/>
        </w:rPr>
        <w:t xml:space="preserve"> </w:t>
      </w:r>
      <w:r w:rsidRPr="00D3377C">
        <w:rPr>
          <w:rFonts w:ascii="GHEA Grapalat" w:hAnsi="GHEA Grapalat" w:cs="Tahoma"/>
          <w:sz w:val="24"/>
          <w:szCs w:val="24"/>
          <w:lang w:val="hy-AM"/>
        </w:rPr>
        <w:t>իշխանության</w:t>
      </w:r>
      <w:r w:rsidRPr="00D3377C">
        <w:rPr>
          <w:rFonts w:ascii="GHEA Grapalat" w:hAnsi="GHEA Grapalat"/>
          <w:sz w:val="24"/>
          <w:szCs w:val="24"/>
          <w:lang w:val="hy-AM"/>
        </w:rPr>
        <w:t xml:space="preserve"> </w:t>
      </w:r>
      <w:r w:rsidRPr="00D3377C">
        <w:rPr>
          <w:rFonts w:ascii="GHEA Grapalat" w:hAnsi="GHEA Grapalat" w:cs="Tahoma"/>
          <w:sz w:val="24"/>
          <w:szCs w:val="24"/>
          <w:lang w:val="hy-AM"/>
        </w:rPr>
        <w:t xml:space="preserve">անկախության ամրապնդման տեսանկյունից հիմնաքարային նշանակություն ունի դատավորների կարգապահական պատասխանատվության ենթարկելու կարգավորումների կատարելագործումը: </w:t>
      </w:r>
      <w:r w:rsidRPr="00D3377C">
        <w:rPr>
          <w:rFonts w:ascii="GHEA Grapalat" w:hAnsi="GHEA Grapalat"/>
          <w:sz w:val="24"/>
          <w:szCs w:val="24"/>
          <w:lang w:val="hy-AM"/>
        </w:rPr>
        <w:t xml:space="preserve">Դատավորներին կարգապահական պատասխանատվության ենթարկելու կանոնակարգումների հստակությունը և միջազգային չափանիշներին համապատասխանությունը նրանց անկախության ապահովման կարևոր գրավականներից է: Իզուր չէ, որ </w:t>
      </w:r>
      <w:r w:rsidRPr="00D3377C">
        <w:rPr>
          <w:rFonts w:ascii="GHEA Grapalat" w:hAnsi="GHEA Grapalat" w:cs="Sylfaen"/>
          <w:sz w:val="24"/>
          <w:szCs w:val="24"/>
          <w:lang w:val="hy-AM"/>
        </w:rPr>
        <w:t>անկախությունը</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անկողմնակալությունը</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բարեվարքությունն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ու</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պրոֆեսիոնալիզմը հանդիսանում են</w:t>
      </w:r>
      <w:r w:rsidRPr="00D3377C">
        <w:rPr>
          <w:rFonts w:ascii="GHEA Grapalat" w:hAnsi="GHEA Grapalat"/>
          <w:sz w:val="24"/>
          <w:szCs w:val="24"/>
          <w:lang w:val="hy-AM"/>
        </w:rPr>
        <w:t xml:space="preserve"> դ</w:t>
      </w:r>
      <w:r w:rsidRPr="00D3377C">
        <w:rPr>
          <w:rFonts w:ascii="GHEA Grapalat" w:hAnsi="GHEA Grapalat" w:cs="Sylfaen"/>
          <w:sz w:val="24"/>
          <w:szCs w:val="24"/>
          <w:lang w:val="hy-AM"/>
        </w:rPr>
        <w:t>ատական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համակարգի</w:t>
      </w:r>
      <w:r w:rsidRPr="00D3377C">
        <w:rPr>
          <w:rFonts w:ascii="GHEA Grapalat" w:hAnsi="GHEA Grapalat"/>
          <w:sz w:val="24"/>
          <w:szCs w:val="24"/>
          <w:lang w:val="hy-AM"/>
        </w:rPr>
        <w:t xml:space="preserve"> հիմնաքարային </w:t>
      </w:r>
      <w:r w:rsidRPr="00D3377C">
        <w:rPr>
          <w:rFonts w:ascii="GHEA Grapalat" w:hAnsi="GHEA Grapalat" w:cs="Sylfaen"/>
          <w:sz w:val="24"/>
          <w:szCs w:val="24"/>
          <w:lang w:val="hy-AM"/>
        </w:rPr>
        <w:t>արժեքներ</w:t>
      </w:r>
      <w:r w:rsidRPr="00D3377C">
        <w:rPr>
          <w:rFonts w:ascii="GHEA Grapalat" w:hAnsi="GHEA Grapalat"/>
          <w:sz w:val="24"/>
          <w:szCs w:val="24"/>
          <w:lang w:val="hy-AM"/>
        </w:rPr>
        <w:t>ը</w:t>
      </w:r>
      <w:r w:rsidRPr="00D3377C">
        <w:rPr>
          <w:rStyle w:val="FootnoteReference"/>
          <w:rFonts w:ascii="GHEA Grapalat" w:hAnsi="GHEA Grapalat"/>
          <w:lang w:val="hy-AM"/>
        </w:rPr>
        <w:footnoteReference w:id="1"/>
      </w:r>
      <w:r w:rsidRPr="00D3377C">
        <w:rPr>
          <w:rFonts w:ascii="GHEA Grapalat" w:hAnsi="GHEA Grapalat"/>
          <w:sz w:val="24"/>
          <w:szCs w:val="24"/>
          <w:lang w:val="hy-AM"/>
        </w:rPr>
        <w:t xml:space="preserve">: Ընդ որում, </w:t>
      </w:r>
      <w:r w:rsidRPr="00D3377C">
        <w:rPr>
          <w:rFonts w:ascii="GHEA Grapalat" w:hAnsi="GHEA Grapalat" w:cs="Sylfaen"/>
          <w:sz w:val="24"/>
          <w:szCs w:val="24"/>
          <w:lang w:val="hy-AM"/>
        </w:rPr>
        <w:t>անկախությունը</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դատավորի</w:t>
      </w:r>
      <w:r w:rsidRPr="00D3377C">
        <w:rPr>
          <w:rFonts w:ascii="GHEA Grapalat" w:hAnsi="GHEA Grapalat"/>
          <w:sz w:val="24"/>
          <w:szCs w:val="24"/>
          <w:lang w:val="hy-AM"/>
        </w:rPr>
        <w:t xml:space="preserve">ն </w:t>
      </w:r>
      <w:r w:rsidRPr="00D3377C">
        <w:rPr>
          <w:rFonts w:ascii="GHEA Grapalat" w:hAnsi="GHEA Grapalat" w:cs="Sylfaen"/>
          <w:sz w:val="24"/>
          <w:szCs w:val="24"/>
          <w:lang w:val="hy-AM"/>
        </w:rPr>
        <w:t>տրված</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արտոնություն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կամ առավելություն չէ, ընդհակառակը, այն հիմնարար սկզբունք է, ցանկացած ժողովրդավարական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պետության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էական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տարր</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իրավունքի</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գերակայության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նախապայման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եւ</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արդար</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դատաքննության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երաշխիք</w:t>
      </w:r>
      <w:r w:rsidRPr="00D3377C">
        <w:rPr>
          <w:rStyle w:val="FootnoteReference"/>
          <w:rFonts w:ascii="GHEA Grapalat" w:hAnsi="GHEA Grapalat"/>
        </w:rPr>
        <w:footnoteReference w:id="2"/>
      </w:r>
      <w:r w:rsidRPr="00D3377C">
        <w:rPr>
          <w:rFonts w:ascii="GHEA Grapalat" w:hAnsi="GHEA Grapalat"/>
          <w:sz w:val="24"/>
          <w:szCs w:val="24"/>
          <w:lang w:val="hy-AM"/>
        </w:rPr>
        <w:t xml:space="preserve">: Այն </w:t>
      </w:r>
      <w:r w:rsidRPr="00D3377C">
        <w:rPr>
          <w:rFonts w:ascii="GHEA Grapalat" w:hAnsi="GHEA Grapalat" w:cs="Sylfaen"/>
          <w:sz w:val="24"/>
          <w:szCs w:val="24"/>
          <w:lang w:val="hy-AM"/>
        </w:rPr>
        <w:t>օրենքի</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գերակայության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վրա</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հիմնված</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երաշխիք է</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որ</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բոլոր</w:t>
      </w:r>
      <w:r w:rsidRPr="00D3377C">
        <w:rPr>
          <w:rFonts w:ascii="GHEA Grapalat" w:hAnsi="GHEA Grapalat"/>
          <w:sz w:val="24"/>
          <w:szCs w:val="24"/>
          <w:lang w:val="hy-AM"/>
        </w:rPr>
        <w:t xml:space="preserve"> </w:t>
      </w:r>
      <w:r w:rsidRPr="00D3377C">
        <w:rPr>
          <w:rFonts w:ascii="GHEA Grapalat" w:hAnsi="GHEA Grapalat" w:cs="Sylfaen"/>
          <w:sz w:val="24"/>
          <w:szCs w:val="24"/>
          <w:lang w:val="hy-AM"/>
        </w:rPr>
        <w:lastRenderedPageBreak/>
        <w:t>անձինք</w:t>
      </w:r>
      <w:r w:rsidRPr="00D3377C">
        <w:rPr>
          <w:rFonts w:ascii="GHEA Grapalat" w:hAnsi="GHEA Grapalat"/>
          <w:sz w:val="24"/>
          <w:szCs w:val="24"/>
          <w:lang w:val="hy-AM"/>
        </w:rPr>
        <w:t xml:space="preserve"> և </w:t>
      </w:r>
      <w:r w:rsidRPr="00D3377C">
        <w:rPr>
          <w:rFonts w:ascii="GHEA Grapalat" w:hAnsi="GHEA Grapalat" w:cs="Sylfaen"/>
          <w:sz w:val="24"/>
          <w:szCs w:val="24"/>
          <w:lang w:val="hy-AM"/>
        </w:rPr>
        <w:t>իշխանության մյուս մարմինները</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արդար</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դատաքննության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հնարավորություն ունենան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անաչառ</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դատարանների</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առջեւ</w:t>
      </w:r>
      <w:r w:rsidRPr="00D3377C">
        <w:rPr>
          <w:rStyle w:val="FootnoteReference"/>
          <w:rFonts w:ascii="GHEA Grapalat" w:hAnsi="GHEA Grapalat" w:cs="Sylfaen"/>
        </w:rPr>
        <w:footnoteReference w:id="3"/>
      </w:r>
      <w:r w:rsidRPr="00D3377C">
        <w:rPr>
          <w:rFonts w:ascii="GHEA Grapalat" w:hAnsi="GHEA Grapalat"/>
          <w:sz w:val="24"/>
          <w:szCs w:val="24"/>
          <w:lang w:val="hy-AM"/>
        </w:rPr>
        <w:t>:</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Վերոնշյալի համատեքստում դատավորի կարգապահական պատասխանատվության ինստիտուտը, նաև որպես դատական համակարգի «առողջացման» կառուցակարգ,</w:t>
      </w:r>
      <w:r w:rsidRPr="00D3377C">
        <w:rPr>
          <w:rFonts w:ascii="GHEA Grapalat" w:hAnsi="GHEA Grapalat" w:cs="Tahoma"/>
          <w:sz w:val="24"/>
          <w:szCs w:val="24"/>
          <w:lang w:val="hy-AM"/>
        </w:rPr>
        <w:t xml:space="preserve"> անկախ</w:t>
      </w:r>
      <w:r w:rsidRPr="00D3377C">
        <w:rPr>
          <w:rFonts w:ascii="GHEA Grapalat" w:hAnsi="GHEA Grapalat"/>
          <w:sz w:val="24"/>
          <w:szCs w:val="24"/>
          <w:lang w:val="hy-AM"/>
        </w:rPr>
        <w:t xml:space="preserve">, </w:t>
      </w:r>
      <w:r w:rsidRPr="00D3377C">
        <w:rPr>
          <w:rFonts w:ascii="GHEA Grapalat" w:hAnsi="GHEA Grapalat" w:cs="Tahoma"/>
          <w:sz w:val="24"/>
          <w:szCs w:val="24"/>
          <w:lang w:val="hy-AM"/>
        </w:rPr>
        <w:t>անաչառ</w:t>
      </w:r>
      <w:r w:rsidRPr="00D3377C">
        <w:rPr>
          <w:rFonts w:ascii="GHEA Grapalat" w:hAnsi="GHEA Grapalat"/>
          <w:sz w:val="24"/>
          <w:szCs w:val="24"/>
          <w:lang w:val="hy-AM"/>
        </w:rPr>
        <w:t xml:space="preserve"> </w:t>
      </w:r>
      <w:r w:rsidRPr="00D3377C">
        <w:rPr>
          <w:rFonts w:ascii="GHEA Grapalat" w:hAnsi="GHEA Grapalat" w:cs="Tahoma"/>
          <w:sz w:val="24"/>
          <w:szCs w:val="24"/>
          <w:lang w:val="hy-AM"/>
        </w:rPr>
        <w:t>և</w:t>
      </w:r>
      <w:r w:rsidRPr="00D3377C">
        <w:rPr>
          <w:rFonts w:ascii="GHEA Grapalat" w:hAnsi="GHEA Grapalat"/>
          <w:sz w:val="24"/>
          <w:szCs w:val="24"/>
          <w:lang w:val="hy-AM"/>
        </w:rPr>
        <w:t xml:space="preserve"> </w:t>
      </w:r>
      <w:r w:rsidRPr="00D3377C">
        <w:rPr>
          <w:rFonts w:ascii="GHEA Grapalat" w:hAnsi="GHEA Grapalat" w:cs="Tahoma"/>
          <w:sz w:val="24"/>
          <w:szCs w:val="24"/>
          <w:lang w:val="hy-AM"/>
        </w:rPr>
        <w:t>հանրության առջև</w:t>
      </w:r>
      <w:r w:rsidRPr="00D3377C">
        <w:rPr>
          <w:rFonts w:ascii="GHEA Grapalat" w:hAnsi="GHEA Grapalat"/>
          <w:sz w:val="24"/>
          <w:szCs w:val="24"/>
          <w:lang w:val="hy-AM"/>
        </w:rPr>
        <w:t xml:space="preserve"> </w:t>
      </w:r>
      <w:r w:rsidRPr="00D3377C">
        <w:rPr>
          <w:rFonts w:ascii="GHEA Grapalat" w:hAnsi="GHEA Grapalat" w:cs="Tahoma"/>
          <w:sz w:val="24"/>
          <w:szCs w:val="24"/>
          <w:lang w:val="hy-AM"/>
        </w:rPr>
        <w:t>հաշվետու</w:t>
      </w:r>
      <w:r w:rsidRPr="00D3377C">
        <w:rPr>
          <w:rFonts w:ascii="GHEA Grapalat" w:hAnsi="GHEA Grapalat"/>
          <w:sz w:val="24"/>
          <w:szCs w:val="24"/>
          <w:lang w:val="hy-AM"/>
        </w:rPr>
        <w:t xml:space="preserve"> </w:t>
      </w:r>
      <w:r w:rsidRPr="00D3377C">
        <w:rPr>
          <w:rFonts w:ascii="GHEA Grapalat" w:hAnsi="GHEA Grapalat" w:cs="Tahoma"/>
          <w:sz w:val="24"/>
          <w:szCs w:val="24"/>
          <w:lang w:val="hy-AM"/>
        </w:rPr>
        <w:t>դատական</w:t>
      </w:r>
      <w:r w:rsidRPr="00D3377C">
        <w:rPr>
          <w:rFonts w:ascii="GHEA Grapalat" w:hAnsi="GHEA Grapalat"/>
          <w:sz w:val="24"/>
          <w:szCs w:val="24"/>
          <w:lang w:val="hy-AM"/>
        </w:rPr>
        <w:t xml:space="preserve"> </w:t>
      </w:r>
      <w:r w:rsidRPr="00D3377C">
        <w:rPr>
          <w:rFonts w:ascii="GHEA Grapalat" w:hAnsi="GHEA Grapalat" w:cs="Tahoma"/>
          <w:sz w:val="24"/>
          <w:szCs w:val="24"/>
          <w:lang w:val="hy-AM"/>
        </w:rPr>
        <w:t>համակարգ</w:t>
      </w:r>
      <w:r w:rsidRPr="00D3377C">
        <w:rPr>
          <w:rFonts w:ascii="GHEA Grapalat" w:hAnsi="GHEA Grapalat"/>
          <w:sz w:val="24"/>
          <w:szCs w:val="24"/>
          <w:lang w:val="hy-AM"/>
        </w:rPr>
        <w:t xml:space="preserve"> ունենալու և </w:t>
      </w:r>
      <w:r w:rsidRPr="00D3377C">
        <w:rPr>
          <w:rFonts w:ascii="GHEA Grapalat" w:hAnsi="GHEA Grapalat" w:cs="Tahoma"/>
          <w:sz w:val="24"/>
          <w:szCs w:val="24"/>
          <w:lang w:val="hy-AM"/>
        </w:rPr>
        <w:t>դատական համակարգի նկատմամբ հանրության</w:t>
      </w:r>
      <w:r w:rsidRPr="00D3377C">
        <w:rPr>
          <w:rFonts w:ascii="GHEA Grapalat" w:hAnsi="GHEA Grapalat"/>
          <w:sz w:val="24"/>
          <w:szCs w:val="24"/>
          <w:lang w:val="hy-AM"/>
        </w:rPr>
        <w:t xml:space="preserve"> </w:t>
      </w:r>
      <w:r w:rsidRPr="00D3377C">
        <w:rPr>
          <w:rFonts w:ascii="GHEA Grapalat" w:hAnsi="GHEA Grapalat" w:cs="Tahoma"/>
          <w:sz w:val="24"/>
          <w:szCs w:val="24"/>
          <w:lang w:val="hy-AM"/>
        </w:rPr>
        <w:t>վստահությունը բարձրացնելու անհրաժեշտ գործիքներից է: Իր հերթին, դատական</w:t>
      </w:r>
      <w:r w:rsidRPr="00D3377C">
        <w:rPr>
          <w:rFonts w:ascii="GHEA Grapalat" w:hAnsi="GHEA Grapalat"/>
          <w:sz w:val="24"/>
          <w:szCs w:val="24"/>
          <w:lang w:val="hy-AM"/>
        </w:rPr>
        <w:t xml:space="preserve"> </w:t>
      </w:r>
      <w:r w:rsidRPr="00D3377C">
        <w:rPr>
          <w:rFonts w:ascii="GHEA Grapalat" w:hAnsi="GHEA Grapalat" w:cs="Tahoma"/>
          <w:sz w:val="24"/>
          <w:szCs w:val="24"/>
          <w:lang w:val="hy-AM"/>
        </w:rPr>
        <w:t>իշխանության</w:t>
      </w:r>
      <w:r w:rsidRPr="00D3377C">
        <w:rPr>
          <w:rFonts w:ascii="GHEA Grapalat" w:hAnsi="GHEA Grapalat"/>
          <w:sz w:val="24"/>
          <w:szCs w:val="24"/>
          <w:lang w:val="hy-AM"/>
        </w:rPr>
        <w:t xml:space="preserve"> </w:t>
      </w:r>
      <w:r w:rsidRPr="00D3377C">
        <w:rPr>
          <w:rFonts w:ascii="GHEA Grapalat" w:hAnsi="GHEA Grapalat" w:cs="Tahoma"/>
          <w:sz w:val="24"/>
          <w:szCs w:val="24"/>
          <w:lang w:val="hy-AM"/>
        </w:rPr>
        <w:t>հանրային</w:t>
      </w:r>
      <w:r w:rsidRPr="00D3377C">
        <w:rPr>
          <w:rFonts w:ascii="GHEA Grapalat" w:hAnsi="GHEA Grapalat"/>
          <w:sz w:val="24"/>
          <w:szCs w:val="24"/>
          <w:lang w:val="hy-AM"/>
        </w:rPr>
        <w:t xml:space="preserve"> դրական </w:t>
      </w:r>
      <w:r w:rsidRPr="00D3377C">
        <w:rPr>
          <w:rFonts w:ascii="GHEA Grapalat" w:hAnsi="GHEA Grapalat" w:cs="Tahoma"/>
          <w:sz w:val="24"/>
          <w:szCs w:val="24"/>
          <w:lang w:val="hy-AM"/>
        </w:rPr>
        <w:t>ընկալումները</w:t>
      </w:r>
      <w:r w:rsidRPr="00D3377C">
        <w:rPr>
          <w:rFonts w:ascii="GHEA Grapalat" w:hAnsi="GHEA Grapalat"/>
          <w:sz w:val="24"/>
          <w:szCs w:val="24"/>
          <w:lang w:val="hy-AM"/>
        </w:rPr>
        <w:t xml:space="preserve"> և վստահության բարձր աստիճանը ամուր և անկախ դատական համակարգ ունենալու կարևոր նախապայման են: Հետևաբար, ինչպես նշում է Վենետիկի հանձնաժողովը, </w:t>
      </w:r>
      <w:r w:rsidRPr="00D3377C">
        <w:rPr>
          <w:rFonts w:ascii="GHEA Grapalat" w:hAnsi="GHEA Grapalat" w:cs="Sylfaen"/>
          <w:sz w:val="24"/>
          <w:szCs w:val="24"/>
          <w:lang w:val="hy-AM"/>
        </w:rPr>
        <w:t>եթե</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դատավորի</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սխալ</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վարքագիծը</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ունակ</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է</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թուլացնելու</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դատական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համակարգի</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նկատմամբ</w:t>
      </w:r>
      <w:r w:rsidRPr="00D3377C">
        <w:rPr>
          <w:rFonts w:ascii="GHEA Grapalat" w:hAnsi="GHEA Grapalat"/>
          <w:sz w:val="24"/>
          <w:szCs w:val="24"/>
          <w:lang w:val="hy-AM"/>
        </w:rPr>
        <w:t xml:space="preserve"> հանրության </w:t>
      </w:r>
      <w:r w:rsidRPr="00D3377C">
        <w:rPr>
          <w:rFonts w:ascii="GHEA Grapalat" w:hAnsi="GHEA Grapalat" w:cs="Sylfaen"/>
          <w:sz w:val="24"/>
          <w:szCs w:val="24"/>
          <w:lang w:val="hy-AM"/>
        </w:rPr>
        <w:t>վստահությունը</w:t>
      </w:r>
      <w:r w:rsidRPr="00D3377C">
        <w:rPr>
          <w:rFonts w:ascii="GHEA Grapalat" w:hAnsi="GHEA Grapalat"/>
          <w:sz w:val="24"/>
          <w:szCs w:val="24"/>
          <w:lang w:val="hy-AM"/>
        </w:rPr>
        <w:t xml:space="preserve">, ապա </w:t>
      </w:r>
      <w:r w:rsidRPr="00D3377C">
        <w:rPr>
          <w:rFonts w:ascii="GHEA Grapalat" w:hAnsi="GHEA Grapalat" w:cs="Sylfaen"/>
          <w:sz w:val="24"/>
          <w:szCs w:val="24"/>
          <w:lang w:val="hy-AM"/>
        </w:rPr>
        <w:t>հանրության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շահերից</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է</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բխում</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այդ</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դատավորի</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նկատմամբ</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կարգապահական</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վարույթ</w:t>
      </w:r>
      <w:r w:rsidRPr="00D3377C">
        <w:rPr>
          <w:rFonts w:ascii="GHEA Grapalat" w:hAnsi="GHEA Grapalat"/>
          <w:sz w:val="24"/>
          <w:szCs w:val="24"/>
          <w:lang w:val="hy-AM"/>
        </w:rPr>
        <w:t xml:space="preserve"> </w:t>
      </w:r>
      <w:r w:rsidRPr="00D3377C">
        <w:rPr>
          <w:rFonts w:ascii="GHEA Grapalat" w:hAnsi="GHEA Grapalat" w:cs="Sylfaen"/>
          <w:sz w:val="24"/>
          <w:szCs w:val="24"/>
          <w:lang w:val="hy-AM"/>
        </w:rPr>
        <w:t>հարուցելը</w:t>
      </w:r>
      <w:r w:rsidRPr="00D3377C">
        <w:rPr>
          <w:rStyle w:val="FootnoteReference"/>
          <w:rFonts w:ascii="GHEA Grapalat" w:hAnsi="GHEA Grapalat"/>
        </w:rPr>
        <w:footnoteReference w:id="4"/>
      </w:r>
      <w:r w:rsidRPr="00D3377C">
        <w:rPr>
          <w:rFonts w:ascii="GHEA Grapalat" w:hAnsi="GHEA Grapalat"/>
          <w:sz w:val="24"/>
          <w:szCs w:val="24"/>
          <w:lang w:val="hy-AM"/>
        </w:rPr>
        <w:t>:</w:t>
      </w:r>
      <w:r w:rsidRPr="00D3377C">
        <w:rPr>
          <w:rFonts w:ascii="GHEA Grapalat" w:hAnsi="GHEA Grapalat" w:cs="Tahoma"/>
          <w:sz w:val="24"/>
          <w:szCs w:val="24"/>
          <w:lang w:val="hy-AM"/>
        </w:rPr>
        <w:t xml:space="preserve"> Ի հավելումն, դատական իշխանության նկատմամբ հարգանքը այդ համակարգ ոլորտի առաջատար մասնագետների մուտքը խթանելու գրավական է: </w:t>
      </w:r>
      <w:r w:rsidRPr="00D3377C">
        <w:rPr>
          <w:rFonts w:ascii="GHEA Grapalat" w:hAnsi="GHEA Grapalat"/>
          <w:sz w:val="24"/>
          <w:szCs w:val="24"/>
          <w:lang w:val="hy-AM"/>
        </w:rPr>
        <w:t>Այս համատեքստում Կառավարությունն իր 2021-2026թթ. ծրագրով ամրագրել է շարունակաբար դատական համակարգ նոր արհեստավարժ կադրերի ներգրավման նպատակը՝ միաժամանակ ներդնելով դատավորի պաշտոնի գրավչության բարձրացմանը և դատական համակարգ ոլորտի առաջատար ու հեղինակավոր մասնագետների մուտքը խթանելուն ուղղված գործիքակազմեր։</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lastRenderedPageBreak/>
        <w:t>Ինչպես նշել է Եվրոպական դատավորների խորհրդատվական խորհուրդը (ԵԴԽԽ), քանի որ հանրությունը դատավորներին օժտում է լայն լիազորություններով և վստահությամբ, պետք է առկա լինեն դատավորի լիազորությունները դադարեցնելու միջոցներ, երբ դատավորի սխալ վարքագիծը այնքան ակնառու և կոպիտ է, որ արդարացնում է նման քայլը: Սա հատկապես վերաբերում է դատական կոռուպցիայի դեպքերին, որոնք հիմնովին խաթարում են հանրային վստահությունը դատական անաչառության և անկախության նկատմամբ</w:t>
      </w:r>
      <w:r w:rsidRPr="00D3377C">
        <w:rPr>
          <w:rStyle w:val="FootnoteReference"/>
          <w:rFonts w:ascii="GHEA Grapalat" w:hAnsi="GHEA Grapalat"/>
        </w:rPr>
        <w:footnoteReference w:id="5"/>
      </w:r>
      <w:r w:rsidRPr="00D3377C">
        <w:rPr>
          <w:rFonts w:ascii="GHEA Grapalat" w:hAnsi="GHEA Grapalat"/>
          <w:sz w:val="24"/>
          <w:szCs w:val="24"/>
          <w:lang w:val="hy-AM"/>
        </w:rPr>
        <w:t>: ԵԴԽԽ-ի կարծիքով` դատական համակարգի լեգիտիմությունը և նրա անկախությունը լավագույնս պաշտպանված են, եթե համակարգը գերազանց է գործում: Այս ամենին հասնելու և հանրության հարգանքին արժանանալու համար անկախ և հաշվետու դատական համակարգը պետք է բաց լինի արդարացի քննադատության համար, սովորի իր սխալներից և դրանով իսկ անընդհատ բարելավի իր աշխատանքը: Այդպիսով անկախությունն ու պատասխանատվությունը չեն հակասում, այլ ընդհակառակը՝ փոխլրացնում են միմյանց։ Իհարկե, դատավորները չպետք է ենթարկվեն քննադատության կամ կարգապահական պատասխանատվության զուտ այն պատճառով, որ կիրառել են օրենքը, որն ընդունվել է նախկին իշխանությունների կողմից, բացառությամբ, եթե նրանք դիտավորյալ, ոչ բարեխղճորեն սխալ են կիրառել այդ օրենքը</w:t>
      </w:r>
      <w:r w:rsidRPr="00D3377C">
        <w:rPr>
          <w:rStyle w:val="FootnoteReference"/>
          <w:rFonts w:ascii="GHEA Grapalat" w:hAnsi="GHEA Grapalat"/>
        </w:rPr>
        <w:footnoteReference w:id="6"/>
      </w:r>
      <w:r w:rsidRPr="00D3377C">
        <w:rPr>
          <w:rFonts w:ascii="GHEA Grapalat" w:hAnsi="GHEA Grapalat"/>
          <w:sz w:val="24"/>
          <w:szCs w:val="24"/>
          <w:lang w:val="hy-AM"/>
        </w:rPr>
        <w:t>:</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Այսպիսով, դատավորների կարգապահական պատասխանատվության կառուցակարգերի կատարելագործումը անհրաժեշտ պայման է </w:t>
      </w:r>
      <w:r w:rsidRPr="00D3377C">
        <w:rPr>
          <w:rFonts w:ascii="GHEA Grapalat" w:hAnsi="GHEA Grapalat" w:cs="Tahoma"/>
          <w:sz w:val="24"/>
          <w:szCs w:val="24"/>
          <w:lang w:val="hy-AM"/>
        </w:rPr>
        <w:t>դատական իշխանության անկախության և անաչառության շարունակական ապահովման տեսանկյունից:</w:t>
      </w:r>
      <w:r w:rsidRPr="00D3377C">
        <w:rPr>
          <w:rFonts w:ascii="GHEA Grapalat" w:hAnsi="GHEA Grapalat"/>
          <w:sz w:val="24"/>
          <w:szCs w:val="24"/>
          <w:lang w:val="hy-AM"/>
        </w:rPr>
        <w:t xml:space="preserve"> </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Դատական օրենսգիրքը, հատկապես 2020թ. մարտի 25-ի փոփոխություններով, էականորեն բարելավել է կարգապահական </w:t>
      </w:r>
      <w:r w:rsidRPr="00D3377C">
        <w:rPr>
          <w:rFonts w:ascii="GHEA Grapalat" w:hAnsi="GHEA Grapalat"/>
          <w:sz w:val="24"/>
          <w:szCs w:val="24"/>
          <w:lang w:val="hy-AM"/>
        </w:rPr>
        <w:lastRenderedPageBreak/>
        <w:t xml:space="preserve">պատասխանատվության կարգավորումները, սակայն առկա է կարգապահական պատասխանատվության ինստիտուտի կատարելագործման անհրաժեշտություն հատկապես մարդու իրավունքների հիմնարար խախտումների դեպքում դատավորին կարգապահական պատասխանատվության ենթարկելու համատեքստում: </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Այսպես, Դատական օրենսգրքի 2020թ. մարտի 25-ի փոփոխություններով որպես դատավորի նկատմամբ կարգապահական վարույթ հարուցելու առիթ նախատեսվեց նաև վարույթ հարուցող մարմնի կողմից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դատարանի կամ այլ միջազգային ատյանի կայացրած ակտի ուսումնասիրության արդյունքում առերևույթ կարգապահական խախտման հատկանիշներ պարունակող արարքի հայտնաբերումը: Խոսքը, առաջին հերթին, վերաբերում է Մարդու իրավունքների եվրոպական դատարանի (ՄԻԵԴ)  վճիռներում արձանագրված խախտումներին:Հարկ է նշել, որ 2008-2018 թվականների ժամանակահատվածում ՄԻԵԴ-ում մի շարք գործեր են հարուցվել, որոնցից մի քանիսը դեռ քննվում են, որոնցով արձանագրվել են Մարդու իրավունքների եվրոպական կոնվենցիայի (ՄԻԵԿ) խախտումներ: Դրանք հատկապես առնչվում են ՄԻԵԿ թիվ 1 արձանագրության 1-ին հոդվածին (սեփականության պաշտպանություն), ինչպես նաև ՄԻԵԿ 2-րդ (կյանքի իրավունք), 3-րդ (խոշտանգման արգելք), 5.1-ին (ազատության եւ անձնական անձեռնմխելիության իրավունք), 6-րդ (արդար դատաքննության իրավունք) եւ 11-րդ (հավաքների եւ միավորման ազատություն) հոդվածների խախտումներին: Այս դեպքերը կապված են, ի թիվս այլնի, Երեւանի </w:t>
      </w:r>
      <w:r w:rsidRPr="00D3377C">
        <w:rPr>
          <w:rFonts w:ascii="GHEA Grapalat" w:hAnsi="GHEA Grapalat"/>
          <w:sz w:val="24"/>
          <w:szCs w:val="24"/>
          <w:lang w:val="hy-AM"/>
        </w:rPr>
        <w:lastRenderedPageBreak/>
        <w:t>կենտրոնում սեփականազրկման դեպքերի</w:t>
      </w:r>
      <w:r w:rsidRPr="00D3377C">
        <w:rPr>
          <w:rStyle w:val="FootnoteReference"/>
          <w:rFonts w:ascii="GHEA Grapalat" w:hAnsi="GHEA Grapalat"/>
          <w:lang w:val="hy-AM"/>
        </w:rPr>
        <w:footnoteReference w:id="7"/>
      </w:r>
      <w:r w:rsidRPr="00D3377C">
        <w:rPr>
          <w:rFonts w:ascii="GHEA Grapalat" w:hAnsi="GHEA Grapalat"/>
          <w:sz w:val="24"/>
          <w:szCs w:val="24"/>
          <w:lang w:val="hy-AM"/>
        </w:rPr>
        <w:t xml:space="preserve"> եւ 2008թ. համազգային ցույցերի ժամանակ կատարված բռնի գործողություննների արդյունքում տեղի ունեցած մահերով, որոնք, ինչպես հետագայում պարզվել էր, խաղաղ ցուցարարներին ապօրինի ազատությունից զրկելու արդյունք էին</w:t>
      </w:r>
      <w:r w:rsidRPr="00D3377C">
        <w:rPr>
          <w:rStyle w:val="FootnoteReference"/>
          <w:rFonts w:ascii="GHEA Grapalat" w:hAnsi="GHEA Grapalat"/>
          <w:lang w:val="hy-AM"/>
        </w:rPr>
        <w:footnoteReference w:id="8"/>
      </w:r>
      <w:r w:rsidRPr="00D3377C">
        <w:rPr>
          <w:rFonts w:ascii="GHEA Grapalat" w:hAnsi="GHEA Grapalat"/>
          <w:sz w:val="24"/>
          <w:szCs w:val="24"/>
          <w:lang w:val="hy-AM"/>
        </w:rPr>
        <w:t>:</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ՄԻԵԴ վճիռների այս շարքը, ըստ էության, ՀՀ դատարանների կողմից կայացված ակտերի արդյունք էր, ինչը մեծապես նպաստել էր հանրության անվստահությանը դատական իշխանության նկատմամբ</w:t>
      </w:r>
      <w:r w:rsidRPr="00D3377C">
        <w:rPr>
          <w:rStyle w:val="FootnoteReference"/>
          <w:rFonts w:ascii="GHEA Grapalat" w:hAnsi="GHEA Grapalat"/>
          <w:lang w:val="hy-AM"/>
        </w:rPr>
        <w:footnoteReference w:id="9"/>
      </w:r>
      <w:r w:rsidRPr="00D3377C">
        <w:rPr>
          <w:rFonts w:ascii="GHEA Grapalat" w:hAnsi="GHEA Grapalat"/>
          <w:sz w:val="24"/>
          <w:szCs w:val="24"/>
          <w:lang w:val="hy-AM"/>
        </w:rPr>
        <w:t xml:space="preserve">: </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Սակայն հարկ է նկատի ունենալ, որ ներպետական ատյաններում վեճի սպառումից և ներպատական դատական ակտի կայացումից մինչև ՄԻԵԴ վերջնական ակտի կայացումը, որպես կանոն, անցնում է բավական երկար ժամանակ: Այդ իսկ պատճառով Դատական օրենսգրքի 2020թ. մարտի 25-ի փոփոխություններով նյութական կամ դատավարական իրավունքի խախտում հայտնաբերելու հիմքով կարգապահական վարույթ հարուցելու բացարձակ` ութ տարվա ժամկետը, որը հաշվարկվում է եզրափակիչ դատական ակտի ուժի մտնելուց հետո, որպես բացառություն չկիրառվեց ՄԻԵԴ վճռի ուսումնասիրության արդյունքում վերհանվող խախտման հիմքով կարգապահական վարույթ </w:t>
      </w:r>
      <w:r w:rsidRPr="00D3377C">
        <w:rPr>
          <w:rFonts w:ascii="GHEA Grapalat" w:hAnsi="GHEA Grapalat"/>
          <w:sz w:val="24"/>
          <w:szCs w:val="24"/>
          <w:lang w:val="hy-AM"/>
        </w:rPr>
        <w:lastRenderedPageBreak/>
        <w:t xml:space="preserve">հարուցելու դեպքերի նկատմամբ: </w:t>
      </w:r>
      <w:r w:rsidRPr="00F87B38">
        <w:rPr>
          <w:rFonts w:ascii="GHEA Grapalat" w:hAnsi="GHEA Grapalat"/>
          <w:sz w:val="24"/>
          <w:szCs w:val="24"/>
          <w:lang w:val="hy-AM"/>
        </w:rPr>
        <w:t>Փաստորեն, ա</w:t>
      </w:r>
      <w:r w:rsidRPr="00D3377C">
        <w:rPr>
          <w:rFonts w:ascii="GHEA Grapalat" w:hAnsi="GHEA Grapalat"/>
          <w:sz w:val="24"/>
          <w:szCs w:val="24"/>
          <w:lang w:val="hy-AM"/>
        </w:rPr>
        <w:t xml:space="preserve">յս դեպքում Դատական օրենսգիրքը </w:t>
      </w:r>
      <w:r w:rsidRPr="00D3377C">
        <w:rPr>
          <w:rFonts w:ascii="GHEA Grapalat" w:eastAsia="Times New Roman" w:hAnsi="GHEA Grapalat" w:cs="Times New Roman"/>
          <w:sz w:val="24"/>
          <w:szCs w:val="24"/>
          <w:lang w:val="hy-AM"/>
        </w:rPr>
        <w:t xml:space="preserve">չի սահմանել արդարադատություն կամ որպես դատարան՝ օրենքով նախատեսված այլ լիազորություններ իրականացնելիս նյութական կամ դատավարական իրավունքի նորմի դիտավորությամբ կամ կոպիտ անփութությամբ խախտման հիմքով վարույթ հարուցող մարմնի կողմից մարդու իրավունքների պաշտպանության ոլորտում Հայաստանի Հանրապետության ստանձնած միջազգային պարտավորությունների խախտում </w:t>
      </w:r>
      <w:r w:rsidRPr="00D3377C">
        <w:rPr>
          <w:rFonts w:ascii="GHEA Grapalat" w:hAnsi="GHEA Grapalat"/>
          <w:sz w:val="24"/>
          <w:szCs w:val="24"/>
          <w:lang w:val="hy-AM"/>
        </w:rPr>
        <w:t>արձանագրող՝ Հայաստանի Հանրապետության մասնակցությամբ միջազգային դատարանի կամ այլ միջազգային ատյանի կայացրած ակտի ուսումնասիրության արդյունքում առերևույթ կարգապահական խախտման հատկանիշներ պարունակող արարքի հայտնաբերման առիթով կարգապահական վարույթ հարուցելու իրավական հնարավ</w:t>
      </w:r>
      <w:r w:rsidRPr="00F87B38">
        <w:rPr>
          <w:rFonts w:ascii="GHEA Grapalat" w:hAnsi="GHEA Grapalat"/>
          <w:sz w:val="24"/>
          <w:szCs w:val="24"/>
          <w:lang w:val="hy-AM"/>
        </w:rPr>
        <w:t>որ</w:t>
      </w:r>
      <w:r w:rsidRPr="00D3377C">
        <w:rPr>
          <w:rFonts w:ascii="GHEA Grapalat" w:hAnsi="GHEA Grapalat"/>
          <w:sz w:val="24"/>
          <w:szCs w:val="24"/>
          <w:lang w:val="hy-AM"/>
        </w:rPr>
        <w:t>ության առավելագույն ժամկետը: Արդյունքում</w:t>
      </w:r>
      <w:r w:rsidRPr="00F87B38">
        <w:rPr>
          <w:rFonts w:ascii="GHEA Grapalat" w:hAnsi="GHEA Grapalat"/>
          <w:sz w:val="24"/>
          <w:szCs w:val="24"/>
          <w:lang w:val="hy-AM"/>
        </w:rPr>
        <w:t>, սակայն,</w:t>
      </w:r>
      <w:r w:rsidRPr="00D3377C">
        <w:rPr>
          <w:rFonts w:ascii="GHEA Grapalat" w:hAnsi="GHEA Grapalat"/>
          <w:sz w:val="24"/>
          <w:szCs w:val="24"/>
          <w:lang w:val="hy-AM"/>
        </w:rPr>
        <w:t xml:space="preserve"> կարող է ստեղծվել իրավիճակ, երբ դատարանը կարող է կարգապահական պատասխանատվության ենթարկվել, այդ թվում՝ վերջինիս լիազորությունները կարող են դադարեցվել, միջազգային դատարանի նույնիսկ 20 կամ 30 և ավելի տարի առաջ ուժի մեջ մտած ակտով հաստատված խախտման հիման վրա, բնականաբար, եթե առկա են կարգապահական պատասխանատվության ենթարկելու համար Դատական օրենսգրքով նախատեսված մյուս պայմանները:  Մինչդեռ պետք է նկատի ունենալ, որ անգամ Քրեական օրենսգրքի 75-րդ հոդվածի 1-ին մասի 4-րդ կետով առանձնապես ծանր հանցագործությունների համար սահմանված է 15 տարի վաղեմության ժամկետ: </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Մյուս կողմից էլ, 2020թ. մարտի 25-ի ՀՕ-197-Ն սահմանադրական օրենքի անցումային դրույթների 19-րդ մասով սահմանվեց, որ վերոնշյալ առիթով կարգապահական վարույթ կարող է հարուցվել Հայաստանի Հանրապետության մասնակցությամբ միջազգային դատարանի կամ այլ միջազգային ատյանի` նշված օրենքն ուժի մեջ մտնելուց հետո կայացրած ակտերի հիման վրա` բացառելով </w:t>
      </w:r>
      <w:r w:rsidRPr="00D3377C">
        <w:rPr>
          <w:rFonts w:ascii="GHEA Grapalat" w:hAnsi="GHEA Grapalat"/>
          <w:sz w:val="24"/>
          <w:szCs w:val="24"/>
          <w:lang w:val="hy-AM"/>
        </w:rPr>
        <w:lastRenderedPageBreak/>
        <w:t xml:space="preserve">նախկինում կայացված ՄԻԵԴ վճիռներով արձանագրված և բացահայտված խախտումների հիման վրա կարգապահական վարույթներ հարուցելու հնարավորությունը: </w:t>
      </w:r>
    </w:p>
    <w:p w:rsidR="006235C6" w:rsidRPr="002245A4"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Այնինչ ՀՀ անկախացումից ի վեր, ինչպես նշվեց, ՀՀ-ում տեղի են ունեցել մարդու հիմնարար, կոնվենցիոն իրավունքների համակարգային և զանգվածային խախտումներ տարբեր ոլորտներում, որոնք էլ հենց բացահայտվել են ՄԻԵԴ վճիռներով, որոնց մեծ մասը կայացվել է մինչև վերջերս: Հետևաբար, եթե հիմք ընդունվեն միայն ՄԻԵԴ նոր վճիռները, ապա նախատեսված մեխանիզմը ամբողջությամբ չի հասնի իր նպատակին, քանի որ փաստ է, որ 2018 թվականից հետո դատաիրավական համակարգում տեղի են ունեցել էական փոփոխություններ, և դատական ակտերով թույլ տրված հիմնարար խախտումների առկայությունը հնարավոր կլինի բացահայտել բացառապես կամ մեծամասամբ ՄԻԵԴ այն վճիռներով, որոնք վերաբերում են ՀՀ անկախացումից ի վեր տեղի ունեցած խախտումներին:Վերոնշյալը վկայում է դատավորին կարգապահական պատասխանատվության ենթարկելու կառուցակարգերի կատարելագործման անհրաժեշտության մասին` դատական իշխանության անկախության և անաչառության նկատմամբ հանրության վստահության բարձրացման հանրային շահերից ելնելով:</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p>
    <w:p w:rsidR="006235C6" w:rsidRPr="002245A4" w:rsidRDefault="006235C6" w:rsidP="006235C6">
      <w:pPr>
        <w:spacing w:line="360" w:lineRule="auto"/>
        <w:ind w:firstLine="567"/>
        <w:jc w:val="both"/>
        <w:rPr>
          <w:rFonts w:ascii="GHEA Grapalat" w:eastAsia="Calibri" w:hAnsi="GHEA Grapalat"/>
          <w:b/>
          <w:lang w:val="hy-AM"/>
        </w:rPr>
      </w:pPr>
      <w:r w:rsidRPr="00D3377C">
        <w:rPr>
          <w:rFonts w:ascii="GHEA Grapalat" w:eastAsia="Calibri" w:hAnsi="GHEA Grapalat"/>
          <w:b/>
          <w:lang w:val="hy-AM"/>
        </w:rPr>
        <w:t>Առաջարկվող կարգավորման բնույթը.</w:t>
      </w:r>
    </w:p>
    <w:p w:rsidR="006235C6" w:rsidRPr="00B07743" w:rsidRDefault="006235C6" w:rsidP="006235C6">
      <w:pPr>
        <w:pStyle w:val="ListParagraph"/>
        <w:numPr>
          <w:ilvl w:val="0"/>
          <w:numId w:val="1"/>
        </w:numPr>
        <w:spacing w:after="0" w:line="360" w:lineRule="auto"/>
        <w:ind w:left="0" w:right="270" w:firstLine="540"/>
        <w:contextualSpacing w:val="0"/>
        <w:jc w:val="both"/>
        <w:rPr>
          <w:rFonts w:ascii="GHEA Grapalat" w:hAnsi="GHEA Grapalat"/>
          <w:sz w:val="24"/>
          <w:szCs w:val="24"/>
          <w:lang w:val="hy-AM"/>
        </w:rPr>
      </w:pPr>
      <w:r w:rsidRPr="00B07743">
        <w:rPr>
          <w:rFonts w:ascii="GHEA Grapalat" w:hAnsi="GHEA Grapalat"/>
          <w:sz w:val="24"/>
          <w:szCs w:val="24"/>
          <w:lang w:val="hy-AM"/>
        </w:rPr>
        <w:t>Նախևառաջ հարկ է նշել, որ նախագծի նախնական տարբերակով</w:t>
      </w:r>
      <w:r w:rsidRPr="00B07743">
        <w:rPr>
          <w:rStyle w:val="FootnoteReference"/>
          <w:rFonts w:ascii="GHEA Grapalat" w:hAnsi="GHEA Grapalat"/>
          <w:sz w:val="24"/>
          <w:szCs w:val="24"/>
          <w:lang w:val="hy-AM"/>
        </w:rPr>
        <w:footnoteReference w:id="10"/>
      </w:r>
      <w:r w:rsidRPr="00B07743">
        <w:rPr>
          <w:rFonts w:ascii="GHEA Grapalat" w:hAnsi="GHEA Grapalat"/>
          <w:sz w:val="24"/>
          <w:szCs w:val="24"/>
          <w:lang w:val="hy-AM"/>
        </w:rPr>
        <w:t xml:space="preserve"> առաջարկվում էր Հայաստանի Հանրապետության մասնակցությամբ միջազգային դատարանի ակտով բացահայտված խախտումները դիտարկել որպես դատավորի պաշտոնի անհամատեղելիության հիմք` հնարավորություն ընձեռելով այդ հիմքով դադարեցնել դատավորի լիազորությունները: Նախագիծը, որը ներկայացվել էր </w:t>
      </w:r>
      <w:r w:rsidRPr="00B07743">
        <w:rPr>
          <w:rFonts w:ascii="GHEA Grapalat" w:hAnsi="GHEA Grapalat"/>
          <w:sz w:val="24"/>
          <w:szCs w:val="24"/>
          <w:lang w:val="hy-AM"/>
        </w:rPr>
        <w:lastRenderedPageBreak/>
        <w:t>Վենետիկի հանձնաժողովին, հանձնաժողովի ներկայացրած կարծիքի</w:t>
      </w:r>
      <w:r w:rsidRPr="00B07743">
        <w:rPr>
          <w:rStyle w:val="FootnoteReference"/>
          <w:rFonts w:ascii="GHEA Grapalat" w:hAnsi="GHEA Grapalat"/>
          <w:sz w:val="24"/>
          <w:szCs w:val="24"/>
        </w:rPr>
        <w:footnoteReference w:id="11"/>
      </w:r>
      <w:r w:rsidRPr="00B07743">
        <w:rPr>
          <w:rFonts w:ascii="GHEA Grapalat" w:hAnsi="GHEA Grapalat"/>
          <w:sz w:val="24"/>
          <w:szCs w:val="24"/>
          <w:lang w:val="hy-AM"/>
        </w:rPr>
        <w:t xml:space="preserve"> հիման վրա էականորեն լրամշակվել է` սահմանելով այլ կառուցակարգ: Այսպես`</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437A18">
        <w:rPr>
          <w:rFonts w:ascii="GHEA Grapalat" w:eastAsia="Calibri" w:hAnsi="GHEA Grapalat"/>
          <w:bCs/>
          <w:sz w:val="24"/>
          <w:szCs w:val="24"/>
          <w:lang w:val="hy-AM"/>
        </w:rPr>
        <w:t xml:space="preserve">1. Նախագծով առաջարկվում է հստակեցնել, որ արդարադատություն կամ որպես դատարան՝ օրենքով նախատեսված այլ լիազորություններ իրականացնելիս դատավորի կողմից դիտավորությամբ կամ կոպիտ անփութությամբ թույլ տված նյութական կամ դատավարական իրավունքի նորմի խախտման </w:t>
      </w:r>
      <w:r w:rsidRPr="00437A18">
        <w:rPr>
          <w:rFonts w:ascii="GHEA Grapalat" w:hAnsi="GHEA Grapalat"/>
          <w:sz w:val="24"/>
          <w:szCs w:val="24"/>
          <w:lang w:val="hy-AM"/>
        </w:rPr>
        <w:t xml:space="preserve">հիմքով կարգապահական վարույթ կարող է հարուցվել խախտումը վարույթ հարուցող մարմնի կողմից հայտնաբերվելուց հետո՝ մեկ տարվա ժամկետում, եթե խախտումը հայտնաբերվել է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դատարանի ակտի ուսումնասիրության արդյունքում: Նախատեսվել է, որ այս դեպքում կարգապահական վարույթ չի կարող հարուցվել, եթե մարդու իրավունքների պաշտպանության ոլորտում Հայաստանի Հանրապետության ստանձնած միջազգային պարտավորությունների խախտում արձանագրող՝ Հայաստանի Հանրապետության մասնակցությամբ միջազգային դատարանի կայացրած ակտն ուժի մեջ մտնելուց հետո անցել է 15 տարի: </w:t>
      </w:r>
      <w:r w:rsidRPr="00437A18">
        <w:rPr>
          <w:rFonts w:ascii="GHEA Grapalat" w:eastAsia="Times New Roman" w:hAnsi="GHEA Grapalat" w:cs="Times New Roman"/>
          <w:color w:val="000000"/>
          <w:sz w:val="24"/>
          <w:szCs w:val="24"/>
          <w:lang w:val="hy-AM" w:eastAsia="ru-RU"/>
        </w:rPr>
        <w:t xml:space="preserve"> </w:t>
      </w:r>
      <w:r w:rsidRPr="00012E23">
        <w:rPr>
          <w:rFonts w:ascii="GHEA Grapalat" w:hAnsi="GHEA Grapalat"/>
          <w:sz w:val="24"/>
          <w:szCs w:val="24"/>
          <w:lang w:val="hy-AM"/>
        </w:rPr>
        <w:t>Հարկ է նկատել, որ վերոնշյալ 15 տարվա վաղեմության ժամկետի սահմանումը ինքնանպատակ չէ: Նախ, ինչպես բխում է Դատական օրենսգրքի կարգավորումներից, կարգապահական պատասխանատվության հիմքը ոչ թե ինքնին ՄԻԵԴ վճիռն է, այլ դրանով բացահայտված մարդու իրավունքների հիմնարար խախտումը</w:t>
      </w:r>
      <w:r w:rsidR="00B07743">
        <w:rPr>
          <w:rFonts w:ascii="GHEA Grapalat" w:hAnsi="GHEA Grapalat"/>
          <w:sz w:val="24"/>
          <w:szCs w:val="24"/>
          <w:lang w:val="hy-AM"/>
        </w:rPr>
        <w:t xml:space="preserve">, </w:t>
      </w:r>
      <w:r w:rsidRPr="00012E23">
        <w:rPr>
          <w:rFonts w:ascii="GHEA Grapalat" w:hAnsi="GHEA Grapalat"/>
          <w:sz w:val="24"/>
          <w:szCs w:val="24"/>
          <w:lang w:val="hy-AM"/>
        </w:rPr>
        <w:t xml:space="preserve">որը ենթակա է գնահատման որպես դատարան գործող Բարձրագույն դատական խորհրդի կողմից: Սա նաև բխում է Վենետիկի հանձնաժողովի` օրենքի նախագծի </w:t>
      </w:r>
      <w:r w:rsidRPr="00012E23">
        <w:rPr>
          <w:rFonts w:ascii="GHEA Grapalat" w:hAnsi="GHEA Grapalat"/>
          <w:sz w:val="24"/>
          <w:szCs w:val="24"/>
          <w:lang w:val="hy-AM"/>
        </w:rPr>
        <w:lastRenderedPageBreak/>
        <w:t>նախնական տարբերակի վերաբերյալ ներկայացված կարծիքի</w:t>
      </w:r>
      <w:r w:rsidRPr="00D3377C">
        <w:rPr>
          <w:rFonts w:ascii="GHEA Grapalat" w:hAnsi="GHEA Grapalat"/>
          <w:sz w:val="24"/>
          <w:szCs w:val="24"/>
          <w:lang w:val="hy-AM"/>
        </w:rPr>
        <w:t>ց</w:t>
      </w:r>
      <w:r w:rsidRPr="00012E23">
        <w:rPr>
          <w:rStyle w:val="FootnoteReference"/>
          <w:rFonts w:ascii="GHEA Grapalat" w:hAnsi="GHEA Grapalat"/>
          <w:lang w:val="hy-AM"/>
        </w:rPr>
        <w:footnoteReference w:id="12"/>
      </w:r>
      <w:r w:rsidRPr="00012E23">
        <w:rPr>
          <w:rFonts w:ascii="GHEA Grapalat" w:hAnsi="GHEA Grapalat"/>
          <w:sz w:val="24"/>
          <w:szCs w:val="24"/>
          <w:lang w:val="hy-AM"/>
        </w:rPr>
        <w:t>, որին և համապատասխանեցվել է նախագիծը</w:t>
      </w:r>
      <w:r w:rsidRPr="00012E23">
        <w:rPr>
          <w:rStyle w:val="FootnoteReference"/>
          <w:rFonts w:ascii="GHEA Grapalat" w:hAnsi="GHEA Grapalat"/>
          <w:lang w:val="hy-AM"/>
        </w:rPr>
        <w:footnoteReference w:id="13"/>
      </w:r>
      <w:r w:rsidRPr="00012E23">
        <w:rPr>
          <w:rFonts w:ascii="GHEA Grapalat" w:hAnsi="GHEA Grapalat"/>
          <w:sz w:val="24"/>
          <w:szCs w:val="24"/>
          <w:lang w:val="hy-AM"/>
        </w:rPr>
        <w:t>: Նման խախտումը չի կարող դրսևորվել որևէ այլ կերպ, քան դատավորի վարույթում գտնվող գործով նյութական կամ դատավարական որևէ խախտում թույլ տալով: Ընդ որում, ինչպես նշում է Վենետիկի հանձնաժողովը, այս դեպքում նշաձող պետք է համարվի այն խախտումը, որը հանգեցրել է մարդու իրավունքների և (կամ) ազատությունների հիմնարար խախտումների և կատարվել է դիտավորությամբ կամ կոպիտ անփութությամբ, այսինքն` «ակնհայտորեն անհամատեղելի է դատավորի պաշտոնի հետ</w:t>
      </w:r>
      <w:r w:rsidRPr="00D3377C">
        <w:rPr>
          <w:rFonts w:ascii="GHEA Grapalat" w:hAnsi="GHEA Grapalat"/>
          <w:sz w:val="24"/>
          <w:szCs w:val="24"/>
          <w:lang w:val="hy-AM"/>
        </w:rPr>
        <w:t>»</w:t>
      </w:r>
      <w:r w:rsidRPr="00012E23">
        <w:rPr>
          <w:rStyle w:val="FootnoteReference"/>
          <w:rFonts w:ascii="GHEA Grapalat" w:hAnsi="GHEA Grapalat"/>
          <w:lang w:val="hy-AM"/>
        </w:rPr>
        <w:footnoteReference w:id="14"/>
      </w:r>
      <w:r w:rsidRPr="00012E23">
        <w:rPr>
          <w:rFonts w:ascii="GHEA Grapalat" w:hAnsi="GHEA Grapalat"/>
          <w:sz w:val="24"/>
          <w:szCs w:val="24"/>
          <w:lang w:val="hy-AM"/>
        </w:rPr>
        <w:t xml:space="preserve">: </w:t>
      </w:r>
    </w:p>
    <w:p w:rsidR="006235C6" w:rsidRPr="00325189"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Ստացվում է, որ դատավորը իր գործունեության ընթացքում պետք է կանխատեսեր, որ իր վարույթում գտնվող գործով նյութական կամ դատավարական նորմի խախտումը կարող է հանգեցնել բացասական հետևանքների, ընդհուպ` կարգապահական պատասխանատվության հիմքով լիազորությունների դադարեցման: </w:t>
      </w:r>
    </w:p>
    <w:p w:rsidR="006235C6" w:rsidRPr="00325189" w:rsidRDefault="006235C6" w:rsidP="006235C6">
      <w:pPr>
        <w:spacing w:line="360" w:lineRule="auto"/>
        <w:ind w:right="270" w:firstLine="540"/>
        <w:jc w:val="both"/>
        <w:rPr>
          <w:rFonts w:ascii="GHEA Grapalat" w:hAnsi="GHEA Grapalat"/>
          <w:lang w:val="hy-AM"/>
        </w:rPr>
      </w:pPr>
      <w:r w:rsidRPr="00325189">
        <w:rPr>
          <w:rFonts w:ascii="GHEA Grapalat" w:hAnsi="GHEA Grapalat" w:cs="Sylfaen"/>
          <w:color w:val="000000"/>
          <w:lang w:val="hy-AM" w:eastAsia="ru-RU"/>
        </w:rPr>
        <w:t>2.</w:t>
      </w:r>
      <w:r w:rsidRPr="00773D84">
        <w:rPr>
          <w:rFonts w:ascii="GHEA Grapalat" w:hAnsi="GHEA Grapalat" w:cs="Sylfaen"/>
          <w:color w:val="000000"/>
          <w:lang w:val="hy-AM" w:eastAsia="ru-RU"/>
        </w:rPr>
        <w:t xml:space="preserve"> </w:t>
      </w:r>
      <w:r w:rsidRPr="00325189">
        <w:rPr>
          <w:rFonts w:ascii="GHEA Grapalat" w:hAnsi="GHEA Grapalat" w:cs="Sylfaen"/>
          <w:color w:val="000000"/>
          <w:lang w:val="hy-AM" w:eastAsia="ru-RU"/>
        </w:rPr>
        <w:t>Ն</w:t>
      </w:r>
      <w:r w:rsidRPr="00325189">
        <w:rPr>
          <w:rFonts w:ascii="GHEA Grapalat" w:hAnsi="GHEA Grapalat"/>
          <w:color w:val="000000"/>
          <w:lang w:val="hy-AM" w:eastAsia="ru-RU"/>
        </w:rPr>
        <w:t>ախագծի անցումային դրույթներով նաև նախատեսվել է կարգավորում առ այն, որ վերը նշված դեպքում կարգապահական վարույթ կարող է հարուցվել նաև մինչև օրենքի ուժի մեջ մտնելը կայացված Հայաստանի Հանրապետության մասնակցությամբ միջազգային դատարանի ակտերով արձանագրված</w:t>
      </w:r>
      <w:r w:rsidRPr="00325189">
        <w:rPr>
          <w:rFonts w:ascii="GHEA Grapalat" w:hAnsi="GHEA Grapalat"/>
          <w:lang w:val="hy-AM"/>
        </w:rPr>
        <w:t xml:space="preserve"> կամ բացահայտված խախտումներով, եթե մարդու իրավունքների պաշտպանության </w:t>
      </w:r>
      <w:r w:rsidRPr="00325189">
        <w:rPr>
          <w:rFonts w:ascii="GHEA Grapalat" w:hAnsi="GHEA Grapalat"/>
          <w:lang w:val="hy-AM"/>
        </w:rPr>
        <w:lastRenderedPageBreak/>
        <w:t>ոլորտում Հայաստանի Հանրապետության ստանձնած միջազգային պարտավորությունների խ</w:t>
      </w:r>
      <w:r w:rsidRPr="00325189">
        <w:rPr>
          <w:rFonts w:ascii="GHEA Grapalat" w:hAnsi="GHEA Grapalat"/>
          <w:color w:val="000000"/>
          <w:lang w:val="hy-AM" w:eastAsia="ru-RU"/>
        </w:rPr>
        <w:t>ախտում արձանագրող՝ Հայաստանի Հանրապետության մասնակցությամբ միջազգային դատարանի կայացրած ակտն ուժի մեջ մտնելուց հետո չի անցել 15 տարի: Այդ դեպքերում էական կարգապահական խախտման հիմքով լիազորությունների դադարեցում կարգապահական տույժը կարող է կիրառվել, եթե դա ակնհայտորեն պայմանավորված է դատական իշխանության անկախության և անաչառության ապահովման, դատական իշխանության հեղինակությունը բարձր պահելու, դատական իշխանության անկախության և անաչառության վերաբերյալ հանրության վստահության և իրավունքի գերակայության ապահովման հանրային շահերով:</w:t>
      </w:r>
    </w:p>
    <w:p w:rsidR="006235C6" w:rsidRPr="00012E23" w:rsidRDefault="006235C6" w:rsidP="00365374">
      <w:pPr>
        <w:pStyle w:val="ListParagraph"/>
        <w:spacing w:after="0" w:line="360" w:lineRule="auto"/>
        <w:ind w:left="0" w:right="270" w:firstLine="540"/>
        <w:contextualSpacing w:val="0"/>
        <w:jc w:val="both"/>
        <w:rPr>
          <w:rFonts w:ascii="GHEA Grapalat" w:hAnsi="GHEA Grapalat"/>
          <w:sz w:val="24"/>
          <w:szCs w:val="24"/>
          <w:lang w:val="hy-AM"/>
        </w:rPr>
      </w:pPr>
      <w:r w:rsidRPr="00012E23">
        <w:rPr>
          <w:rFonts w:ascii="GHEA Grapalat" w:hAnsi="GHEA Grapalat"/>
          <w:sz w:val="24"/>
          <w:szCs w:val="24"/>
          <w:lang w:val="hy-AM"/>
        </w:rPr>
        <w:t>Այս առումով, հ</w:t>
      </w:r>
      <w:r w:rsidRPr="00D3377C">
        <w:rPr>
          <w:rFonts w:ascii="GHEA Grapalat" w:hAnsi="GHEA Grapalat"/>
          <w:sz w:val="24"/>
          <w:szCs w:val="24"/>
          <w:lang w:val="hy-AM"/>
        </w:rPr>
        <w:t xml:space="preserve">արկ է </w:t>
      </w:r>
      <w:r w:rsidRPr="00012E23">
        <w:rPr>
          <w:rFonts w:ascii="GHEA Grapalat" w:hAnsi="GHEA Grapalat"/>
          <w:sz w:val="24"/>
          <w:szCs w:val="24"/>
          <w:lang w:val="hy-AM"/>
        </w:rPr>
        <w:t>ընդգծել</w:t>
      </w:r>
      <w:r w:rsidRPr="00D3377C">
        <w:rPr>
          <w:rFonts w:ascii="GHEA Grapalat" w:hAnsi="GHEA Grapalat"/>
          <w:sz w:val="24"/>
          <w:szCs w:val="24"/>
          <w:lang w:val="hy-AM"/>
        </w:rPr>
        <w:t xml:space="preserve"> այն հանգամանքը, որ 2007 թվականի փետրվարի 21-ին ընդունված և 2018 թվականի ապրիլի 9-ին ուժը կորցրած Հայաստանի Հանրապետության դատական օրենսգրքի</w:t>
      </w:r>
      <w:r w:rsidR="00A26979" w:rsidRPr="00A26979">
        <w:rPr>
          <w:rFonts w:ascii="GHEA Grapalat" w:hAnsi="GHEA Grapalat"/>
          <w:sz w:val="24"/>
          <w:szCs w:val="24"/>
          <w:lang w:val="hy-AM"/>
        </w:rPr>
        <w:t xml:space="preserve"> 153-րդ հոդվածի 2-րդ  մասի 1-ին և 2-րդ կետերով որպես դատավորի կարգապահական պատասխանատվության հիմքեր նախատեսված են եղել արդարադատություն իրականացնելիս նյութական և դատավարական օրենքի նորմի ակնհայտ և կոպիտ խախտումը: Այնուհետև, 2008 թվականի ապրլի 8-ի ՀՕ-12-Ն օրենքով </w:t>
      </w:r>
      <w:r w:rsidR="00365374">
        <w:rPr>
          <w:rFonts w:ascii="GHEA Grapalat" w:hAnsi="GHEA Grapalat"/>
          <w:sz w:val="24"/>
          <w:szCs w:val="24"/>
          <w:lang w:val="hy-AM"/>
        </w:rPr>
        <w:t>կա</w:t>
      </w:r>
      <w:r w:rsidR="00365374" w:rsidRPr="00365374">
        <w:rPr>
          <w:rFonts w:ascii="GHEA Grapalat" w:hAnsi="GHEA Grapalat"/>
          <w:sz w:val="24"/>
          <w:szCs w:val="24"/>
          <w:lang w:val="hy-AM"/>
        </w:rPr>
        <w:t>տ</w:t>
      </w:r>
      <w:r w:rsidR="00365374">
        <w:rPr>
          <w:rFonts w:ascii="GHEA Grapalat" w:hAnsi="GHEA Grapalat"/>
          <w:sz w:val="24"/>
          <w:szCs w:val="24"/>
          <w:lang w:val="hy-AM"/>
        </w:rPr>
        <w:t>ա</w:t>
      </w:r>
      <w:r w:rsidR="00365374" w:rsidRPr="00365374">
        <w:rPr>
          <w:rFonts w:ascii="GHEA Grapalat" w:hAnsi="GHEA Grapalat"/>
          <w:sz w:val="24"/>
          <w:szCs w:val="24"/>
          <w:lang w:val="hy-AM"/>
        </w:rPr>
        <w:t xml:space="preserve">րված լրացումների արդյունքում օրենսգրքի </w:t>
      </w:r>
      <w:r w:rsidRPr="00D3377C">
        <w:rPr>
          <w:rFonts w:ascii="GHEA Grapalat" w:hAnsi="GHEA Grapalat"/>
          <w:sz w:val="24"/>
          <w:szCs w:val="24"/>
          <w:lang w:val="hy-AM"/>
        </w:rPr>
        <w:t xml:space="preserve"> 155-րդ հոդվածի 5-րդ մասի 7-րդ կետով </w:t>
      </w:r>
      <w:r w:rsidR="00365374" w:rsidRPr="00365374">
        <w:rPr>
          <w:rFonts w:ascii="GHEA Grapalat" w:hAnsi="GHEA Grapalat"/>
          <w:sz w:val="24"/>
          <w:szCs w:val="24"/>
          <w:lang w:val="hy-AM"/>
        </w:rPr>
        <w:t xml:space="preserve">հստակեցվեց, որ </w:t>
      </w:r>
      <w:r w:rsidRPr="00D3377C">
        <w:rPr>
          <w:rFonts w:ascii="GHEA Grapalat" w:hAnsi="GHEA Grapalat"/>
          <w:sz w:val="24"/>
          <w:szCs w:val="24"/>
          <w:lang w:val="hy-AM"/>
        </w:rPr>
        <w:t xml:space="preserve">կարգապահական վարույթ հարուցելու առիթ </w:t>
      </w:r>
      <w:r w:rsidR="00365374">
        <w:rPr>
          <w:rFonts w:ascii="GHEA Grapalat" w:hAnsi="GHEA Grapalat"/>
          <w:sz w:val="24"/>
          <w:szCs w:val="24"/>
          <w:lang w:val="hy-AM"/>
        </w:rPr>
        <w:t>է</w:t>
      </w:r>
      <w:r w:rsidRPr="00D3377C">
        <w:rPr>
          <w:rFonts w:ascii="GHEA Grapalat" w:hAnsi="GHEA Grapalat"/>
          <w:sz w:val="24"/>
          <w:szCs w:val="24"/>
          <w:lang w:val="hy-AM"/>
        </w:rPr>
        <w:t xml:space="preserve"> Հայաստանի Հանրապետության մասնակցությամբ գործող միջազգային դատարանի կողմից կայացված</w:t>
      </w:r>
      <w:r w:rsidRPr="00D3377C">
        <w:rPr>
          <w:rFonts w:ascii="Courier New" w:hAnsi="Courier New" w:cs="Courier New"/>
          <w:sz w:val="24"/>
          <w:szCs w:val="24"/>
          <w:lang w:val="hy-AM"/>
        </w:rPr>
        <w:t> </w:t>
      </w:r>
      <w:r w:rsidRPr="00D3377C">
        <w:rPr>
          <w:rFonts w:ascii="GHEA Grapalat" w:hAnsi="GHEA Grapalat"/>
          <w:sz w:val="24"/>
          <w:szCs w:val="24"/>
          <w:lang w:val="hy-AM"/>
        </w:rPr>
        <w:t>դատական</w:t>
      </w:r>
      <w:r w:rsidRPr="00D3377C">
        <w:rPr>
          <w:rFonts w:ascii="Courier New" w:hAnsi="Courier New" w:cs="Courier New"/>
          <w:sz w:val="24"/>
          <w:szCs w:val="24"/>
          <w:lang w:val="hy-AM"/>
        </w:rPr>
        <w:t> </w:t>
      </w:r>
      <w:r w:rsidRPr="00D3377C">
        <w:rPr>
          <w:rFonts w:ascii="GHEA Grapalat" w:hAnsi="GHEA Grapalat"/>
          <w:sz w:val="24"/>
          <w:szCs w:val="24"/>
          <w:lang w:val="hy-AM"/>
        </w:rPr>
        <w:t>ակտը, որով հաստատվել է, որ տվյալ գործը քննելիս Հայաստանի Հանր</w:t>
      </w:r>
      <w:r w:rsidRPr="00A26979">
        <w:rPr>
          <w:rFonts w:ascii="GHEA Grapalat" w:hAnsi="GHEA Grapalat"/>
          <w:sz w:val="24"/>
          <w:szCs w:val="24"/>
          <w:lang w:val="hy-AM"/>
        </w:rPr>
        <w:t>ա</w:t>
      </w:r>
      <w:r w:rsidRPr="00D3377C">
        <w:rPr>
          <w:rFonts w:ascii="GHEA Grapalat" w:hAnsi="GHEA Grapalat"/>
          <w:sz w:val="24"/>
          <w:szCs w:val="24"/>
          <w:lang w:val="hy-AM"/>
        </w:rPr>
        <w:t>պետության դատարանը թույլ է տվել Հայաստանի Հանրապետության համապատասխան միջազգային պայմանագրով սահմանված` մարդու իրավունքների և հիմնարար ազատությունների խախտումը: Հայաստանի Հանրապետության դատական օրենսգրքի 153-րդ հոդվածի 5-րդ մաս</w:t>
      </w:r>
      <w:r w:rsidR="00365374" w:rsidRPr="00365374">
        <w:rPr>
          <w:rFonts w:ascii="GHEA Grapalat" w:hAnsi="GHEA Grapalat"/>
          <w:sz w:val="24"/>
          <w:szCs w:val="24"/>
          <w:lang w:val="hy-AM"/>
        </w:rPr>
        <w:t xml:space="preserve">ում </w:t>
      </w:r>
      <w:r w:rsidRPr="00D3377C">
        <w:rPr>
          <w:rFonts w:ascii="GHEA Grapalat" w:hAnsi="GHEA Grapalat"/>
          <w:sz w:val="24"/>
          <w:szCs w:val="24"/>
          <w:lang w:val="hy-AM"/>
        </w:rPr>
        <w:t xml:space="preserve"> </w:t>
      </w:r>
      <w:r w:rsidR="00365374" w:rsidRPr="00365374">
        <w:rPr>
          <w:rFonts w:ascii="GHEA Grapalat" w:hAnsi="GHEA Grapalat"/>
          <w:sz w:val="24"/>
          <w:szCs w:val="24"/>
          <w:lang w:val="hy-AM"/>
        </w:rPr>
        <w:t>հստակեցվեց նաև</w:t>
      </w:r>
      <w:r w:rsidRPr="00D3377C">
        <w:rPr>
          <w:rFonts w:ascii="GHEA Grapalat" w:hAnsi="GHEA Grapalat"/>
          <w:sz w:val="24"/>
          <w:szCs w:val="24"/>
          <w:lang w:val="hy-AM"/>
        </w:rPr>
        <w:t xml:space="preserve"> այս առիթով կարգապահական վ</w:t>
      </w:r>
      <w:r w:rsidRPr="00012E23">
        <w:rPr>
          <w:rFonts w:ascii="GHEA Grapalat" w:hAnsi="GHEA Grapalat"/>
          <w:sz w:val="24"/>
          <w:szCs w:val="24"/>
          <w:lang w:val="hy-AM"/>
        </w:rPr>
        <w:t>ա</w:t>
      </w:r>
      <w:r w:rsidRPr="00D3377C">
        <w:rPr>
          <w:rFonts w:ascii="GHEA Grapalat" w:hAnsi="GHEA Grapalat"/>
          <w:sz w:val="24"/>
          <w:szCs w:val="24"/>
          <w:lang w:val="hy-AM"/>
        </w:rPr>
        <w:t xml:space="preserve">րույթը հարուցելու </w:t>
      </w:r>
      <w:r w:rsidRPr="00D3377C">
        <w:rPr>
          <w:rFonts w:ascii="GHEA Grapalat" w:hAnsi="GHEA Grapalat"/>
          <w:sz w:val="24"/>
          <w:szCs w:val="24"/>
          <w:lang w:val="hy-AM"/>
        </w:rPr>
        <w:lastRenderedPageBreak/>
        <w:t>ժամկետները: Այսինքն՝ Հայաստանի Հանրապետության դատարանի կողմից Հայաստանի Հանրապետության համապատասխան միջազգային պայմանագրով սահմանված` մարդու իրավունքների և հիմնարար ազատությունների խախտման փաստը հաստատող Հայաստանի Հանրապետության մասնակցությամբ գործող միջազգային դատարանի կողմից կայացված</w:t>
      </w:r>
      <w:r w:rsidRPr="00D3377C">
        <w:rPr>
          <w:rFonts w:ascii="Courier New" w:hAnsi="Courier New" w:cs="Courier New"/>
          <w:sz w:val="24"/>
          <w:szCs w:val="24"/>
          <w:lang w:val="hy-AM"/>
        </w:rPr>
        <w:t> </w:t>
      </w:r>
      <w:r w:rsidRPr="00D3377C">
        <w:rPr>
          <w:rFonts w:ascii="GHEA Grapalat" w:hAnsi="GHEA Grapalat"/>
          <w:sz w:val="24"/>
          <w:szCs w:val="24"/>
          <w:lang w:val="hy-AM"/>
        </w:rPr>
        <w:t>դատական</w:t>
      </w:r>
      <w:r w:rsidRPr="00D3377C">
        <w:rPr>
          <w:rFonts w:ascii="Courier New" w:hAnsi="Courier New" w:cs="Courier New"/>
          <w:sz w:val="24"/>
          <w:szCs w:val="24"/>
          <w:lang w:val="hy-AM"/>
        </w:rPr>
        <w:t> </w:t>
      </w:r>
      <w:r w:rsidRPr="00D3377C">
        <w:rPr>
          <w:rFonts w:ascii="GHEA Grapalat" w:hAnsi="GHEA Grapalat"/>
          <w:sz w:val="24"/>
          <w:szCs w:val="24"/>
          <w:lang w:val="hy-AM"/>
        </w:rPr>
        <w:t>ակտի՝ դատավորի նկատմամբ կարգապահական վարույթ հարուցելու առիթ լինելը նոր չէ Հայաստանի Հանրապետության իրավական համակարգում, և այն կարգապահական վարույթ հարուցելու առիթ է եղել սկսած 2007 թվականի մայիսի 18-ից, երբ ուժի մեջ է մտել Հայաստանի Հանրապետության դատական օրենսգիրքը: Ընդ որում, Հայաստանի Հանրապետության դատական օրենսգրքով Հայաստանի Հանրապետության դատարանի կողմից Հայաստանի Հանրապետության համապատասխան միջազգային պայմանագրով սահմանված` մարդու իրավունքների և հիմնարար ազատությունների խախտման փաստը հաստատող Հայաստանի Հանրապետության մասնակցությամբ գործող միջազգային դատարանի կողմից դատական ակտի կայացման փաստն ինքնին կարգապահական վարույթ հարուցելու առիթ է եղել:</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2245A4">
        <w:rPr>
          <w:rFonts w:ascii="GHEA Grapalat" w:hAnsi="GHEA Grapalat"/>
          <w:sz w:val="24"/>
          <w:szCs w:val="24"/>
          <w:lang w:val="hy-AM"/>
        </w:rPr>
        <w:t xml:space="preserve">Ավելին </w:t>
      </w:r>
      <w:r w:rsidRPr="00D3377C">
        <w:rPr>
          <w:rFonts w:ascii="GHEA Grapalat" w:hAnsi="GHEA Grapalat"/>
          <w:sz w:val="24"/>
          <w:szCs w:val="24"/>
          <w:lang w:val="hy-AM"/>
        </w:rPr>
        <w:t xml:space="preserve"> </w:t>
      </w:r>
      <w:r w:rsidRPr="002245A4">
        <w:rPr>
          <w:rFonts w:ascii="GHEA Grapalat" w:hAnsi="GHEA Grapalat"/>
          <w:sz w:val="24"/>
          <w:szCs w:val="24"/>
          <w:lang w:val="hy-AM"/>
        </w:rPr>
        <w:t>Հայաստանի Հանրապետության դ</w:t>
      </w:r>
      <w:r w:rsidRPr="00D3377C">
        <w:rPr>
          <w:rFonts w:ascii="GHEA Grapalat" w:hAnsi="GHEA Grapalat"/>
          <w:sz w:val="24"/>
          <w:szCs w:val="24"/>
          <w:lang w:val="hy-AM"/>
        </w:rPr>
        <w:t xml:space="preserve">ատական օրենսգրքի 157-րդ հոդվածով որպես պատասխանատվության տեսակ սահմանված էր դատավորի լիազորությունների դադարեցման միջնորդությամբ Հանրապետության Նախագահին դիմելու կարգավորումը, որը կարող էր կիրառվել այն դեպքում, երբ դատավորի կողմից թույլ տրված կարգապահական կոպիտ կամ պարբերական խախտման հետևանքով նա այլևս անհամատեղելի է դատավորի պաշտոնի համար: </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Հետագայում, 2018թ. Դատական օրենսգրքի 149-րդ հոդվածով սահմանվեց, որ դատավորի լիազորությունները կարող էին դադարեցվել էական կարգապահական խախտում կատարելու դեպքում, իսկ 142-րդ հոդվածի </w:t>
      </w:r>
      <w:r w:rsidRPr="00D3377C">
        <w:rPr>
          <w:rFonts w:ascii="GHEA Grapalat" w:hAnsi="GHEA Grapalat"/>
          <w:sz w:val="24"/>
          <w:szCs w:val="24"/>
          <w:lang w:val="hy-AM"/>
        </w:rPr>
        <w:lastRenderedPageBreak/>
        <w:t>համաձայն` էական կարգապահական խախտում էր համարվում դատավորի կողմից այնպիսի արարք կատարելը, որն անհամատեղելի է դատավորի պաշտոնի հետ:</w:t>
      </w:r>
      <w:r w:rsidR="00365374" w:rsidRPr="00365374">
        <w:rPr>
          <w:rFonts w:ascii="GHEA Grapalat" w:hAnsi="GHEA Grapalat"/>
          <w:sz w:val="24"/>
          <w:szCs w:val="24"/>
          <w:lang w:val="hy-AM"/>
        </w:rPr>
        <w:t xml:space="preserve"> </w:t>
      </w:r>
      <w:r w:rsidRPr="00D3377C">
        <w:rPr>
          <w:rFonts w:ascii="GHEA Grapalat" w:hAnsi="GHEA Grapalat"/>
          <w:sz w:val="24"/>
          <w:szCs w:val="24"/>
          <w:lang w:val="hy-AM"/>
        </w:rPr>
        <w:t>2020թ. մարտի 25-ի փոփոխություններով էլ ավելի հստակեցվեց էական կարգապահական խախտման շրջանակը, սահմանելով, որ էական կարգապահական խախտում է արդարադատություն կամ որպես դատարան՝ օրենքով նախատեսված այլ լիազորություններ իրականացնելիս դատավորի կողմից դիտավորությամբ կամ կոպիտ անփութությամբ թույլ տված նյութական կամ դատավարական իրավունքի նորմի խախտումը, որը հանգեցրել է Սահմանադրությամբ կամ Հայաստանի Հանրապետության վավերացրած միջազգային պայմանագրերով ամրագրված՝ մարդու իրավունքների և (կամ) ազատությունների հիմնարար խախտման կամ դատական իշխանության հեղինակազրկման:</w:t>
      </w:r>
    </w:p>
    <w:p w:rsidR="006235C6" w:rsidRPr="00D3377C" w:rsidRDefault="006235C6" w:rsidP="006235C6">
      <w:pPr>
        <w:pStyle w:val="ListParagraph"/>
        <w:spacing w:after="0" w:line="360" w:lineRule="auto"/>
        <w:ind w:left="0" w:right="270" w:firstLine="540"/>
        <w:contextualSpacing w:val="0"/>
        <w:jc w:val="both"/>
        <w:rPr>
          <w:rFonts w:ascii="GHEA Grapalat" w:hAnsi="GHEA Grapalat"/>
          <w:sz w:val="24"/>
          <w:szCs w:val="24"/>
          <w:lang w:val="hy-AM"/>
        </w:rPr>
      </w:pPr>
      <w:r w:rsidRPr="00D3377C">
        <w:rPr>
          <w:rFonts w:ascii="GHEA Grapalat" w:hAnsi="GHEA Grapalat"/>
          <w:sz w:val="24"/>
          <w:szCs w:val="24"/>
          <w:lang w:val="hy-AM"/>
        </w:rPr>
        <w:t xml:space="preserve">Այսինքն՝ Հայաստանի Հանրապետության իրավական համակարգը հիմնված է եղել այն ընդհանուր տրամաբանության վրա, որ </w:t>
      </w:r>
      <w:r w:rsidR="00365374" w:rsidRPr="00A26979">
        <w:rPr>
          <w:rFonts w:ascii="GHEA Grapalat" w:hAnsi="GHEA Grapalat"/>
          <w:sz w:val="24"/>
          <w:szCs w:val="24"/>
          <w:lang w:val="hy-AM"/>
        </w:rPr>
        <w:t>արդարադատություն իրականացնելիս նյութական և դատավարական օրենքի նորմի ակնհայտ և կոպիտ</w:t>
      </w:r>
      <w:r w:rsidR="00365374" w:rsidRPr="00365374">
        <w:rPr>
          <w:rFonts w:ascii="GHEA Grapalat" w:hAnsi="GHEA Grapalat"/>
          <w:sz w:val="24"/>
          <w:szCs w:val="24"/>
          <w:lang w:val="hy-AM"/>
        </w:rPr>
        <w:t xml:space="preserve"> խախտումը, այդ </w:t>
      </w:r>
      <w:r w:rsidR="00365374">
        <w:rPr>
          <w:rFonts w:ascii="GHEA Grapalat" w:hAnsi="GHEA Grapalat"/>
          <w:sz w:val="24"/>
          <w:szCs w:val="24"/>
          <w:lang w:val="hy-AM"/>
        </w:rPr>
        <w:t xml:space="preserve">թվում՝ </w:t>
      </w:r>
      <w:r w:rsidRPr="00D3377C">
        <w:rPr>
          <w:rFonts w:ascii="GHEA Grapalat" w:hAnsi="GHEA Grapalat"/>
          <w:sz w:val="24"/>
          <w:szCs w:val="24"/>
          <w:lang w:val="hy-AM"/>
        </w:rPr>
        <w:t xml:space="preserve">Հայաստանի Հանրապետության մասնակցությամբ գործող միջազգային դատարանի </w:t>
      </w:r>
      <w:r w:rsidRPr="00437A18">
        <w:rPr>
          <w:rFonts w:ascii="GHEA Grapalat" w:hAnsi="GHEA Grapalat"/>
          <w:sz w:val="24"/>
          <w:szCs w:val="24"/>
          <w:lang w:val="hy-AM"/>
        </w:rPr>
        <w:t xml:space="preserve">կայացրած </w:t>
      </w:r>
      <w:r w:rsidRPr="00D3377C">
        <w:rPr>
          <w:rFonts w:ascii="GHEA Grapalat" w:hAnsi="GHEA Grapalat"/>
          <w:sz w:val="24"/>
          <w:szCs w:val="24"/>
          <w:lang w:val="hy-AM"/>
        </w:rPr>
        <w:t xml:space="preserve">դատական </w:t>
      </w:r>
      <w:r w:rsidR="00365374">
        <w:rPr>
          <w:rFonts w:ascii="GHEA Grapalat" w:hAnsi="GHEA Grapalat"/>
          <w:sz w:val="24"/>
          <w:szCs w:val="24"/>
          <w:lang w:val="hy-AM"/>
        </w:rPr>
        <w:t>ակտ</w:t>
      </w:r>
      <w:r w:rsidR="00365374" w:rsidRPr="00365374">
        <w:rPr>
          <w:rFonts w:ascii="GHEA Grapalat" w:hAnsi="GHEA Grapalat"/>
          <w:sz w:val="24"/>
          <w:szCs w:val="24"/>
          <w:lang w:val="hy-AM"/>
        </w:rPr>
        <w:t>ով հաստատվող,</w:t>
      </w:r>
      <w:r w:rsidRPr="00D3377C">
        <w:rPr>
          <w:rFonts w:ascii="GHEA Grapalat" w:hAnsi="GHEA Grapalat"/>
          <w:sz w:val="24"/>
          <w:szCs w:val="24"/>
          <w:lang w:val="hy-AM"/>
        </w:rPr>
        <w:t xml:space="preserve"> դատավորի նկատմամբ կարգապահական վարույթ հարուցելու առիթ է, իսկ դատավորի կողմից նյութական կամ դատավարական իրավունքի խախտումները որոշակի չափանիշներին բավարարելու դեպքում կարող էին հանգեցնել լիազորությունների դադարեցման: Հետևաբար բովանդակային առումով նախագծով սահմանվող կարգավորումները կանխատեսելի են, քանի որ արդեն իսկ նախատեսված են եղել օրենսդրությամբ: Առաջարկվող կարգավորման նորությունը զուտ վերաբերում է նրան,որ կարգապահական վարույթ հարուցելու առիթ կարող է հանդիսանալ միայն մինչև 15 տարվա վաղեմության ՄԻԵԴ վճիռը: Ընդ որում, ինչպես նշել է Վենետիկի հանձնաժողովը իր 2019թ. կարծիքում, սխալ չէ միջազգային </w:t>
      </w:r>
      <w:r w:rsidRPr="00D3377C">
        <w:rPr>
          <w:rFonts w:ascii="GHEA Grapalat" w:hAnsi="GHEA Grapalat"/>
          <w:sz w:val="24"/>
          <w:szCs w:val="24"/>
          <w:lang w:val="hy-AM"/>
        </w:rPr>
        <w:lastRenderedPageBreak/>
        <w:t>դատարանների կողմից բացահայտված` մարդու իրավունքների խախտումների մասին օրենսգրքում ուղղակիորեն նշելը, եթե դատավորի գործողությունները կարող են դիտարկվել որպես դիտավորությամբ կամ կոպիտ անփութությամբ կատարված խախտումներ</w:t>
      </w:r>
      <w:r w:rsidRPr="00D3377C">
        <w:rPr>
          <w:rStyle w:val="FootnoteReference"/>
          <w:rFonts w:ascii="GHEA Grapalat" w:hAnsi="GHEA Grapalat"/>
          <w:lang w:val="hy-AM"/>
        </w:rPr>
        <w:footnoteReference w:id="15"/>
      </w:r>
      <w:r w:rsidRPr="00D3377C">
        <w:rPr>
          <w:rFonts w:ascii="GHEA Grapalat" w:hAnsi="GHEA Grapalat"/>
          <w:sz w:val="24"/>
          <w:szCs w:val="24"/>
          <w:lang w:val="hy-AM"/>
        </w:rPr>
        <w:t xml:space="preserve">: </w:t>
      </w:r>
    </w:p>
    <w:p w:rsidR="006235C6" w:rsidRPr="00D3377C" w:rsidRDefault="006235C6" w:rsidP="006235C6">
      <w:pPr>
        <w:spacing w:line="360" w:lineRule="auto"/>
        <w:ind w:firstLine="567"/>
        <w:jc w:val="both"/>
        <w:rPr>
          <w:rFonts w:ascii="GHEA Grapalat" w:hAnsi="GHEA Grapalat"/>
          <w:lang w:val="hy-AM"/>
        </w:rPr>
      </w:pPr>
      <w:r w:rsidRPr="00D3377C">
        <w:rPr>
          <w:rFonts w:ascii="GHEA Grapalat" w:hAnsi="GHEA Grapalat"/>
          <w:lang w:val="hy-AM"/>
        </w:rPr>
        <w:t>Եթե նույնիսկ առաջարկվող կարգավորումը դիտարկենք օրենքի հետադարձ ուժի տեսանկյունից, ապա հարկ է նշել հետևյալը:</w:t>
      </w:r>
    </w:p>
    <w:p w:rsidR="006235C6" w:rsidRPr="00D3377C" w:rsidRDefault="006235C6" w:rsidP="006235C6">
      <w:pPr>
        <w:spacing w:line="360" w:lineRule="auto"/>
        <w:ind w:firstLine="567"/>
        <w:jc w:val="both"/>
        <w:rPr>
          <w:rFonts w:ascii="GHEA Grapalat" w:hAnsi="GHEA Grapalat"/>
          <w:lang w:val="hy-AM"/>
        </w:rPr>
      </w:pPr>
      <w:r w:rsidRPr="00D3377C">
        <w:rPr>
          <w:rFonts w:ascii="GHEA Grapalat" w:hAnsi="GHEA Grapalat"/>
          <w:lang w:val="hy-AM"/>
        </w:rPr>
        <w:t>Հետադարձության արգելքի պահանջը խստորեն պահպանելը վերաբերում է քրեական օրենքին, մինչդեռ պրակտիկան ցույց է տալիս, որ իրավունքի մնացած ճյուղերը չեն բացառում այդ արգելքի շրջանցումը՝ պայմանավորված որոշակի հանգամանքներով: Հիմնականում նման անհրաժեշտություն է առաջանում պետական քաղաքականության իրավաչափ նպատակներից ելնելով</w:t>
      </w:r>
      <w:r w:rsidRPr="00D3377C">
        <w:rPr>
          <w:rStyle w:val="FootnoteReference"/>
          <w:rFonts w:ascii="GHEA Grapalat" w:hAnsi="GHEA Grapalat"/>
          <w:lang w:val="ru-RU"/>
        </w:rPr>
        <w:footnoteReference w:id="16"/>
      </w:r>
      <w:r w:rsidRPr="00D3377C">
        <w:rPr>
          <w:rFonts w:ascii="GHEA Grapalat" w:hAnsi="GHEA Grapalat"/>
          <w:lang w:val="hy-AM"/>
        </w:rPr>
        <w:t>:</w:t>
      </w:r>
    </w:p>
    <w:p w:rsidR="006235C6" w:rsidRPr="00D3377C" w:rsidRDefault="006235C6" w:rsidP="006235C6">
      <w:pPr>
        <w:spacing w:line="360" w:lineRule="auto"/>
        <w:ind w:firstLine="567"/>
        <w:jc w:val="both"/>
        <w:rPr>
          <w:rFonts w:ascii="GHEA Grapalat" w:hAnsi="GHEA Grapalat"/>
          <w:lang w:val="hy-AM"/>
        </w:rPr>
      </w:pPr>
      <w:r w:rsidRPr="00D3377C">
        <w:rPr>
          <w:rFonts w:ascii="GHEA Grapalat" w:hAnsi="GHEA Grapalat"/>
          <w:lang w:val="hy-AM"/>
        </w:rPr>
        <w:t>Այսպես, միջազգային դատական պրակտիկայում առանձնացվել են որոշակի չափանիշներ, որոնց առկայությունը թույլ է տալիս օրենքի այս կամ այն կարգավորմանը հաղորդել հետադարձություն:</w:t>
      </w:r>
    </w:p>
    <w:p w:rsidR="006235C6" w:rsidRPr="00D3377C" w:rsidRDefault="006235C6" w:rsidP="006235C6">
      <w:pPr>
        <w:spacing w:line="360" w:lineRule="auto"/>
        <w:ind w:firstLine="567"/>
        <w:jc w:val="both"/>
        <w:rPr>
          <w:rFonts w:ascii="GHEA Grapalat" w:hAnsi="GHEA Grapalat"/>
          <w:lang w:val="hy-AM"/>
        </w:rPr>
      </w:pPr>
      <w:r w:rsidRPr="00D3377C">
        <w:rPr>
          <w:rFonts w:ascii="GHEA Grapalat" w:hAnsi="GHEA Grapalat"/>
          <w:lang w:val="hy-AM"/>
        </w:rPr>
        <w:t>Ամերիկյան դատական պրակտիկայում գործերից մեկով մատնանշվել է, որ հետադարձությունն ընդունելի է, եթե միտված է օրենսդրի իրավաչափ նպատակների իրականացմանը</w:t>
      </w:r>
      <w:r w:rsidRPr="00D3377C">
        <w:rPr>
          <w:rStyle w:val="FootnoteReference"/>
          <w:rFonts w:ascii="GHEA Grapalat" w:hAnsi="GHEA Grapalat"/>
          <w:lang w:val="en-GB"/>
        </w:rPr>
        <w:footnoteReference w:id="17"/>
      </w:r>
      <w:r w:rsidRPr="00D3377C">
        <w:rPr>
          <w:rFonts w:ascii="GHEA Grapalat" w:hAnsi="GHEA Grapalat"/>
          <w:lang w:val="hy-AM"/>
        </w:rPr>
        <w:t>:</w:t>
      </w:r>
    </w:p>
    <w:p w:rsidR="006235C6" w:rsidRPr="00D3377C" w:rsidRDefault="006235C6" w:rsidP="006235C6">
      <w:pPr>
        <w:spacing w:line="360" w:lineRule="auto"/>
        <w:ind w:firstLine="567"/>
        <w:jc w:val="both"/>
        <w:rPr>
          <w:rFonts w:ascii="GHEA Grapalat" w:hAnsi="GHEA Grapalat"/>
          <w:lang w:val="hy-AM"/>
        </w:rPr>
      </w:pPr>
      <w:r w:rsidRPr="00D3377C">
        <w:rPr>
          <w:rFonts w:ascii="GHEA Grapalat" w:hAnsi="GHEA Grapalat"/>
          <w:lang w:val="hy-AM"/>
        </w:rPr>
        <w:t>Անգլիական դատական պրակտիկայում</w:t>
      </w:r>
      <w:r w:rsidRPr="00D3377C">
        <w:rPr>
          <w:rStyle w:val="FootnoteReference"/>
          <w:rFonts w:ascii="GHEA Grapalat" w:hAnsi="GHEA Grapalat"/>
          <w:lang w:val="en-GB"/>
        </w:rPr>
        <w:footnoteReference w:id="18"/>
      </w:r>
      <w:r w:rsidRPr="00D3377C">
        <w:rPr>
          <w:rFonts w:ascii="GHEA Grapalat" w:hAnsi="GHEA Grapalat"/>
          <w:lang w:val="hy-AM"/>
        </w:rPr>
        <w:t>, ինչպես նաև ՄԻԵԴ նախադեպային իրավունքում</w:t>
      </w:r>
      <w:r w:rsidRPr="00D3377C">
        <w:rPr>
          <w:rStyle w:val="FootnoteReference"/>
          <w:rFonts w:ascii="GHEA Grapalat" w:hAnsi="GHEA Grapalat"/>
        </w:rPr>
        <w:footnoteReference w:id="19"/>
      </w:r>
      <w:r w:rsidRPr="00D3377C">
        <w:rPr>
          <w:rFonts w:ascii="GHEA Grapalat" w:hAnsi="GHEA Grapalat"/>
          <w:lang w:val="hy-AM"/>
        </w:rPr>
        <w:t xml:space="preserve"> հետադարձությունն իրավաչափ և արդարացված դիտելու համար կարևոր չափանիշ է համարվում հանրային շահի առկայությունը:</w:t>
      </w:r>
    </w:p>
    <w:p w:rsidR="006235C6" w:rsidRPr="00D3377C" w:rsidRDefault="006235C6" w:rsidP="006235C6">
      <w:pPr>
        <w:spacing w:line="360" w:lineRule="auto"/>
        <w:ind w:firstLine="567"/>
        <w:jc w:val="both"/>
        <w:rPr>
          <w:rFonts w:ascii="GHEA Grapalat" w:hAnsi="GHEA Grapalat"/>
          <w:lang w:val="hy-AM"/>
        </w:rPr>
      </w:pPr>
      <w:r w:rsidRPr="00D3377C">
        <w:rPr>
          <w:rFonts w:ascii="GHEA Grapalat" w:hAnsi="GHEA Grapalat"/>
          <w:lang w:val="hy-AM"/>
        </w:rPr>
        <w:lastRenderedPageBreak/>
        <w:t>Բացի այդ, դատարանները կարևորում են նաև իրավահարաբերության սուբյեկտների մոտ վստահության շահի առկայությունն ու նախկինում տվյալ իրավահարաբերությունների կարգավորվածության հանգամանքը:</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ՄԻԵԴ-ը հետադարձ ուժի կիրառման հարցին անդրադարձ է կատարել նաև այլ պետություններում դատաիրավական բարեփոխումների շրջանակում իրականացվող կարգապահական գործընթացների համատեքստում: Այսպես, ՄԻԵԴ-ը թիվ 15227/19 գանգատի</w:t>
      </w:r>
      <w:r w:rsidRPr="00D3377C">
        <w:rPr>
          <w:rStyle w:val="FootnoteReference"/>
          <w:rFonts w:ascii="GHEA Grapalat" w:eastAsia="Calibri" w:hAnsi="GHEA Grapalat"/>
          <w:bCs/>
          <w:lang w:val="hy-AM"/>
        </w:rPr>
        <w:footnoteReference w:id="20"/>
      </w:r>
      <w:r w:rsidRPr="00D3377C">
        <w:rPr>
          <w:rFonts w:ascii="GHEA Grapalat" w:eastAsia="Calibri" w:hAnsi="GHEA Grapalat"/>
          <w:bCs/>
          <w:lang w:val="hy-AM"/>
        </w:rPr>
        <w:t xml:space="preserve"> շրջանակներում, անդրադառնալով դատավորների նախկինում կուտակված գույքի ուսումնասիրությանը, նշել է, որ դատավորի մասնագիտական կյանքի ընթացքում կուտակված անձնական կամ ընտանեկան ունեցվածքի գնահատման գործընթացը (…) չի հակասում ՄԻԵԿ 6-րդ հոդվածի 1-ին մասի կարգավորումներին, իրավական որոշակիության սկզբունքի ենթադրյալ խախտման տեսանկյունից: Այս վերջին գործով ՄԻԵԴ-ը գտել է, որ «վաղեմության ժամկետները ծառայում են իրավական որոշակիության ապահովմանը և անարդարության կանխմանը, որը կարող է առաջանալ, եթե դատարաններից պահանջվի որոշում կայացնել հեռավոր անցյալում տեղի ունեցած իրադարձությունների վերաբերյալ այնպիսի ապացույցների հիման վրա, որոնք կարող էին անարժանահավատ դառնալ ժամանակի ընթացքում: Այնուամենայնիվ, հաշվի առնելով, որ անձնական կամ ընտանեկան ակտիվները սովորաբար կուտակվում են կյանքի ընթացքում, դրանց գնահատման խիստ ժամանակային սահմանները կսահմանափակեին ձեռք բերված ակտիվների օրինականությունը գնահատելու իշխանությունների կարողությունը»</w:t>
      </w:r>
      <w:r w:rsidRPr="00D3377C">
        <w:rPr>
          <w:rStyle w:val="FootnoteReference"/>
          <w:rFonts w:ascii="GHEA Grapalat" w:eastAsia="Calibri" w:hAnsi="GHEA Grapalat"/>
          <w:bCs/>
          <w:lang w:val="hy-AM"/>
        </w:rPr>
        <w:footnoteReference w:id="21"/>
      </w:r>
      <w:r w:rsidRPr="00D3377C">
        <w:rPr>
          <w:rFonts w:ascii="GHEA Grapalat" w:eastAsia="Calibri" w:hAnsi="GHEA Grapalat"/>
          <w:bCs/>
          <w:lang w:val="hy-AM"/>
        </w:rPr>
        <w:t xml:space="preserve">: Շարունակելով, դատարանը նշում է, որ սա պահանջում է ավելի մեծ ճկունություն տրամադրել պետությանը՝ վաղեմության ժամկետների առումով՝ արդարադատության համակարգի նկատմամբ հանրային վստահության վերականգնման և ամրապնդման </w:t>
      </w:r>
      <w:r w:rsidRPr="00D3377C">
        <w:rPr>
          <w:rFonts w:ascii="GHEA Grapalat" w:eastAsia="Calibri" w:hAnsi="GHEA Grapalat"/>
          <w:bCs/>
          <w:lang w:val="hy-AM"/>
        </w:rPr>
        <w:lastRenderedPageBreak/>
        <w:t>նպատակին համահունչ, հատկապես, այն համատեքստում, երբ հայտարարագրերի ստուգման գործընթացը նախկինում առանձնապես արդյունավետ չի եղել</w:t>
      </w:r>
      <w:r w:rsidRPr="00D3377C">
        <w:rPr>
          <w:rStyle w:val="FootnoteReference"/>
          <w:rFonts w:ascii="GHEA Grapalat" w:eastAsia="Calibri" w:hAnsi="GHEA Grapalat"/>
          <w:bCs/>
          <w:lang w:val="hy-AM"/>
        </w:rPr>
        <w:footnoteReference w:id="22"/>
      </w:r>
      <w:r w:rsidRPr="00D3377C">
        <w:rPr>
          <w:rFonts w:ascii="GHEA Grapalat" w:eastAsia="Calibri" w:hAnsi="GHEA Grapalat"/>
          <w:bCs/>
          <w:lang w:val="hy-AM"/>
        </w:rPr>
        <w:t>:</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Վերացարկվելով գործի փաստական հանգամանքներից` կարող ենք նշել, որ ՄԻԵԴ-ն այս գործով կարևորել է հետևյալը`</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 խիստ վաղեմության ժամկետները կարող են սահմանափակել պետության հնարավորությունը` գնահատելու վարքագծի իրավաչափությունը.</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 վաղեմության ժամկետների առումով ճկունությունը ուղղված է արդարադատության համակարգի հանդեպ հանրային վստահության բարձրացման նպատակի ապահովմանը.</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 նախկին մեխանիզմների ոչ արդյունավետ լինելը գալիս է հիմնավորելու նոր կառուցակարգի ճշմարտացի լինելը:</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Այս համատեքստում նախագծով առաջարկվող կարգավորումը, բնականաբար, պայմանավորված է ոչ թե նույն, այլ համանման իրավիճակով: Մասնավորապես,</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 ՄԻԵԴ վճիռների առումով մինչև 15 տարվա վաղեմության ժամկետ չսահմանելը, ինչպես արդեն նշվեց, հնարավորություն չի տալիս հասնել այն նպատակին, որը դրված է առաջարկվող կարգավորումների հիմքում, այն է` հնարավորություն տալ դատական համակարգին գնահատել իր դատավորների գործունեության իրավաչափությունը.</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 այս կարգավորման գերնպատակն է բարձրացնել արդարադատության համակարգի հանդեպ հանրային վստահությունը.</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 նախկինում կայացված ՄԻԵԴ վճիռներին չանդրադառնալով` բաց է թողնվում դրանց հետևանքներին գնահատական տալու հնարավորությունը, քանի որ նախկինում առկա չեն եղել արդյունավետ մեխանիզմներ այդ հիմքով դատավորների նկատմամբ բացասական հետևանքներ կիրառելու համար:</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lastRenderedPageBreak/>
        <w:t>Ինչ վերաբերում է հարցի կապակցությամբ ՄԻԵԴ այլ վճիռներին, ապա ՄԻԵԴ-ը մի շարք գործերով խնդրահարույց է համարել օրենքի հետադարձ ուժի կիրառությունը այն դեպքերում, երբ խոսքը, սակայն, գնում էր պետության մասնակցությամբ դեռևս ընթացող վեճի կամ իրավական գործընթացների վրա օրենքի կիրառությունը տարածելուն, որը ազդեցություն էր ունենալու նման գործընթացի դատական կարգով լուծման վրա</w:t>
      </w:r>
      <w:r w:rsidRPr="00D3377C">
        <w:rPr>
          <w:rStyle w:val="FootnoteReference"/>
          <w:rFonts w:ascii="GHEA Grapalat" w:eastAsia="Calibri" w:hAnsi="GHEA Grapalat"/>
          <w:bCs/>
          <w:lang w:val="hy-AM"/>
        </w:rPr>
        <w:footnoteReference w:id="23"/>
      </w:r>
      <w:r w:rsidRPr="00D3377C">
        <w:rPr>
          <w:rFonts w:ascii="GHEA Grapalat" w:eastAsia="Calibri" w:hAnsi="GHEA Grapalat"/>
          <w:bCs/>
          <w:lang w:val="hy-AM"/>
        </w:rPr>
        <w:t>: Այնինչ առաջարկվող կարգավորման դեպքում խոսքը գնում է արդեն իսկ ավարտված դատական գործերի մասին, որոնցով առկա է վերջնական դատական ակտ և որի շրջանակներում թույլ տրված խախտումներին անդրադարձ է կատարվում միջազգային դատարանի ակտով: Այս կապակցությամբ ՄԻԵԴ-ը իր մյուս գործերով օրենքի հետադարձության հետ կապված պետության գործողությունները ընդունելի է համարել` հիմք ընդունելով հանրային շահով պայմանավորված ծանրակշիռ դրդապատճառները</w:t>
      </w:r>
      <w:r w:rsidRPr="00D3377C">
        <w:rPr>
          <w:rStyle w:val="FootnoteReference"/>
          <w:rFonts w:ascii="GHEA Grapalat" w:eastAsia="Calibri" w:hAnsi="GHEA Grapalat"/>
          <w:bCs/>
          <w:lang w:val="hy-AM"/>
        </w:rPr>
        <w:footnoteReference w:id="24"/>
      </w:r>
      <w:r w:rsidRPr="00D3377C">
        <w:rPr>
          <w:rFonts w:ascii="GHEA Grapalat" w:eastAsia="Calibri" w:hAnsi="GHEA Grapalat"/>
          <w:bCs/>
          <w:lang w:val="hy-AM"/>
        </w:rPr>
        <w:t>։</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Հարկ է նաև նկատի ունենալ, որ չնայած Վենետիկի հանձնաժողովը իր նախկին կարծիքում, որը տրամադրվել էր Դատական օրենսգրքի 2020թ. փոփոխությունների նախագծի վերաբերյալ, նշել էր որոշ կարգավորումներին հետադարձ ուժ չտալու անհրաժեշտության մասին</w:t>
      </w:r>
      <w:r w:rsidRPr="00D3377C">
        <w:rPr>
          <w:rStyle w:val="FootnoteReference"/>
          <w:rFonts w:ascii="GHEA Grapalat" w:eastAsia="Calibri" w:hAnsi="GHEA Grapalat"/>
          <w:bCs/>
          <w:lang w:val="hy-AM"/>
        </w:rPr>
        <w:footnoteReference w:id="25"/>
      </w:r>
      <w:r w:rsidRPr="00D3377C">
        <w:rPr>
          <w:rFonts w:ascii="GHEA Grapalat" w:eastAsia="Calibri" w:hAnsi="GHEA Grapalat"/>
          <w:bCs/>
          <w:lang w:val="hy-AM"/>
        </w:rPr>
        <w:t>, սակայն խոսքը այդ դեպքում վերաբերում էր դատավորի վարքագծի նոր կանոններին, նոր պարտականություններին` կապված գույքային դրությունը բացահայտելու հետ, այնինչ այս դեպքում գործ չունենք նման իրավիճակների հետ:</w:t>
      </w:r>
    </w:p>
    <w:p w:rsidR="006235C6" w:rsidRPr="00C62552" w:rsidRDefault="006235C6" w:rsidP="006235C6">
      <w:pPr>
        <w:spacing w:line="360" w:lineRule="auto"/>
        <w:ind w:firstLine="567"/>
        <w:jc w:val="both"/>
        <w:rPr>
          <w:rFonts w:ascii="GHEA Grapalat" w:hAnsi="GHEA Grapalat"/>
          <w:lang w:val="hy-AM"/>
        </w:rPr>
      </w:pPr>
      <w:r w:rsidRPr="00D3377C">
        <w:rPr>
          <w:rFonts w:ascii="GHEA Grapalat" w:eastAsia="Calibri" w:hAnsi="GHEA Grapalat"/>
          <w:bCs/>
          <w:lang w:val="hy-AM"/>
        </w:rPr>
        <w:lastRenderedPageBreak/>
        <w:t>Ամեն դեպքում, Վենետիկի հանձնաժողովը, օրենքի նախագծի նախնական տարբերակի վերաբերյալ տրամադրած իր կարծիքում, հղում անելով «Իրավունքի գերակայության ստուգաթերթին» (Rule of law chechlist), իրավունքի գերակայության գնահատման չափորոշիչների տեսանկյունից նշում է, որ քրեական ոլորտից դուրս, անձանց իրավունքների հետադարձ սահմանափակումը կամ նոր պարտականությունների նախատեսումը կարող է լինել թույլատրելի, բայց միայն եթե դա բխում է հանրային շահից և համապատասխանում է համաչափության սկզբունքին</w:t>
      </w:r>
      <w:r w:rsidRPr="00D3377C">
        <w:rPr>
          <w:rStyle w:val="FootnoteReference"/>
          <w:rFonts w:ascii="GHEA Grapalat" w:eastAsia="Calibri" w:hAnsi="GHEA Grapalat"/>
          <w:bCs/>
          <w:lang w:val="hy-AM"/>
        </w:rPr>
        <w:footnoteReference w:id="26"/>
      </w:r>
      <w:r w:rsidRPr="00D3377C">
        <w:rPr>
          <w:rFonts w:ascii="GHEA Grapalat" w:eastAsia="Calibri" w:hAnsi="GHEA Grapalat"/>
          <w:bCs/>
          <w:lang w:val="hy-AM"/>
        </w:rPr>
        <w:t>: Շարունակելով, Վենետիկի հանձնաժողովը նշում է, որ</w:t>
      </w:r>
      <w:r w:rsidRPr="00D3377C">
        <w:rPr>
          <w:rFonts w:ascii="GHEA Grapalat" w:hAnsi="GHEA Grapalat"/>
          <w:lang w:val="hy-AM"/>
        </w:rPr>
        <w:t xml:space="preserve"> հետադարձության հարցը, ըստ էության, չի հանդիսանում </w:t>
      </w:r>
      <w:r w:rsidRPr="00D3377C">
        <w:rPr>
          <w:rFonts w:ascii="GHEA Grapalat" w:eastAsia="Calibri" w:hAnsi="GHEA Grapalat"/>
          <w:bCs/>
          <w:lang w:val="hy-AM"/>
        </w:rPr>
        <w:t>եվրոպական չափանիշների խախտում, սակայն անհրաժեշտ է հիմնավորել «ընդհանուր շահերի անհերքելի հիմքերի» կամ «հանրային շահի նկատառումների» և կանխատեսելիության չափանիշի առկայությունը</w:t>
      </w:r>
      <w:r w:rsidRPr="00D3377C">
        <w:rPr>
          <w:rStyle w:val="FootnoteReference"/>
          <w:rFonts w:ascii="GHEA Grapalat" w:eastAsia="Calibri" w:hAnsi="GHEA Grapalat"/>
          <w:bCs/>
          <w:lang w:val="hy-AM"/>
        </w:rPr>
        <w:footnoteReference w:id="27"/>
      </w:r>
      <w:r w:rsidRPr="00D3377C">
        <w:rPr>
          <w:rFonts w:ascii="GHEA Grapalat" w:eastAsia="Calibri" w:hAnsi="GHEA Grapalat"/>
          <w:bCs/>
          <w:lang w:val="hy-AM"/>
        </w:rPr>
        <w:t>: Դրանով իսկ Վենետիկի հանձնաժողովը, փաստորեն, հաստատել է, որ բացառիկ դեպքերում՝ հանրային շահով պայմանավորված հետադարձությունը կարող է համարվել թույլատրելի: Այս առնչությամբ կանխատեսելիության չափանիշին անդրադարձ է կատարվել վերևում: Ինչ վերաբերում է հանրային շահերի առկայության չափանիշին, ապա առաջարկվող կարգավորմամբ սահմանվել է խիստ բարձր նշաձող, ի տարբերություն էական կարգապահական խախտման մյուս դեպքերում կարգապահական տույժ կիրառելու հնարավորության</w:t>
      </w:r>
      <w:r w:rsidRPr="00773D84">
        <w:rPr>
          <w:rFonts w:ascii="GHEA Grapalat" w:eastAsia="Calibri" w:hAnsi="GHEA Grapalat"/>
          <w:bCs/>
          <w:lang w:val="hy-AM"/>
        </w:rPr>
        <w:t xml:space="preserve">: Մասնավորապես, </w:t>
      </w:r>
      <w:r w:rsidRPr="00773D84">
        <w:rPr>
          <w:rFonts w:ascii="GHEA Grapalat" w:hAnsi="GHEA Grapalat"/>
          <w:lang w:val="hy-AM"/>
        </w:rPr>
        <w:t>առաջարկվող հիմքով լիազորությունների դադարեցում կարգապահական տույժը հնարավոր է լինելու կիրառել, եթե հիմնավորվի, որ դա ակնհայտորեն պայմանավորված է դատական իշխանության անկախության և անաչառության ապահովման, դատական իշխանության հեղինակությունը բարձր պահելու, դատական իշխանության անկախության և անաչառության վերաբերյալ հանրության վստահության և իրավունքի գերակայության ապահովման հանրային շահերով:</w:t>
      </w:r>
    </w:p>
    <w:p w:rsidR="006235C6" w:rsidRPr="00C62552" w:rsidRDefault="006235C6" w:rsidP="006235C6">
      <w:pPr>
        <w:spacing w:line="360" w:lineRule="auto"/>
        <w:jc w:val="both"/>
        <w:rPr>
          <w:rFonts w:ascii="GHEA Grapalat" w:eastAsia="Calibri" w:hAnsi="GHEA Grapalat"/>
          <w:bCs/>
          <w:lang w:val="hy-AM"/>
        </w:rPr>
      </w:pPr>
      <w:r w:rsidRPr="00C62552">
        <w:rPr>
          <w:rFonts w:ascii="GHEA Grapalat" w:eastAsia="Calibri" w:hAnsi="GHEA Grapalat"/>
          <w:bCs/>
          <w:lang w:val="hy-AM"/>
        </w:rPr>
        <w:lastRenderedPageBreak/>
        <w:tab/>
        <w:t>3.</w:t>
      </w:r>
      <w:r>
        <w:rPr>
          <w:rFonts w:ascii="GHEA Grapalat" w:eastAsia="Calibri" w:hAnsi="GHEA Grapalat"/>
          <w:bCs/>
          <w:lang w:val="hy-AM"/>
        </w:rPr>
        <w:t xml:space="preserve"> </w:t>
      </w:r>
      <w:r w:rsidRPr="00C62552">
        <w:rPr>
          <w:rFonts w:ascii="GHEA Grapalat" w:eastAsia="Calibri" w:hAnsi="GHEA Grapalat"/>
          <w:bCs/>
          <w:lang w:val="hy-AM"/>
        </w:rPr>
        <w:t>Հիմք ընդունելով Վենետիկի հանձնաժողովի կարծիքն առ այն, որ Դատական օրենսգրքում օգտագործվող «այլ միջազգային ատյան» հասկացությունը խնդրահարույց է, նախագծով Դատական օրենսգրքից այս ձևակերպումը հանվել է</w:t>
      </w:r>
      <w:r>
        <w:rPr>
          <w:rStyle w:val="FootnoteReference"/>
          <w:rFonts w:ascii="GHEA Grapalat" w:eastAsia="Calibri" w:hAnsi="GHEA Grapalat"/>
          <w:bCs/>
        </w:rPr>
        <w:footnoteReference w:id="28"/>
      </w:r>
      <w:r w:rsidRPr="00C62552">
        <w:rPr>
          <w:rFonts w:ascii="GHEA Grapalat" w:eastAsia="Calibri" w:hAnsi="GHEA Grapalat"/>
          <w:bCs/>
          <w:lang w:val="hy-AM"/>
        </w:rPr>
        <w:t>:</w:t>
      </w:r>
    </w:p>
    <w:p w:rsidR="006235C6" w:rsidRPr="00D3377C" w:rsidRDefault="006235C6" w:rsidP="006235C6">
      <w:pPr>
        <w:spacing w:line="360" w:lineRule="auto"/>
        <w:jc w:val="both"/>
        <w:rPr>
          <w:rFonts w:ascii="GHEA Grapalat" w:hAnsi="GHEA Grapalat"/>
          <w:color w:val="FF0000"/>
          <w:lang w:val="hy-AM"/>
        </w:rPr>
      </w:pPr>
    </w:p>
    <w:p w:rsidR="006235C6" w:rsidRPr="00D3377C" w:rsidRDefault="006235C6" w:rsidP="006235C6">
      <w:pPr>
        <w:spacing w:line="360" w:lineRule="auto"/>
        <w:ind w:firstLine="567"/>
        <w:jc w:val="both"/>
        <w:rPr>
          <w:rFonts w:ascii="GHEA Grapalat" w:eastAsia="Calibri" w:hAnsi="GHEA Grapalat"/>
          <w:b/>
          <w:lang w:val="hy-AM"/>
        </w:rPr>
      </w:pPr>
      <w:r w:rsidRPr="00D3377C">
        <w:rPr>
          <w:rFonts w:ascii="GHEA Grapalat" w:eastAsia="Calibri" w:hAnsi="GHEA Grapalat"/>
          <w:b/>
          <w:lang w:val="hy-AM"/>
        </w:rPr>
        <w:t>Նախագծերի մշակման ընթացքում ներգրավված ինստիտուտները և անձինք.</w:t>
      </w:r>
    </w:p>
    <w:p w:rsidR="006235C6" w:rsidRPr="00D3377C" w:rsidRDefault="006235C6" w:rsidP="006235C6">
      <w:pPr>
        <w:spacing w:line="360" w:lineRule="auto"/>
        <w:ind w:firstLine="567"/>
        <w:jc w:val="both"/>
        <w:rPr>
          <w:rFonts w:ascii="GHEA Grapalat" w:eastAsia="Calibri" w:hAnsi="GHEA Grapalat"/>
          <w:bCs/>
          <w:lang w:val="hy-AM"/>
        </w:rPr>
      </w:pPr>
      <w:r w:rsidRPr="00D3377C">
        <w:rPr>
          <w:rFonts w:ascii="GHEA Grapalat" w:eastAsia="Calibri" w:hAnsi="GHEA Grapalat"/>
          <w:bCs/>
          <w:lang w:val="hy-AM"/>
        </w:rPr>
        <w:t>Նախագծերը մշակվել են Հայաստանի Հանրապետության արդարադատության նախարարության կողմից:</w:t>
      </w:r>
    </w:p>
    <w:p w:rsidR="006235C6" w:rsidRPr="00D3377C" w:rsidRDefault="006235C6" w:rsidP="006235C6">
      <w:pPr>
        <w:spacing w:line="360" w:lineRule="auto"/>
        <w:jc w:val="both"/>
        <w:rPr>
          <w:rFonts w:ascii="GHEA Grapalat" w:hAnsi="GHEA Grapalat"/>
          <w:color w:val="FF0000"/>
          <w:lang w:val="hy-AM"/>
        </w:rPr>
      </w:pPr>
    </w:p>
    <w:p w:rsidR="006235C6" w:rsidRPr="00D3377C" w:rsidRDefault="006235C6" w:rsidP="006235C6">
      <w:pPr>
        <w:spacing w:line="360" w:lineRule="auto"/>
        <w:ind w:firstLine="567"/>
        <w:contextualSpacing/>
        <w:jc w:val="both"/>
        <w:rPr>
          <w:rFonts w:ascii="GHEA Grapalat" w:hAnsi="GHEA Grapalat"/>
          <w:b/>
          <w:bCs/>
          <w:lang w:val="hy-AM"/>
        </w:rPr>
      </w:pPr>
      <w:r w:rsidRPr="00D3377C">
        <w:rPr>
          <w:rFonts w:ascii="GHEA Grapalat" w:hAnsi="GHEA Grapalat"/>
          <w:b/>
          <w:bCs/>
          <w:lang w:val="hy-AM"/>
        </w:rPr>
        <w:t>Կապը ռազմավարական փաստաթղթերի հետ. Հայաստանի վերափոխման ռազմավարություն 2050, Կառավարության 2021-2026թթ. ծրագիր, Հայաստանի Հանրապետության դատական-իրավական բարեփոխումների 2019-2023թթ. ռազմավարություն և դրանից բխող գործողությունների ծրագիր.</w:t>
      </w:r>
    </w:p>
    <w:p w:rsidR="006235C6" w:rsidRPr="00D3377C" w:rsidRDefault="006235C6" w:rsidP="006235C6">
      <w:pPr>
        <w:spacing w:line="360" w:lineRule="auto"/>
        <w:ind w:firstLine="567"/>
        <w:contextualSpacing/>
        <w:jc w:val="both"/>
        <w:rPr>
          <w:rFonts w:ascii="GHEA Grapalat" w:hAnsi="GHEA Grapalat"/>
          <w:lang w:val="hy-AM"/>
        </w:rPr>
      </w:pPr>
      <w:r w:rsidRPr="00D3377C">
        <w:rPr>
          <w:rFonts w:ascii="GHEA Grapalat" w:hAnsi="GHEA Grapalat"/>
          <w:lang w:val="hy-AM"/>
        </w:rPr>
        <w:t xml:space="preserve">Կառավարության 2021-2026թթ. ծրագրի 5.1 բաժնում սահմանված է, որ դատաիրավական բարեփոխումների օրակարգը նախևառաջ պետք է շարունակի միտված լինել դատավորների բարեվարքության ամրապնդմանը՝ նպատակ ունենալով շարունակաբար դատական համակարգ ներգրավել նոր արհեստավարժ կադրեր, որպես վերջնարդյունք ունենալով դատական համակարգի նկատմամբ հանրության վստահության բարձրացման ու ամրապնդման, անկախ, անաչառ և հանրության առջև հաշվետու դատական համակարգի կայացման թիրախը: Հայաստանի Հանրապետության կառավարության 2019 թվականի հոկտեմբերի 10-ի «Հայաստանի Հանրապետության դատական և իրավական բարեփոխումների 2019-2023 թվականների ռազմավարությունը և դրանից բխող գործողությունների ծրագրերը հաստատելու մասին» N 1441-Ն որոշման Հավելվածով 2-ով սահմանվել է միջոցառում՝ ուղղված դատավորներին կարգապահական պատասխանատվության </w:t>
      </w:r>
      <w:r w:rsidRPr="00D3377C">
        <w:rPr>
          <w:rFonts w:ascii="GHEA Grapalat" w:hAnsi="GHEA Grapalat"/>
          <w:lang w:val="hy-AM"/>
        </w:rPr>
        <w:lastRenderedPageBreak/>
        <w:t>ենթարկելու միջազգային չափանիշներին համապատասխան հիմքերի և ընթացակարգերի ներդրմանը:</w:t>
      </w:r>
    </w:p>
    <w:p w:rsidR="006235C6" w:rsidRPr="00D3377C" w:rsidRDefault="006235C6" w:rsidP="006235C6">
      <w:pPr>
        <w:spacing w:line="360" w:lineRule="auto"/>
        <w:jc w:val="both"/>
        <w:rPr>
          <w:rFonts w:ascii="GHEA Grapalat" w:hAnsi="GHEA Grapalat"/>
          <w:color w:val="FF0000"/>
          <w:lang w:val="hy-AM"/>
        </w:rPr>
      </w:pPr>
    </w:p>
    <w:p w:rsidR="006235C6" w:rsidRPr="00D3377C" w:rsidRDefault="006235C6" w:rsidP="006235C6">
      <w:pPr>
        <w:spacing w:line="360" w:lineRule="auto"/>
        <w:ind w:firstLine="567"/>
        <w:jc w:val="both"/>
        <w:rPr>
          <w:rFonts w:ascii="GHEA Grapalat" w:eastAsia="Calibri" w:hAnsi="GHEA Grapalat"/>
          <w:b/>
          <w:bCs/>
          <w:iCs/>
          <w:lang w:val="hy-AM"/>
        </w:rPr>
      </w:pPr>
      <w:r w:rsidRPr="00D3377C">
        <w:rPr>
          <w:rFonts w:ascii="GHEA Grapalat" w:eastAsia="Calibri" w:hAnsi="GHEA Grapalat"/>
          <w:b/>
          <w:bCs/>
          <w:lang w:val="hy-AM"/>
        </w:rPr>
        <w:t>Նախագծերի ընդունման կապակցությամբ ֆինանսական միջոցների անհրաժեշտության և պետական բյուջեի եկամուտներում և ծախսերում սպասվելիք փոփոխությունների մասին</w:t>
      </w:r>
      <w:r w:rsidRPr="00D3377C">
        <w:rPr>
          <w:rFonts w:ascii="GHEA Grapalat" w:eastAsia="Calibri" w:hAnsi="GHEA Grapalat"/>
          <w:b/>
          <w:bCs/>
          <w:iCs/>
          <w:lang w:val="hy-AM"/>
        </w:rPr>
        <w:t>.</w:t>
      </w:r>
    </w:p>
    <w:p w:rsidR="006235C6" w:rsidRPr="00D3377C" w:rsidRDefault="006235C6" w:rsidP="006235C6">
      <w:pPr>
        <w:spacing w:line="360" w:lineRule="auto"/>
        <w:ind w:firstLine="567"/>
        <w:jc w:val="both"/>
        <w:rPr>
          <w:rFonts w:ascii="GHEA Grapalat" w:eastAsia="Calibri" w:hAnsi="GHEA Grapalat"/>
          <w:bCs/>
          <w:iCs/>
          <w:lang w:val="hy-AM"/>
        </w:rPr>
      </w:pPr>
      <w:r w:rsidRPr="00D3377C">
        <w:rPr>
          <w:rFonts w:ascii="GHEA Grapalat" w:eastAsia="Calibri" w:hAnsi="GHEA Grapalat"/>
          <w:bCs/>
          <w:iCs/>
          <w:lang w:val="hy-AM"/>
        </w:rPr>
        <w:t>Նախագծերի ընդունմամբ Հայաստանի Հանրապետության պետական բյուջեի եկամուտներում և ծախսերում փոփոխություններ չեն ակնկալվում:</w:t>
      </w:r>
    </w:p>
    <w:p w:rsidR="006235C6" w:rsidRPr="00D3377C" w:rsidRDefault="006235C6" w:rsidP="006235C6">
      <w:pPr>
        <w:spacing w:line="360" w:lineRule="auto"/>
        <w:jc w:val="both"/>
        <w:rPr>
          <w:rFonts w:ascii="GHEA Grapalat" w:eastAsia="Calibri" w:hAnsi="GHEA Grapalat"/>
          <w:b/>
          <w:lang w:val="hy-AM"/>
        </w:rPr>
      </w:pPr>
    </w:p>
    <w:p w:rsidR="006235C6" w:rsidRPr="00D3377C" w:rsidRDefault="006235C6" w:rsidP="006235C6">
      <w:pPr>
        <w:spacing w:line="360" w:lineRule="auto"/>
        <w:ind w:firstLine="567"/>
        <w:jc w:val="both"/>
        <w:rPr>
          <w:rFonts w:ascii="GHEA Grapalat" w:eastAsia="Calibri" w:hAnsi="GHEA Grapalat"/>
          <w:b/>
          <w:lang w:val="hy-AM"/>
        </w:rPr>
      </w:pPr>
      <w:r w:rsidRPr="00D3377C">
        <w:rPr>
          <w:rFonts w:ascii="GHEA Grapalat" w:eastAsia="Calibri" w:hAnsi="GHEA Grapalat"/>
          <w:b/>
          <w:lang w:val="hy-AM"/>
        </w:rPr>
        <w:t>Ակնկալվող արդյունքը.</w:t>
      </w:r>
    </w:p>
    <w:p w:rsidR="006235C6" w:rsidRPr="00D3377C" w:rsidRDefault="006235C6" w:rsidP="006235C6">
      <w:pPr>
        <w:spacing w:line="360" w:lineRule="auto"/>
        <w:ind w:firstLine="567"/>
        <w:jc w:val="both"/>
        <w:rPr>
          <w:rFonts w:ascii="GHEA Grapalat" w:hAnsi="GHEA Grapalat"/>
          <w:color w:val="FF0000"/>
          <w:lang w:val="hy-AM"/>
        </w:rPr>
      </w:pPr>
      <w:r w:rsidRPr="00D3377C">
        <w:rPr>
          <w:rFonts w:ascii="GHEA Grapalat" w:hAnsi="GHEA Grapalat"/>
          <w:lang w:val="hy-AM"/>
        </w:rPr>
        <w:t>Նախագծի ընդունմամբ ակնկալվում է բարձրացնել դատական իշխանության հեղինակությունը, դատական իշխանության անկախության և անաչառության վերաբերյալ հանրության վստահությունը` մարդու իրավունքների և (կամ) ազատությունների հիմնարար խախտումների հանգեցրած դատավորներին կարգապահական պատասխանատվության ենթարկելու արդյունավետ մեխանիզմների ներդրմամբ:</w:t>
      </w:r>
    </w:p>
    <w:p w:rsidR="009E5A63" w:rsidRPr="00A26979" w:rsidRDefault="009E5A63">
      <w:pPr>
        <w:rPr>
          <w:lang w:val="ru-RU"/>
        </w:rPr>
      </w:pPr>
    </w:p>
    <w:sectPr w:rsidR="009E5A63" w:rsidRPr="00A26979" w:rsidSect="006F5D3C">
      <w:headerReference w:type="default" r:id="rId7"/>
      <w:pgSz w:w="12240" w:h="15840"/>
      <w:pgMar w:top="1440" w:right="135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B95" w:rsidRDefault="00754B95" w:rsidP="006235C6">
      <w:r>
        <w:separator/>
      </w:r>
    </w:p>
  </w:endnote>
  <w:endnote w:type="continuationSeparator" w:id="0">
    <w:p w:rsidR="00754B95" w:rsidRDefault="00754B95" w:rsidP="006235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B95" w:rsidRDefault="00754B95" w:rsidP="006235C6">
      <w:r>
        <w:separator/>
      </w:r>
    </w:p>
  </w:footnote>
  <w:footnote w:type="continuationSeparator" w:id="0">
    <w:p w:rsidR="00754B95" w:rsidRDefault="00754B95" w:rsidP="006235C6">
      <w:r>
        <w:continuationSeparator/>
      </w:r>
    </w:p>
  </w:footnote>
  <w:footnote w:id="1">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w:t>
      </w:r>
      <w:proofErr w:type="gramStart"/>
      <w:r w:rsidRPr="00B230B5">
        <w:rPr>
          <w:rFonts w:ascii="GHEA Grapalat" w:hAnsi="GHEA Grapalat"/>
        </w:rPr>
        <w:t>ՄԻԵԴ.</w:t>
      </w:r>
      <w:proofErr w:type="gramEnd"/>
      <w:r w:rsidRPr="00B230B5">
        <w:rPr>
          <w:rFonts w:ascii="GHEA Grapalat" w:hAnsi="GHEA Grapalat"/>
        </w:rPr>
        <w:t xml:space="preserve"> </w:t>
      </w:r>
      <w:proofErr w:type="gramStart"/>
      <w:r w:rsidRPr="00B230B5">
        <w:rPr>
          <w:rFonts w:ascii="GHEA Grapalat" w:hAnsi="GHEA Grapalat"/>
        </w:rPr>
        <w:t>Parlov-Tkalčić ընդդեմ Խորվաթիայի (գանգատ թիվ 24810/06), պարբ.</w:t>
      </w:r>
      <w:proofErr w:type="gramEnd"/>
      <w:r w:rsidRPr="00B230B5">
        <w:rPr>
          <w:rFonts w:ascii="GHEA Grapalat" w:hAnsi="GHEA Grapalat"/>
        </w:rPr>
        <w:t xml:space="preserve"> </w:t>
      </w:r>
      <w:proofErr w:type="gramStart"/>
      <w:r w:rsidRPr="00B230B5">
        <w:rPr>
          <w:rFonts w:ascii="GHEA Grapalat" w:hAnsi="GHEA Grapalat"/>
        </w:rPr>
        <w:t>86; Oleksandr Volkov ընդդեմ Ուկրաինայի (գանգատ թիվ 21722/11), պարբ.</w:t>
      </w:r>
      <w:proofErr w:type="gramEnd"/>
      <w:r w:rsidRPr="00B230B5">
        <w:rPr>
          <w:rFonts w:ascii="GHEA Grapalat" w:hAnsi="GHEA Grapalat"/>
        </w:rPr>
        <w:t xml:space="preserve"> </w:t>
      </w:r>
      <w:proofErr w:type="gramStart"/>
      <w:r w:rsidRPr="00B230B5">
        <w:rPr>
          <w:rFonts w:ascii="GHEA Grapalat" w:hAnsi="GHEA Grapalat"/>
        </w:rPr>
        <w:t>107; Findlay ընդդեմ Մեծ Բրիտիանիայի (գանգատ թիվ 22107/93), պարբ.</w:t>
      </w:r>
      <w:proofErr w:type="gramEnd"/>
      <w:r w:rsidRPr="00B230B5">
        <w:rPr>
          <w:rFonts w:ascii="GHEA Grapalat" w:hAnsi="GHEA Grapalat"/>
        </w:rPr>
        <w:t xml:space="preserve"> 73:</w:t>
      </w:r>
    </w:p>
  </w:footnote>
  <w:footnote w:id="2">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Venice Commission, CDL-</w:t>
      </w:r>
      <w:proofErr w:type="gramStart"/>
      <w:r w:rsidRPr="00B230B5">
        <w:rPr>
          <w:rFonts w:ascii="GHEA Grapalat" w:hAnsi="GHEA Grapalat"/>
        </w:rPr>
        <w:t>AD(</w:t>
      </w:r>
      <w:proofErr w:type="gramEnd"/>
      <w:r w:rsidRPr="00B230B5">
        <w:rPr>
          <w:rFonts w:ascii="GHEA Grapalat" w:hAnsi="GHEA Grapalat"/>
        </w:rPr>
        <w:t xml:space="preserve">2014)018, Joint opinion - Venice Commission and OSCE/ODIHR - on the draft amendments to the legal framework on the disciplinary responsibility of judges in the Kyrgyz Republic, պարբ. </w:t>
      </w:r>
      <w:proofErr w:type="gramStart"/>
      <w:r w:rsidRPr="00B230B5">
        <w:rPr>
          <w:rFonts w:ascii="GHEA Grapalat" w:hAnsi="GHEA Grapalat"/>
        </w:rPr>
        <w:t>14; CCJE Opinion No. 1 (2001), պարբ.</w:t>
      </w:r>
      <w:proofErr w:type="gramEnd"/>
      <w:r w:rsidRPr="00B230B5">
        <w:rPr>
          <w:rFonts w:ascii="GHEA Grapalat" w:hAnsi="GHEA Grapalat"/>
        </w:rPr>
        <w:t xml:space="preserve"> </w:t>
      </w:r>
      <w:proofErr w:type="gramStart"/>
      <w:r w:rsidRPr="00B230B5">
        <w:rPr>
          <w:rFonts w:ascii="GHEA Grapalat" w:hAnsi="GHEA Grapalat"/>
        </w:rPr>
        <w:t>11; CCJE Opinion No. 17 (2014), պարբ.</w:t>
      </w:r>
      <w:proofErr w:type="gramEnd"/>
      <w:r w:rsidRPr="00B230B5">
        <w:rPr>
          <w:rFonts w:ascii="GHEA Grapalat" w:hAnsi="GHEA Grapalat"/>
        </w:rPr>
        <w:t xml:space="preserve"> </w:t>
      </w:r>
      <w:proofErr w:type="gramStart"/>
      <w:r w:rsidRPr="00B230B5">
        <w:rPr>
          <w:rFonts w:ascii="GHEA Grapalat" w:hAnsi="GHEA Grapalat"/>
        </w:rPr>
        <w:t>5; ՄԻԵԴ.</w:t>
      </w:r>
      <w:proofErr w:type="gramEnd"/>
      <w:r w:rsidRPr="00B230B5">
        <w:rPr>
          <w:rFonts w:ascii="GHEA Grapalat" w:hAnsi="GHEA Grapalat"/>
        </w:rPr>
        <w:t xml:space="preserve"> </w:t>
      </w:r>
      <w:proofErr w:type="gramStart"/>
      <w:r w:rsidRPr="00B230B5">
        <w:rPr>
          <w:rFonts w:ascii="GHEA Grapalat" w:hAnsi="GHEA Grapalat"/>
        </w:rPr>
        <w:t>Agrokompleks ընդդեմ Ուկրաինայի (գանգատ թիվ 23465/03), պարբ.</w:t>
      </w:r>
      <w:proofErr w:type="gramEnd"/>
      <w:r w:rsidRPr="00B230B5">
        <w:rPr>
          <w:rFonts w:ascii="GHEA Grapalat" w:hAnsi="GHEA Grapalat"/>
        </w:rPr>
        <w:t xml:space="preserve"> 136:</w:t>
      </w:r>
    </w:p>
  </w:footnote>
  <w:footnote w:id="3">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CCJE’s Situation report on the judiciary and judges in the Council of Europe member States Updated version No. 1 (2013), պարբ. </w:t>
      </w:r>
      <w:proofErr w:type="gramStart"/>
      <w:r w:rsidRPr="00B230B5">
        <w:rPr>
          <w:rFonts w:ascii="GHEA Grapalat" w:hAnsi="GHEA Grapalat"/>
        </w:rPr>
        <w:t>5; CCJE Opinion No. 18 (2015), պարբ.</w:t>
      </w:r>
      <w:proofErr w:type="gramEnd"/>
      <w:r w:rsidRPr="00B230B5">
        <w:rPr>
          <w:rFonts w:ascii="GHEA Grapalat" w:hAnsi="GHEA Grapalat"/>
        </w:rPr>
        <w:t xml:space="preserve"> 10:</w:t>
      </w:r>
    </w:p>
  </w:footnote>
  <w:footnote w:id="4">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Venice Commission, CDL-PI(2018)008, Compilation Of Venice Commission Opinions And Reports Concerning Courts And Judges, էջ 32:</w:t>
      </w:r>
    </w:p>
  </w:footnote>
  <w:footnote w:id="5">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Opinions of the Consultative Council of European Judges (CCJE) No. 1 to 23 (2001 – 2020) and Magna Carta of Judges, էջ 182:</w:t>
      </w:r>
    </w:p>
  </w:footnote>
  <w:footnote w:id="6">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Նույն տեղում, էջ 181:</w:t>
      </w:r>
    </w:p>
  </w:footnote>
  <w:footnote w:id="7">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w:t>
      </w:r>
      <w:proofErr w:type="gramStart"/>
      <w:r w:rsidRPr="00B230B5">
        <w:rPr>
          <w:rFonts w:ascii="GHEA Grapalat" w:hAnsi="GHEA Grapalat"/>
        </w:rPr>
        <w:t>ՄԻԵԴ.</w:t>
      </w:r>
      <w:proofErr w:type="gramEnd"/>
      <w:r w:rsidRPr="00B230B5">
        <w:rPr>
          <w:rFonts w:ascii="GHEA Grapalat" w:hAnsi="GHEA Grapalat"/>
        </w:rPr>
        <w:t xml:space="preserve"> </w:t>
      </w:r>
      <w:r w:rsidRPr="00B230B5">
        <w:rPr>
          <w:rFonts w:ascii="GHEA Grapalat" w:hAnsi="GHEA Grapalat"/>
          <w:lang w:val="hy-AM"/>
        </w:rPr>
        <w:t>Մինասյանը</w:t>
      </w:r>
      <w:r w:rsidRPr="00B230B5">
        <w:rPr>
          <w:rFonts w:ascii="Cambria" w:hAnsi="Cambria" w:cs="Cambria"/>
          <w:lang w:val="hy-AM"/>
        </w:rPr>
        <w:t> </w:t>
      </w:r>
      <w:r w:rsidRPr="00B230B5">
        <w:rPr>
          <w:rFonts w:ascii="GHEA Grapalat" w:hAnsi="GHEA Grapalat"/>
          <w:lang w:val="hy-AM"/>
        </w:rPr>
        <w:t>և</w:t>
      </w:r>
      <w:r w:rsidRPr="00B230B5">
        <w:rPr>
          <w:rFonts w:ascii="Cambria" w:hAnsi="Cambria" w:cs="Cambria"/>
          <w:lang w:val="hy-AM"/>
        </w:rPr>
        <w:t> </w:t>
      </w:r>
      <w:r w:rsidRPr="00B230B5">
        <w:rPr>
          <w:rFonts w:ascii="GHEA Grapalat" w:hAnsi="GHEA Grapalat"/>
          <w:lang w:val="hy-AM"/>
        </w:rPr>
        <w:t>Սեմերջյանն</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 (գանգատ թիվ 27651/05), Թունյանը</w:t>
      </w:r>
      <w:r w:rsidRPr="00B230B5">
        <w:rPr>
          <w:rFonts w:ascii="Cambria" w:hAnsi="Cambria" w:cs="Cambria"/>
          <w:lang w:val="hy-AM"/>
        </w:rPr>
        <w:t> </w:t>
      </w:r>
      <w:r w:rsidRPr="00B230B5">
        <w:rPr>
          <w:rFonts w:ascii="GHEA Grapalat" w:hAnsi="GHEA Grapalat"/>
          <w:lang w:val="hy-AM"/>
        </w:rPr>
        <w:t>և</w:t>
      </w:r>
      <w:r w:rsidRPr="00B230B5">
        <w:rPr>
          <w:rFonts w:ascii="Cambria" w:hAnsi="Cambria" w:cs="Cambria"/>
          <w:lang w:val="hy-AM"/>
        </w:rPr>
        <w:t> </w:t>
      </w:r>
      <w:r w:rsidRPr="00B230B5">
        <w:rPr>
          <w:rFonts w:ascii="GHEA Grapalat" w:hAnsi="GHEA Grapalat"/>
          <w:lang w:val="hy-AM"/>
        </w:rPr>
        <w:t>այլք</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 (գանգատ թիվ 22812/05), Դանիելյանը</w:t>
      </w:r>
      <w:r w:rsidRPr="00B230B5">
        <w:rPr>
          <w:rFonts w:ascii="Cambria" w:hAnsi="Cambria" w:cs="Cambria"/>
          <w:lang w:val="hy-AM"/>
        </w:rPr>
        <w:t> </w:t>
      </w:r>
      <w:r w:rsidRPr="00B230B5">
        <w:rPr>
          <w:rFonts w:ascii="GHEA Grapalat" w:hAnsi="GHEA Grapalat"/>
          <w:lang w:val="hy-AM"/>
        </w:rPr>
        <w:t>և</w:t>
      </w:r>
      <w:r w:rsidRPr="00B230B5">
        <w:rPr>
          <w:rFonts w:ascii="Cambria" w:hAnsi="Cambria" w:cs="Cambria"/>
          <w:lang w:val="hy-AM"/>
        </w:rPr>
        <w:t> </w:t>
      </w:r>
      <w:r w:rsidRPr="00B230B5">
        <w:rPr>
          <w:rFonts w:ascii="GHEA Grapalat" w:hAnsi="GHEA Grapalat"/>
          <w:lang w:val="hy-AM"/>
        </w:rPr>
        <w:t>այլք</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 (գանգատ թիվ 25825/05), Ղասաբյանը</w:t>
      </w:r>
      <w:r w:rsidRPr="00B230B5">
        <w:rPr>
          <w:rFonts w:ascii="Cambria" w:hAnsi="Cambria" w:cs="Cambria"/>
          <w:lang w:val="hy-AM"/>
        </w:rPr>
        <w:t> </w:t>
      </w:r>
      <w:r w:rsidRPr="00B230B5">
        <w:rPr>
          <w:rFonts w:ascii="GHEA Grapalat" w:hAnsi="GHEA Grapalat"/>
          <w:lang w:val="hy-AM"/>
        </w:rPr>
        <w:t>և</w:t>
      </w:r>
      <w:r w:rsidRPr="00B230B5">
        <w:rPr>
          <w:rFonts w:ascii="Cambria" w:hAnsi="Cambria" w:cs="Cambria"/>
          <w:lang w:val="hy-AM"/>
        </w:rPr>
        <w:t> </w:t>
      </w:r>
      <w:r w:rsidRPr="00B230B5">
        <w:rPr>
          <w:rFonts w:ascii="GHEA Grapalat" w:hAnsi="GHEA Grapalat"/>
          <w:lang w:val="hy-AM"/>
        </w:rPr>
        <w:t>այլք</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w:t>
      </w:r>
      <w:r w:rsidRPr="00B230B5">
        <w:rPr>
          <w:rFonts w:ascii="Cambria" w:hAnsi="Cambria" w:cs="Cambria"/>
          <w:lang w:val="hy-AM"/>
        </w:rPr>
        <w:t> </w:t>
      </w:r>
      <w:r w:rsidRPr="00B230B5">
        <w:rPr>
          <w:rFonts w:ascii="GHEA Grapalat" w:hAnsi="GHEA Grapalat"/>
          <w:lang w:val="hy-AM"/>
        </w:rPr>
        <w:t>(գանգատ թիվ 23566/05), Բաղդասարյանը</w:t>
      </w:r>
      <w:r w:rsidRPr="00B230B5">
        <w:rPr>
          <w:rFonts w:ascii="Cambria" w:hAnsi="Cambria" w:cs="Cambria"/>
          <w:lang w:val="hy-AM"/>
        </w:rPr>
        <w:t> </w:t>
      </w:r>
      <w:r w:rsidRPr="00B230B5">
        <w:rPr>
          <w:rFonts w:ascii="GHEA Grapalat" w:hAnsi="GHEA Grapalat"/>
          <w:lang w:val="hy-AM"/>
        </w:rPr>
        <w:t>և</w:t>
      </w:r>
      <w:r w:rsidRPr="00B230B5">
        <w:rPr>
          <w:rFonts w:ascii="Cambria" w:hAnsi="Cambria" w:cs="Cambria"/>
          <w:lang w:val="hy-AM"/>
        </w:rPr>
        <w:t> </w:t>
      </w:r>
      <w:r w:rsidRPr="00B230B5">
        <w:rPr>
          <w:rFonts w:ascii="GHEA Grapalat" w:hAnsi="GHEA Grapalat"/>
          <w:lang w:val="hy-AM"/>
        </w:rPr>
        <w:t>Զարիկյանն</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 (գանգատ թիվ 43242/05), Վարդանյանը</w:t>
      </w:r>
      <w:r w:rsidRPr="00B230B5">
        <w:rPr>
          <w:rFonts w:ascii="Cambria" w:hAnsi="Cambria" w:cs="Cambria"/>
          <w:lang w:val="hy-AM"/>
        </w:rPr>
        <w:t> </w:t>
      </w:r>
      <w:r w:rsidRPr="00B230B5">
        <w:rPr>
          <w:rFonts w:ascii="GHEA Grapalat" w:hAnsi="GHEA Grapalat"/>
          <w:lang w:val="hy-AM"/>
        </w:rPr>
        <w:t>և</w:t>
      </w:r>
      <w:r w:rsidRPr="00B230B5">
        <w:rPr>
          <w:rFonts w:ascii="Cambria" w:hAnsi="Cambria" w:cs="Cambria"/>
          <w:lang w:val="hy-AM"/>
        </w:rPr>
        <w:t> </w:t>
      </w:r>
      <w:r w:rsidRPr="00B230B5">
        <w:rPr>
          <w:rFonts w:ascii="GHEA Grapalat" w:hAnsi="GHEA Grapalat"/>
          <w:lang w:val="hy-AM"/>
        </w:rPr>
        <w:t>Նանուշյանն</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w:t>
      </w:r>
      <w:r w:rsidRPr="00B230B5">
        <w:rPr>
          <w:rFonts w:ascii="Cambria" w:hAnsi="Cambria" w:cs="Cambria"/>
          <w:lang w:val="hy-AM"/>
        </w:rPr>
        <w:t> </w:t>
      </w:r>
      <w:r w:rsidRPr="00B230B5">
        <w:rPr>
          <w:rFonts w:ascii="GHEA Grapalat" w:hAnsi="GHEA Grapalat"/>
          <w:lang w:val="hy-AM"/>
        </w:rPr>
        <w:t>(գանգատ թիվ 8001/07),</w:t>
      </w:r>
      <w:r w:rsidRPr="00B230B5">
        <w:rPr>
          <w:rFonts w:ascii="Cambria" w:hAnsi="Cambria" w:cs="Cambria"/>
          <w:lang w:val="hy-AM"/>
        </w:rPr>
        <w:t> </w:t>
      </w:r>
      <w:r w:rsidRPr="00B230B5">
        <w:rPr>
          <w:rFonts w:ascii="GHEA Grapalat" w:hAnsi="GHEA Grapalat"/>
          <w:lang w:val="hy-AM"/>
        </w:rPr>
        <w:t>Ղարիբյանը</w:t>
      </w:r>
      <w:r w:rsidRPr="00B230B5">
        <w:rPr>
          <w:rFonts w:ascii="Cambria" w:hAnsi="Cambria" w:cs="Cambria"/>
          <w:lang w:val="hy-AM"/>
        </w:rPr>
        <w:t> </w:t>
      </w:r>
      <w:r w:rsidRPr="00B230B5">
        <w:rPr>
          <w:rFonts w:ascii="GHEA Grapalat" w:hAnsi="GHEA Grapalat"/>
          <w:lang w:val="hy-AM"/>
        </w:rPr>
        <w:t>և</w:t>
      </w:r>
      <w:r w:rsidRPr="00B230B5">
        <w:rPr>
          <w:rFonts w:ascii="Cambria" w:hAnsi="Cambria" w:cs="Cambria"/>
          <w:lang w:val="hy-AM"/>
        </w:rPr>
        <w:t> </w:t>
      </w:r>
      <w:r w:rsidRPr="00B230B5">
        <w:rPr>
          <w:rFonts w:ascii="GHEA Grapalat" w:hAnsi="GHEA Grapalat"/>
          <w:lang w:val="hy-AM"/>
        </w:rPr>
        <w:t>այլք</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 (գանգատ թիվ 19940/05), «Հովհաննիսյանն ու Շիրոյանն ընդդեմ Հայաստանի» (գանգատ թիվ</w:t>
      </w:r>
      <w:r w:rsidRPr="00B230B5">
        <w:rPr>
          <w:rFonts w:ascii="Cambria" w:hAnsi="Cambria" w:cs="Cambria"/>
          <w:lang w:val="hy-AM"/>
        </w:rPr>
        <w:t> </w:t>
      </w:r>
      <w:r w:rsidRPr="00B230B5">
        <w:rPr>
          <w:rFonts w:ascii="GHEA Grapalat" w:hAnsi="GHEA Grapalat"/>
          <w:lang w:val="hy-AM"/>
        </w:rPr>
        <w:t>5065/06),</w:t>
      </w:r>
      <w:r w:rsidRPr="00B230B5">
        <w:rPr>
          <w:rFonts w:ascii="Cambria" w:hAnsi="Cambria" w:cs="Cambria"/>
          <w:lang w:val="hy-AM"/>
        </w:rPr>
        <w:t> </w:t>
      </w:r>
      <w:r w:rsidRPr="00B230B5">
        <w:rPr>
          <w:rFonts w:ascii="GHEA Grapalat" w:hAnsi="GHEA Grapalat"/>
          <w:lang w:val="hy-AM"/>
        </w:rPr>
        <w:t>Սաֆարյանն</w:t>
      </w:r>
      <w:r w:rsidRPr="00B230B5">
        <w:rPr>
          <w:rFonts w:ascii="Cambria" w:hAnsi="Cambria" w:cs="Cambria"/>
          <w:lang w:val="hy-AM"/>
        </w:rPr>
        <w:t> </w:t>
      </w:r>
      <w:r w:rsidRPr="00B230B5">
        <w:rPr>
          <w:rFonts w:ascii="GHEA Grapalat" w:hAnsi="GHEA Grapalat"/>
          <w:lang w:val="hy-AM"/>
        </w:rPr>
        <w:t>ընդդեմ</w:t>
      </w:r>
      <w:r w:rsidRPr="00B230B5">
        <w:rPr>
          <w:rFonts w:ascii="Cambria" w:hAnsi="Cambria" w:cs="Cambria"/>
          <w:lang w:val="hy-AM"/>
        </w:rPr>
        <w:t> </w:t>
      </w:r>
      <w:r w:rsidRPr="00B230B5">
        <w:rPr>
          <w:rFonts w:ascii="GHEA Grapalat" w:hAnsi="GHEA Grapalat"/>
          <w:lang w:val="hy-AM"/>
        </w:rPr>
        <w:t>Հայաստանի</w:t>
      </w:r>
      <w:r w:rsidRPr="00B230B5">
        <w:rPr>
          <w:rFonts w:ascii="Cambria" w:hAnsi="Cambria" w:cs="Cambria"/>
          <w:lang w:val="hy-AM"/>
        </w:rPr>
        <w:t> </w:t>
      </w:r>
      <w:r w:rsidRPr="00B230B5">
        <w:rPr>
          <w:rFonts w:ascii="GHEA Grapalat" w:hAnsi="GHEA Grapalat"/>
          <w:lang w:val="hy-AM"/>
        </w:rPr>
        <w:t>(գանգատ թիվ</w:t>
      </w:r>
      <w:r w:rsidRPr="00B230B5">
        <w:rPr>
          <w:rFonts w:ascii="Cambria" w:hAnsi="Cambria" w:cs="Cambria"/>
          <w:lang w:val="hy-AM"/>
        </w:rPr>
        <w:t> </w:t>
      </w:r>
      <w:r w:rsidRPr="00B230B5">
        <w:rPr>
          <w:rFonts w:ascii="GHEA Grapalat" w:hAnsi="GHEA Grapalat"/>
          <w:lang w:val="hy-AM"/>
        </w:rPr>
        <w:t>576/06),</w:t>
      </w:r>
      <w:r w:rsidRPr="00B230B5">
        <w:rPr>
          <w:rFonts w:ascii="Cambria" w:hAnsi="Cambria" w:cs="Cambria"/>
          <w:lang w:val="hy-AM"/>
        </w:rPr>
        <w:t> </w:t>
      </w:r>
      <w:r w:rsidRPr="00B230B5">
        <w:rPr>
          <w:rFonts w:ascii="GHEA Grapalat" w:hAnsi="GHEA Grapalat"/>
          <w:lang w:val="hy-AM"/>
        </w:rPr>
        <w:t>«Երանոսյանը և այլոք ընդդեմ Հայաստանի»</w:t>
      </w:r>
      <w:r w:rsidRPr="00B230B5">
        <w:rPr>
          <w:rFonts w:ascii="Cambria" w:hAnsi="Cambria" w:cs="Cambria"/>
          <w:lang w:val="hy-AM"/>
        </w:rPr>
        <w:t> </w:t>
      </w:r>
      <w:r w:rsidRPr="00B230B5">
        <w:rPr>
          <w:rFonts w:ascii="GHEA Grapalat" w:hAnsi="GHEA Grapalat"/>
          <w:lang w:val="hy-AM"/>
        </w:rPr>
        <w:t>(գանգատ</w:t>
      </w:r>
      <w:r w:rsidRPr="00B230B5">
        <w:rPr>
          <w:rFonts w:ascii="GHEA Grapalat" w:hAnsi="GHEA Grapalat"/>
        </w:rPr>
        <w:t xml:space="preserve"> </w:t>
      </w:r>
      <w:r w:rsidRPr="00B230B5">
        <w:rPr>
          <w:rFonts w:ascii="GHEA Grapalat" w:hAnsi="GHEA Grapalat"/>
          <w:lang w:val="hy-AM"/>
        </w:rPr>
        <w:t>թիվ</w:t>
      </w:r>
      <w:r w:rsidRPr="00B230B5">
        <w:rPr>
          <w:rFonts w:ascii="Cambria" w:hAnsi="Cambria" w:cs="Cambria"/>
          <w:lang w:val="hy-AM"/>
        </w:rPr>
        <w:t> </w:t>
      </w:r>
      <w:r w:rsidRPr="00B230B5">
        <w:rPr>
          <w:rFonts w:ascii="GHEA Grapalat" w:hAnsi="GHEA Grapalat"/>
          <w:lang w:val="hy-AM"/>
        </w:rPr>
        <w:t>3916/06), «Թադևոսյանն ընդդեմ Հայաստանի»</w:t>
      </w:r>
      <w:r w:rsidRPr="00B230B5">
        <w:rPr>
          <w:rFonts w:ascii="Cambria" w:hAnsi="Cambria" w:cs="Cambria"/>
          <w:lang w:val="hy-AM"/>
        </w:rPr>
        <w:t> </w:t>
      </w:r>
      <w:r w:rsidRPr="00B230B5">
        <w:rPr>
          <w:rFonts w:ascii="GHEA Grapalat" w:hAnsi="GHEA Grapalat"/>
          <w:lang w:val="hy-AM"/>
        </w:rPr>
        <w:t>(գանգատ թիվ</w:t>
      </w:r>
      <w:r w:rsidRPr="00B230B5">
        <w:rPr>
          <w:rFonts w:ascii="Cambria" w:hAnsi="Cambria" w:cs="Cambria"/>
          <w:lang w:val="hy-AM"/>
        </w:rPr>
        <w:t> </w:t>
      </w:r>
      <w:r w:rsidRPr="00B230B5">
        <w:rPr>
          <w:rFonts w:ascii="GHEA Grapalat" w:hAnsi="GHEA Grapalat"/>
          <w:lang w:val="hy-AM"/>
        </w:rPr>
        <w:t>69936/10) և այլն:</w:t>
      </w:r>
      <w:r w:rsidRPr="00B230B5">
        <w:rPr>
          <w:rFonts w:ascii="Cambria" w:hAnsi="Cambria" w:cs="Cambria"/>
          <w:lang w:val="hy-AM"/>
        </w:rPr>
        <w:t>  </w:t>
      </w:r>
    </w:p>
  </w:footnote>
  <w:footnote w:id="8">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w:t>
      </w:r>
      <w:proofErr w:type="gramStart"/>
      <w:r w:rsidRPr="00B230B5">
        <w:rPr>
          <w:rFonts w:ascii="GHEA Grapalat" w:hAnsi="GHEA Grapalat"/>
        </w:rPr>
        <w:t>ՄԻԵԴ.</w:t>
      </w:r>
      <w:proofErr w:type="gramEnd"/>
      <w:r w:rsidRPr="00B230B5">
        <w:rPr>
          <w:rFonts w:ascii="GHEA Grapalat" w:hAnsi="GHEA Grapalat"/>
        </w:rPr>
        <w:t xml:space="preserve"> Մուշեղ Սաղաթելյանն ընդդեմ Հայաստանի, (</w:t>
      </w:r>
      <w:r w:rsidRPr="00B230B5">
        <w:rPr>
          <w:rFonts w:ascii="GHEA Grapalat" w:hAnsi="GHEA Grapalat"/>
          <w:lang w:val="hy-AM"/>
        </w:rPr>
        <w:t>գանգատ թիվ</w:t>
      </w:r>
      <w:r w:rsidRPr="00B230B5">
        <w:rPr>
          <w:rFonts w:ascii="GHEA Grapalat" w:hAnsi="GHEA Grapalat"/>
        </w:rPr>
        <w:t xml:space="preserve"> 23086/08); Միասնիկ Մալխասյանն ընդդեմ Հայաստանի (</w:t>
      </w:r>
      <w:r w:rsidRPr="00B230B5">
        <w:rPr>
          <w:rFonts w:ascii="GHEA Grapalat" w:hAnsi="GHEA Grapalat"/>
          <w:lang w:val="hy-AM"/>
        </w:rPr>
        <w:t>գանգատ թիվ</w:t>
      </w:r>
      <w:r w:rsidRPr="00B230B5">
        <w:rPr>
          <w:rFonts w:ascii="GHEA Grapalat" w:hAnsi="GHEA Grapalat"/>
        </w:rPr>
        <w:t xml:space="preserve"> 49020/08); Արզումանյանն ընդդեմ Հայաստանի (</w:t>
      </w:r>
      <w:r w:rsidRPr="00B230B5">
        <w:rPr>
          <w:rFonts w:ascii="GHEA Grapalat" w:hAnsi="GHEA Grapalat"/>
          <w:lang w:val="hy-AM"/>
        </w:rPr>
        <w:t xml:space="preserve">գանգատ թիվ </w:t>
      </w:r>
      <w:r w:rsidRPr="00B230B5">
        <w:rPr>
          <w:rFonts w:ascii="GHEA Grapalat" w:hAnsi="GHEA Grapalat"/>
        </w:rPr>
        <w:t>63845/09) և այլն:</w:t>
      </w:r>
    </w:p>
  </w:footnote>
  <w:footnote w:id="9">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Այս և վերոնշյալի մասին անդրադարձ է կատարել Վենետիկի հանձնաժողովը նախագծի նախնական տարբերակի վերաբերյալ ներկայացված իր CDL-</w:t>
      </w:r>
      <w:proofErr w:type="gramStart"/>
      <w:r w:rsidRPr="00B230B5">
        <w:rPr>
          <w:rFonts w:ascii="GHEA Grapalat" w:hAnsi="GHEA Grapalat"/>
        </w:rPr>
        <w:t>AD(</w:t>
      </w:r>
      <w:proofErr w:type="gramEnd"/>
      <w:r w:rsidRPr="00B230B5">
        <w:rPr>
          <w:rFonts w:ascii="GHEA Grapalat" w:hAnsi="GHEA Grapalat"/>
        </w:rPr>
        <w:t>2022)002 կարծիքի Ընդհանուր դիտարկումներ բաժնում, պարբ. 6-7, https://www.venice.coe.int/webforms/documents/default.aspx?pdffile=CDL-AD(2022)002-e:</w:t>
      </w:r>
    </w:p>
  </w:footnote>
  <w:footnote w:id="10">
    <w:p w:rsidR="006235C6" w:rsidRDefault="006235C6" w:rsidP="006235C6">
      <w:pPr>
        <w:pStyle w:val="FootnoteText"/>
      </w:pPr>
      <w:r>
        <w:rPr>
          <w:rStyle w:val="FootnoteReference"/>
        </w:rPr>
        <w:footnoteRef/>
      </w:r>
      <w:r>
        <w:t xml:space="preserve"> </w:t>
      </w:r>
      <w:r w:rsidRPr="00C62552">
        <w:t>https://www.e-draft.am/projects/3817/justification</w:t>
      </w:r>
    </w:p>
  </w:footnote>
  <w:footnote w:id="11">
    <w:p w:rsidR="006235C6" w:rsidRPr="00437A18" w:rsidRDefault="006235C6" w:rsidP="006235C6">
      <w:pPr>
        <w:pStyle w:val="Heading2"/>
        <w:shd w:val="clear" w:color="auto" w:fill="FFFFFF"/>
        <w:spacing w:before="0" w:beforeAutospacing="0" w:after="0" w:afterAutospacing="0"/>
        <w:jc w:val="both"/>
        <w:rPr>
          <w:rFonts w:ascii="GHEA Grapalat" w:eastAsiaTheme="minorHAnsi" w:hAnsi="GHEA Grapalat" w:cstheme="minorBidi"/>
          <w:b w:val="0"/>
          <w:bCs w:val="0"/>
          <w:sz w:val="20"/>
          <w:szCs w:val="20"/>
        </w:rPr>
      </w:pPr>
      <w:r w:rsidRPr="00437A18">
        <w:rPr>
          <w:rStyle w:val="FootnoteReference"/>
          <w:rFonts w:asciiTheme="minorHAnsi" w:eastAsiaTheme="minorHAnsi" w:hAnsiTheme="minorHAnsi" w:cstheme="minorBidi"/>
          <w:b w:val="0"/>
          <w:bCs w:val="0"/>
          <w:sz w:val="20"/>
          <w:szCs w:val="20"/>
        </w:rPr>
        <w:footnoteRef/>
      </w:r>
      <w:r w:rsidRPr="00437A18">
        <w:rPr>
          <w:rStyle w:val="FootnoteReference"/>
          <w:rFonts w:asciiTheme="minorHAnsi" w:eastAsiaTheme="minorHAnsi" w:hAnsiTheme="minorHAnsi" w:cstheme="minorBidi"/>
          <w:b w:val="0"/>
          <w:bCs w:val="0"/>
          <w:sz w:val="20"/>
          <w:szCs w:val="20"/>
        </w:rPr>
        <w:t xml:space="preserve"> </w:t>
      </w:r>
      <w:r w:rsidRPr="00437A18">
        <w:rPr>
          <w:rFonts w:ascii="GHEA Grapalat" w:eastAsiaTheme="minorHAnsi" w:hAnsi="GHEA Grapalat" w:cstheme="minorBidi"/>
          <w:b w:val="0"/>
          <w:bCs w:val="0"/>
          <w:sz w:val="20"/>
          <w:szCs w:val="20"/>
        </w:rPr>
        <w:t>CDL-</w:t>
      </w:r>
      <w:proofErr w:type="gramStart"/>
      <w:r w:rsidRPr="00437A18">
        <w:rPr>
          <w:rFonts w:ascii="GHEA Grapalat" w:eastAsiaTheme="minorHAnsi" w:hAnsi="GHEA Grapalat" w:cstheme="minorBidi"/>
          <w:b w:val="0"/>
          <w:bCs w:val="0"/>
          <w:sz w:val="20"/>
          <w:szCs w:val="20"/>
        </w:rPr>
        <w:t>AD(</w:t>
      </w:r>
      <w:proofErr w:type="gramEnd"/>
      <w:r w:rsidRPr="00437A18">
        <w:rPr>
          <w:rFonts w:ascii="GHEA Grapalat" w:eastAsiaTheme="minorHAnsi" w:hAnsi="GHEA Grapalat" w:cstheme="minorBidi"/>
          <w:b w:val="0"/>
          <w:bCs w:val="0"/>
          <w:sz w:val="20"/>
          <w:szCs w:val="20"/>
        </w:rPr>
        <w:t>2022)002-e, Armenia - Joint opinion of the Venice Commission and the Directorate General of Human Rights and Rule of Law (DGI) of the Council of Europe on the draft laws on making amendments to the Constitutional Law in the Judicial Code and to the Constitutional Law on Constitutional Court, adopted by the Venice Commission at its 130th Plenary Session (Venice and online, 18-19 March 2022):</w:t>
      </w:r>
    </w:p>
  </w:footnote>
  <w:footnote w:id="12">
    <w:p w:rsidR="006235C6" w:rsidRPr="00437A18" w:rsidRDefault="006235C6" w:rsidP="006235C6">
      <w:pPr>
        <w:pStyle w:val="FootnoteText"/>
        <w:rPr>
          <w:rFonts w:ascii="GHEA Grapalat" w:hAnsi="GHEA Grapalat"/>
        </w:rPr>
      </w:pPr>
      <w:r w:rsidRPr="00437A18">
        <w:rPr>
          <w:rStyle w:val="FootnoteReference"/>
          <w:rFonts w:ascii="GHEA Grapalat" w:hAnsi="GHEA Grapalat"/>
        </w:rPr>
        <w:footnoteRef/>
      </w:r>
      <w:r w:rsidRPr="00437A18">
        <w:rPr>
          <w:rFonts w:ascii="GHEA Grapalat" w:hAnsi="GHEA Grapalat"/>
        </w:rPr>
        <w:t xml:space="preserve"> Venice Commission, CDL-</w:t>
      </w:r>
      <w:proofErr w:type="gramStart"/>
      <w:r w:rsidRPr="00437A18">
        <w:rPr>
          <w:rFonts w:ascii="GHEA Grapalat" w:hAnsi="GHEA Grapalat"/>
        </w:rPr>
        <w:t>AD(</w:t>
      </w:r>
      <w:proofErr w:type="gramEnd"/>
      <w:r w:rsidRPr="00437A18">
        <w:rPr>
          <w:rFonts w:ascii="GHEA Grapalat" w:hAnsi="GHEA Grapalat"/>
        </w:rPr>
        <w:t>2014)018, պարբ. 43-48:</w:t>
      </w:r>
    </w:p>
  </w:footnote>
  <w:footnote w:id="13">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Վենետիկի հանձնաժողովն իր կարծիքի 48-րդ պարբերությունում նշել է, որ «</w:t>
      </w:r>
      <w:r w:rsidRPr="00B230B5">
        <w:rPr>
          <w:rFonts w:ascii="GHEA Grapalat" w:hAnsi="GHEA Grapalat" w:cs="Sylfaen"/>
        </w:rPr>
        <w:t>թեև</w:t>
      </w:r>
      <w:r w:rsidRPr="00B230B5">
        <w:rPr>
          <w:rFonts w:ascii="GHEA Grapalat" w:hAnsi="GHEA Grapalat"/>
        </w:rPr>
        <w:t xml:space="preserve"> </w:t>
      </w:r>
      <w:r w:rsidRPr="00B230B5">
        <w:rPr>
          <w:rFonts w:ascii="GHEA Grapalat" w:hAnsi="GHEA Grapalat" w:cs="Sylfaen"/>
        </w:rPr>
        <w:t>սկզբունքորեն</w:t>
      </w:r>
      <w:r w:rsidRPr="00B230B5">
        <w:rPr>
          <w:rFonts w:ascii="GHEA Grapalat" w:hAnsi="GHEA Grapalat"/>
        </w:rPr>
        <w:t xml:space="preserve"> </w:t>
      </w:r>
      <w:r w:rsidRPr="00B230B5">
        <w:rPr>
          <w:rFonts w:ascii="GHEA Grapalat" w:hAnsi="GHEA Grapalat" w:cs="Sylfaen"/>
        </w:rPr>
        <w:t>սխալ չէ</w:t>
      </w:r>
      <w:r w:rsidRPr="00B230B5">
        <w:rPr>
          <w:rFonts w:ascii="GHEA Grapalat" w:hAnsi="GHEA Grapalat"/>
        </w:rPr>
        <w:t xml:space="preserve"> օրենքում </w:t>
      </w:r>
      <w:r w:rsidRPr="00B230B5">
        <w:rPr>
          <w:rFonts w:ascii="GHEA Grapalat" w:hAnsi="GHEA Grapalat" w:cs="Sylfaen"/>
        </w:rPr>
        <w:t>ՄԻԵԴ</w:t>
      </w:r>
      <w:r w:rsidRPr="00B230B5">
        <w:rPr>
          <w:rFonts w:ascii="GHEA Grapalat" w:hAnsi="GHEA Grapalat"/>
        </w:rPr>
        <w:t>-</w:t>
      </w:r>
      <w:r w:rsidRPr="00B230B5">
        <w:rPr>
          <w:rFonts w:ascii="GHEA Grapalat" w:hAnsi="GHEA Grapalat" w:cs="Sylfaen"/>
        </w:rPr>
        <w:t>ի</w:t>
      </w:r>
      <w:r w:rsidRPr="00B230B5">
        <w:rPr>
          <w:rFonts w:ascii="GHEA Grapalat" w:hAnsi="GHEA Grapalat"/>
        </w:rPr>
        <w:t xml:space="preserve"> </w:t>
      </w:r>
      <w:r w:rsidRPr="00B230B5">
        <w:rPr>
          <w:rFonts w:ascii="GHEA Grapalat" w:hAnsi="GHEA Grapalat" w:cs="Sylfaen"/>
        </w:rPr>
        <w:t>կողմից</w:t>
      </w:r>
      <w:r w:rsidRPr="00B230B5">
        <w:rPr>
          <w:rFonts w:ascii="GHEA Grapalat" w:hAnsi="GHEA Grapalat"/>
        </w:rPr>
        <w:t xml:space="preserve"> </w:t>
      </w:r>
      <w:r w:rsidRPr="00B230B5">
        <w:rPr>
          <w:rFonts w:ascii="GHEA Grapalat" w:hAnsi="GHEA Grapalat" w:cs="Sylfaen"/>
        </w:rPr>
        <w:t>հաստատված</w:t>
      </w:r>
      <w:r w:rsidRPr="00B230B5">
        <w:rPr>
          <w:rFonts w:ascii="GHEA Grapalat" w:hAnsi="GHEA Grapalat"/>
        </w:rPr>
        <w:t xml:space="preserve"> </w:t>
      </w:r>
      <w:r w:rsidRPr="00B230B5">
        <w:rPr>
          <w:rFonts w:ascii="GHEA Grapalat" w:hAnsi="GHEA Grapalat" w:cs="Sylfaen"/>
        </w:rPr>
        <w:t>մարդու</w:t>
      </w:r>
      <w:r w:rsidRPr="00B230B5">
        <w:rPr>
          <w:rFonts w:ascii="GHEA Grapalat" w:hAnsi="GHEA Grapalat"/>
        </w:rPr>
        <w:t xml:space="preserve"> </w:t>
      </w:r>
      <w:r w:rsidRPr="00B230B5">
        <w:rPr>
          <w:rFonts w:ascii="GHEA Grapalat" w:hAnsi="GHEA Grapalat" w:cs="Sylfaen"/>
        </w:rPr>
        <w:t>իրավունքների</w:t>
      </w:r>
      <w:r w:rsidRPr="00B230B5">
        <w:rPr>
          <w:rFonts w:ascii="GHEA Grapalat" w:hAnsi="GHEA Grapalat"/>
        </w:rPr>
        <w:t xml:space="preserve"> </w:t>
      </w:r>
      <w:r w:rsidRPr="00B230B5">
        <w:rPr>
          <w:rFonts w:ascii="GHEA Grapalat" w:hAnsi="GHEA Grapalat" w:cs="Sylfaen"/>
        </w:rPr>
        <w:t>խախտումներին</w:t>
      </w:r>
      <w:r w:rsidRPr="00B230B5">
        <w:rPr>
          <w:rFonts w:ascii="GHEA Grapalat" w:hAnsi="GHEA Grapalat"/>
        </w:rPr>
        <w:t xml:space="preserve"> </w:t>
      </w:r>
      <w:r w:rsidRPr="00B230B5">
        <w:rPr>
          <w:rFonts w:ascii="GHEA Grapalat" w:hAnsi="GHEA Grapalat" w:cs="Sylfaen"/>
        </w:rPr>
        <w:t>հղում</w:t>
      </w:r>
      <w:r w:rsidRPr="00B230B5">
        <w:rPr>
          <w:rFonts w:ascii="GHEA Grapalat" w:hAnsi="GHEA Grapalat"/>
        </w:rPr>
        <w:t xml:space="preserve"> </w:t>
      </w:r>
      <w:r w:rsidRPr="00B230B5">
        <w:rPr>
          <w:rFonts w:ascii="GHEA Grapalat" w:hAnsi="GHEA Grapalat" w:cs="Sylfaen"/>
        </w:rPr>
        <w:t>կատարելը</w:t>
      </w:r>
      <w:r w:rsidRPr="00B230B5">
        <w:rPr>
          <w:rFonts w:ascii="GHEA Grapalat" w:hAnsi="GHEA Grapalat"/>
        </w:rPr>
        <w:t xml:space="preserve">, </w:t>
      </w:r>
      <w:r w:rsidRPr="00B230B5">
        <w:rPr>
          <w:rFonts w:ascii="GHEA Grapalat" w:hAnsi="GHEA Grapalat" w:cs="Sylfaen"/>
        </w:rPr>
        <w:t>եթե</w:t>
      </w:r>
      <w:r w:rsidRPr="00B230B5">
        <w:rPr>
          <w:rFonts w:ascii="GHEA Grapalat" w:hAnsi="GHEA Grapalat"/>
        </w:rPr>
        <w:t xml:space="preserve"> </w:t>
      </w:r>
      <w:r w:rsidRPr="00B230B5">
        <w:rPr>
          <w:rFonts w:ascii="GHEA Grapalat" w:hAnsi="GHEA Grapalat" w:cs="Sylfaen"/>
        </w:rPr>
        <w:t>դատավորի</w:t>
      </w:r>
      <w:r w:rsidRPr="00B230B5">
        <w:rPr>
          <w:rFonts w:ascii="GHEA Grapalat" w:hAnsi="GHEA Grapalat"/>
        </w:rPr>
        <w:t xml:space="preserve"> </w:t>
      </w:r>
      <w:r w:rsidRPr="00B230B5">
        <w:rPr>
          <w:rFonts w:ascii="GHEA Grapalat" w:hAnsi="GHEA Grapalat" w:cs="Sylfaen"/>
        </w:rPr>
        <w:t>գործողությունները</w:t>
      </w:r>
      <w:r w:rsidRPr="00B230B5">
        <w:rPr>
          <w:rFonts w:ascii="GHEA Grapalat" w:hAnsi="GHEA Grapalat"/>
        </w:rPr>
        <w:t xml:space="preserve"> </w:t>
      </w:r>
      <w:r w:rsidRPr="00B230B5">
        <w:rPr>
          <w:rFonts w:ascii="GHEA Grapalat" w:hAnsi="GHEA Grapalat" w:cs="Sylfaen"/>
        </w:rPr>
        <w:t>կարող</w:t>
      </w:r>
      <w:r w:rsidRPr="00B230B5">
        <w:rPr>
          <w:rFonts w:ascii="GHEA Grapalat" w:hAnsi="GHEA Grapalat"/>
        </w:rPr>
        <w:t xml:space="preserve"> </w:t>
      </w:r>
      <w:r w:rsidRPr="00B230B5">
        <w:rPr>
          <w:rFonts w:ascii="GHEA Grapalat" w:hAnsi="GHEA Grapalat" w:cs="Sylfaen"/>
        </w:rPr>
        <w:t>են</w:t>
      </w:r>
      <w:r w:rsidRPr="00B230B5">
        <w:rPr>
          <w:rFonts w:ascii="GHEA Grapalat" w:hAnsi="GHEA Grapalat"/>
        </w:rPr>
        <w:t xml:space="preserve"> </w:t>
      </w:r>
      <w:r w:rsidRPr="00B230B5">
        <w:rPr>
          <w:rFonts w:ascii="GHEA Grapalat" w:hAnsi="GHEA Grapalat" w:cs="Sylfaen"/>
        </w:rPr>
        <w:t>ճանաչվել</w:t>
      </w:r>
      <w:r w:rsidRPr="00B230B5">
        <w:rPr>
          <w:rFonts w:ascii="GHEA Grapalat" w:hAnsi="GHEA Grapalat"/>
        </w:rPr>
        <w:t xml:space="preserve"> </w:t>
      </w:r>
      <w:r w:rsidRPr="00B230B5">
        <w:rPr>
          <w:rFonts w:ascii="GHEA Grapalat" w:hAnsi="GHEA Grapalat" w:cs="Sylfaen"/>
        </w:rPr>
        <w:t>որպես</w:t>
      </w:r>
      <w:r w:rsidRPr="00B230B5">
        <w:rPr>
          <w:rFonts w:ascii="GHEA Grapalat" w:hAnsi="GHEA Grapalat"/>
        </w:rPr>
        <w:t xml:space="preserve"> </w:t>
      </w:r>
      <w:r w:rsidRPr="00B230B5">
        <w:rPr>
          <w:rFonts w:ascii="GHEA Grapalat" w:hAnsi="GHEA Grapalat" w:cs="Sylfaen"/>
        </w:rPr>
        <w:t>դիտավորությամբ</w:t>
      </w:r>
      <w:r w:rsidRPr="00B230B5">
        <w:rPr>
          <w:rFonts w:ascii="GHEA Grapalat" w:hAnsi="GHEA Grapalat"/>
        </w:rPr>
        <w:t xml:space="preserve"> </w:t>
      </w:r>
      <w:r w:rsidRPr="00B230B5">
        <w:rPr>
          <w:rFonts w:ascii="GHEA Grapalat" w:hAnsi="GHEA Grapalat" w:cs="Sylfaen"/>
        </w:rPr>
        <w:t>կամ</w:t>
      </w:r>
      <w:r w:rsidRPr="00B230B5">
        <w:rPr>
          <w:rFonts w:ascii="GHEA Grapalat" w:hAnsi="GHEA Grapalat"/>
        </w:rPr>
        <w:t xml:space="preserve"> </w:t>
      </w:r>
      <w:r w:rsidRPr="00B230B5">
        <w:rPr>
          <w:rFonts w:ascii="GHEA Grapalat" w:hAnsi="GHEA Grapalat" w:cs="Sylfaen"/>
        </w:rPr>
        <w:t>կոպիտ</w:t>
      </w:r>
      <w:r w:rsidRPr="00B230B5">
        <w:rPr>
          <w:rFonts w:ascii="GHEA Grapalat" w:hAnsi="GHEA Grapalat"/>
        </w:rPr>
        <w:t xml:space="preserve"> </w:t>
      </w:r>
      <w:r w:rsidRPr="00B230B5">
        <w:rPr>
          <w:rFonts w:ascii="GHEA Grapalat" w:hAnsi="GHEA Grapalat" w:cs="Sylfaen"/>
        </w:rPr>
        <w:t>անզգուշությամբ</w:t>
      </w:r>
      <w:r w:rsidRPr="00B230B5">
        <w:rPr>
          <w:rFonts w:ascii="GHEA Grapalat" w:hAnsi="GHEA Grapalat"/>
        </w:rPr>
        <w:t xml:space="preserve"> </w:t>
      </w:r>
      <w:r w:rsidRPr="00B230B5">
        <w:rPr>
          <w:rFonts w:ascii="GHEA Grapalat" w:hAnsi="GHEA Grapalat" w:cs="Sylfaen"/>
        </w:rPr>
        <w:t>կատարված</w:t>
      </w:r>
      <w:r w:rsidRPr="00B230B5">
        <w:rPr>
          <w:rFonts w:ascii="GHEA Grapalat" w:hAnsi="GHEA Grapalat"/>
        </w:rPr>
        <w:t xml:space="preserve"> </w:t>
      </w:r>
      <w:r w:rsidRPr="00B230B5">
        <w:rPr>
          <w:rFonts w:ascii="GHEA Grapalat" w:hAnsi="GHEA Grapalat" w:cs="Sylfaen"/>
        </w:rPr>
        <w:t>խախտում</w:t>
      </w:r>
      <w:r w:rsidRPr="00B230B5">
        <w:rPr>
          <w:rFonts w:ascii="GHEA Grapalat" w:hAnsi="GHEA Grapalat"/>
        </w:rPr>
        <w:t xml:space="preserve">, սակայն </w:t>
      </w:r>
      <w:r w:rsidRPr="00B230B5">
        <w:rPr>
          <w:rFonts w:ascii="GHEA Grapalat" w:hAnsi="GHEA Grapalat" w:cs="Sylfaen"/>
        </w:rPr>
        <w:t>դատավորի</w:t>
      </w:r>
      <w:r w:rsidRPr="00B230B5">
        <w:rPr>
          <w:rFonts w:ascii="GHEA Grapalat" w:hAnsi="GHEA Grapalat"/>
        </w:rPr>
        <w:t xml:space="preserve"> </w:t>
      </w:r>
      <w:r w:rsidRPr="00B230B5">
        <w:rPr>
          <w:rFonts w:ascii="GHEA Grapalat" w:hAnsi="GHEA Grapalat" w:cs="Sylfaen"/>
        </w:rPr>
        <w:t>պատասխանատվությունը</w:t>
      </w:r>
      <w:r w:rsidRPr="00B230B5">
        <w:rPr>
          <w:rFonts w:ascii="GHEA Grapalat" w:hAnsi="GHEA Grapalat"/>
        </w:rPr>
        <w:t xml:space="preserve"> </w:t>
      </w:r>
      <w:r w:rsidRPr="00B230B5">
        <w:rPr>
          <w:rFonts w:ascii="GHEA Grapalat" w:hAnsi="GHEA Grapalat" w:cs="Sylfaen"/>
        </w:rPr>
        <w:t>ՄԻԵԴ</w:t>
      </w:r>
      <w:r w:rsidRPr="00B230B5">
        <w:rPr>
          <w:rFonts w:ascii="GHEA Grapalat" w:hAnsi="GHEA Grapalat"/>
        </w:rPr>
        <w:t>-</w:t>
      </w:r>
      <w:r w:rsidRPr="00B230B5">
        <w:rPr>
          <w:rFonts w:ascii="GHEA Grapalat" w:hAnsi="GHEA Grapalat" w:cs="Sylfaen"/>
        </w:rPr>
        <w:t>ի</w:t>
      </w:r>
      <w:r w:rsidRPr="00B230B5">
        <w:rPr>
          <w:rFonts w:ascii="GHEA Grapalat" w:hAnsi="GHEA Grapalat"/>
        </w:rPr>
        <w:t xml:space="preserve"> </w:t>
      </w:r>
      <w:r w:rsidRPr="00B230B5">
        <w:rPr>
          <w:rFonts w:ascii="GHEA Grapalat" w:hAnsi="GHEA Grapalat" w:cs="Sylfaen"/>
        </w:rPr>
        <w:t>բացասական</w:t>
      </w:r>
      <w:r w:rsidRPr="00B230B5">
        <w:rPr>
          <w:rFonts w:ascii="GHEA Grapalat" w:hAnsi="GHEA Grapalat"/>
        </w:rPr>
        <w:t xml:space="preserve"> </w:t>
      </w:r>
      <w:r w:rsidRPr="00B230B5">
        <w:rPr>
          <w:rFonts w:ascii="GHEA Grapalat" w:hAnsi="GHEA Grapalat" w:cs="Sylfaen"/>
        </w:rPr>
        <w:t>վճռի առիթով</w:t>
      </w:r>
      <w:r w:rsidRPr="00B230B5">
        <w:rPr>
          <w:rFonts w:ascii="GHEA Grapalat" w:hAnsi="GHEA Grapalat"/>
        </w:rPr>
        <w:t xml:space="preserve"> </w:t>
      </w:r>
      <w:r w:rsidRPr="00B230B5">
        <w:rPr>
          <w:rFonts w:ascii="GHEA Grapalat" w:hAnsi="GHEA Grapalat" w:cs="Sylfaen"/>
        </w:rPr>
        <w:t>պետք</w:t>
      </w:r>
      <w:r w:rsidRPr="00B230B5">
        <w:rPr>
          <w:rFonts w:ascii="GHEA Grapalat" w:hAnsi="GHEA Grapalat"/>
        </w:rPr>
        <w:t xml:space="preserve"> </w:t>
      </w:r>
      <w:r w:rsidRPr="00B230B5">
        <w:rPr>
          <w:rFonts w:ascii="GHEA Grapalat" w:hAnsi="GHEA Grapalat" w:cs="Sylfaen"/>
        </w:rPr>
        <w:t>է</w:t>
      </w:r>
      <w:r w:rsidRPr="00B230B5">
        <w:rPr>
          <w:rFonts w:ascii="GHEA Grapalat" w:hAnsi="GHEA Grapalat"/>
        </w:rPr>
        <w:t xml:space="preserve"> </w:t>
      </w:r>
      <w:r w:rsidRPr="00B230B5">
        <w:rPr>
          <w:rFonts w:ascii="GHEA Grapalat" w:hAnsi="GHEA Grapalat" w:cs="Sylfaen"/>
        </w:rPr>
        <w:t>հիմնված</w:t>
      </w:r>
      <w:r w:rsidRPr="00B230B5">
        <w:rPr>
          <w:rFonts w:ascii="GHEA Grapalat" w:hAnsi="GHEA Grapalat"/>
        </w:rPr>
        <w:t xml:space="preserve"> </w:t>
      </w:r>
      <w:r w:rsidRPr="00B230B5">
        <w:rPr>
          <w:rFonts w:ascii="GHEA Grapalat" w:hAnsi="GHEA Grapalat" w:cs="Sylfaen"/>
        </w:rPr>
        <w:t>լինի</w:t>
      </w:r>
      <w:r w:rsidRPr="00B230B5">
        <w:rPr>
          <w:rFonts w:ascii="GHEA Grapalat" w:hAnsi="GHEA Grapalat"/>
        </w:rPr>
        <w:t xml:space="preserve"> </w:t>
      </w:r>
      <w:r w:rsidRPr="00B230B5">
        <w:rPr>
          <w:rFonts w:ascii="GHEA Grapalat" w:hAnsi="GHEA Grapalat" w:cs="Sylfaen"/>
        </w:rPr>
        <w:t>միայն</w:t>
      </w:r>
      <w:r w:rsidRPr="00B230B5">
        <w:rPr>
          <w:rFonts w:ascii="GHEA Grapalat" w:hAnsi="GHEA Grapalat"/>
        </w:rPr>
        <w:t xml:space="preserve"> </w:t>
      </w:r>
      <w:r w:rsidRPr="00B230B5">
        <w:rPr>
          <w:rFonts w:ascii="GHEA Grapalat" w:hAnsi="GHEA Grapalat" w:cs="Sylfaen"/>
        </w:rPr>
        <w:t>ազգային</w:t>
      </w:r>
      <w:r w:rsidRPr="00B230B5">
        <w:rPr>
          <w:rFonts w:ascii="GHEA Grapalat" w:hAnsi="GHEA Grapalat"/>
        </w:rPr>
        <w:t xml:space="preserve"> </w:t>
      </w:r>
      <w:r w:rsidRPr="00B230B5">
        <w:rPr>
          <w:rFonts w:ascii="GHEA Grapalat" w:hAnsi="GHEA Grapalat" w:cs="Sylfaen"/>
        </w:rPr>
        <w:t>դատարանի</w:t>
      </w:r>
      <w:r w:rsidRPr="00B230B5">
        <w:rPr>
          <w:rFonts w:ascii="GHEA Grapalat" w:hAnsi="GHEA Grapalat"/>
        </w:rPr>
        <w:t xml:space="preserve"> </w:t>
      </w:r>
      <w:r w:rsidRPr="00B230B5">
        <w:rPr>
          <w:rFonts w:ascii="GHEA Grapalat" w:hAnsi="GHEA Grapalat" w:cs="Sylfaen"/>
        </w:rPr>
        <w:t>կամ</w:t>
      </w:r>
      <w:r w:rsidRPr="00B230B5">
        <w:rPr>
          <w:rFonts w:ascii="GHEA Grapalat" w:hAnsi="GHEA Grapalat"/>
        </w:rPr>
        <w:t xml:space="preserve"> </w:t>
      </w:r>
      <w:r w:rsidRPr="00B230B5">
        <w:rPr>
          <w:rFonts w:ascii="GHEA Grapalat" w:hAnsi="GHEA Grapalat" w:cs="Sylfaen"/>
        </w:rPr>
        <w:t>Բարձրագույն</w:t>
      </w:r>
      <w:r w:rsidRPr="00B230B5">
        <w:rPr>
          <w:rFonts w:ascii="GHEA Grapalat" w:hAnsi="GHEA Grapalat"/>
        </w:rPr>
        <w:t xml:space="preserve"> </w:t>
      </w:r>
      <w:r w:rsidRPr="00B230B5">
        <w:rPr>
          <w:rFonts w:ascii="GHEA Grapalat" w:hAnsi="GHEA Grapalat" w:cs="Sylfaen"/>
        </w:rPr>
        <w:t>դատական</w:t>
      </w:r>
      <w:r w:rsidRPr="00B230B5">
        <w:rPr>
          <w:rFonts w:ascii="GHEA Grapalat" w:hAnsi="GHEA Grapalat"/>
        </w:rPr>
        <w:t xml:space="preserve"> </w:t>
      </w:r>
      <w:r w:rsidRPr="00B230B5">
        <w:rPr>
          <w:rFonts w:ascii="GHEA Grapalat" w:hAnsi="GHEA Grapalat" w:cs="Sylfaen"/>
        </w:rPr>
        <w:t>խորհրդի</w:t>
      </w:r>
      <w:r w:rsidRPr="00B230B5">
        <w:rPr>
          <w:rFonts w:ascii="GHEA Grapalat" w:hAnsi="GHEA Grapalat"/>
        </w:rPr>
        <w:t xml:space="preserve"> (</w:t>
      </w:r>
      <w:r w:rsidRPr="00B230B5">
        <w:rPr>
          <w:rFonts w:ascii="GHEA Grapalat" w:hAnsi="GHEA Grapalat" w:cs="Sylfaen"/>
        </w:rPr>
        <w:t>որը գործում է</w:t>
      </w:r>
      <w:r w:rsidRPr="00B230B5">
        <w:rPr>
          <w:rFonts w:ascii="GHEA Grapalat" w:hAnsi="GHEA Grapalat"/>
        </w:rPr>
        <w:t xml:space="preserve"> </w:t>
      </w:r>
      <w:r w:rsidRPr="00B230B5">
        <w:rPr>
          <w:rFonts w:ascii="GHEA Grapalat" w:hAnsi="GHEA Grapalat" w:cs="Sylfaen"/>
        </w:rPr>
        <w:t>որպես</w:t>
      </w:r>
      <w:r w:rsidRPr="00B230B5">
        <w:rPr>
          <w:rFonts w:ascii="GHEA Grapalat" w:hAnsi="GHEA Grapalat"/>
        </w:rPr>
        <w:t xml:space="preserve"> </w:t>
      </w:r>
      <w:r w:rsidRPr="00B230B5">
        <w:rPr>
          <w:rFonts w:ascii="GHEA Grapalat" w:hAnsi="GHEA Grapalat" w:cs="Sylfaen"/>
        </w:rPr>
        <w:t>դատարան</w:t>
      </w:r>
      <w:r w:rsidRPr="00B230B5">
        <w:rPr>
          <w:rFonts w:ascii="GHEA Grapalat" w:hAnsi="GHEA Grapalat"/>
        </w:rPr>
        <w:t xml:space="preserve">) եզրակացության վրա, որով հաստատվելու է </w:t>
      </w:r>
      <w:r w:rsidRPr="00B230B5">
        <w:rPr>
          <w:rFonts w:ascii="GHEA Grapalat" w:hAnsi="GHEA Grapalat" w:cs="Sylfaen"/>
        </w:rPr>
        <w:t>դատավորի</w:t>
      </w:r>
      <w:r w:rsidRPr="00B230B5">
        <w:rPr>
          <w:rFonts w:ascii="GHEA Grapalat" w:hAnsi="GHEA Grapalat"/>
        </w:rPr>
        <w:t xml:space="preserve"> </w:t>
      </w:r>
      <w:r w:rsidRPr="00B230B5">
        <w:rPr>
          <w:rFonts w:ascii="GHEA Grapalat" w:hAnsi="GHEA Grapalat" w:cs="Sylfaen"/>
        </w:rPr>
        <w:t>դիտավորության</w:t>
      </w:r>
      <w:r w:rsidRPr="00B230B5">
        <w:rPr>
          <w:rFonts w:ascii="GHEA Grapalat" w:hAnsi="GHEA Grapalat"/>
        </w:rPr>
        <w:t xml:space="preserve"> </w:t>
      </w:r>
      <w:r w:rsidRPr="00B230B5">
        <w:rPr>
          <w:rFonts w:ascii="GHEA Grapalat" w:hAnsi="GHEA Grapalat" w:cs="Sylfaen"/>
        </w:rPr>
        <w:t>կամ</w:t>
      </w:r>
      <w:r w:rsidRPr="00B230B5">
        <w:rPr>
          <w:rFonts w:ascii="GHEA Grapalat" w:hAnsi="GHEA Grapalat"/>
        </w:rPr>
        <w:t xml:space="preserve"> </w:t>
      </w:r>
      <w:r w:rsidRPr="00B230B5">
        <w:rPr>
          <w:rFonts w:ascii="GHEA Grapalat" w:hAnsi="GHEA Grapalat" w:cs="Sylfaen"/>
        </w:rPr>
        <w:t>կոպիտ</w:t>
      </w:r>
      <w:r w:rsidRPr="00B230B5">
        <w:rPr>
          <w:rFonts w:ascii="GHEA Grapalat" w:hAnsi="GHEA Grapalat"/>
        </w:rPr>
        <w:t xml:space="preserve"> </w:t>
      </w:r>
      <w:r w:rsidRPr="00B230B5">
        <w:rPr>
          <w:rFonts w:ascii="GHEA Grapalat" w:hAnsi="GHEA Grapalat" w:cs="Sylfaen"/>
        </w:rPr>
        <w:t>անփութության</w:t>
      </w:r>
      <w:r w:rsidRPr="00B230B5">
        <w:rPr>
          <w:rFonts w:ascii="GHEA Grapalat" w:hAnsi="GHEA Grapalat"/>
        </w:rPr>
        <w:t xml:space="preserve"> </w:t>
      </w:r>
      <w:r w:rsidRPr="00B230B5">
        <w:rPr>
          <w:rFonts w:ascii="GHEA Grapalat" w:hAnsi="GHEA Grapalat" w:cs="Sylfaen"/>
        </w:rPr>
        <w:t>հանգամանքը»</w:t>
      </w:r>
      <w:r w:rsidRPr="00B230B5">
        <w:rPr>
          <w:rFonts w:ascii="GHEA Grapalat" w:hAnsi="GHEA Grapalat"/>
        </w:rPr>
        <w:t>:</w:t>
      </w:r>
    </w:p>
  </w:footnote>
  <w:footnote w:id="14">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Venice Commission, CDL-</w:t>
      </w:r>
      <w:proofErr w:type="gramStart"/>
      <w:r w:rsidRPr="00B230B5">
        <w:rPr>
          <w:rFonts w:ascii="GHEA Grapalat" w:hAnsi="GHEA Grapalat"/>
        </w:rPr>
        <w:t>AD(</w:t>
      </w:r>
      <w:proofErr w:type="gramEnd"/>
      <w:r w:rsidRPr="00B230B5">
        <w:rPr>
          <w:rFonts w:ascii="GHEA Grapalat" w:hAnsi="GHEA Grapalat"/>
        </w:rPr>
        <w:t>2022)002, պարբ. 51 (For the latter sanction, the threshold must be a violation which has resulted in a fundamental breach of human rights and/or freedoms (in accordance with the definition in Article 142, part 6 of the Judicial Code) and has been committed deliberately or with gross negligence, i.e., which is clearly incompatible with judicial office):</w:t>
      </w:r>
    </w:p>
  </w:footnote>
  <w:footnote w:id="15">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Venice Commission, </w:t>
      </w:r>
      <w:r w:rsidRPr="00B230B5">
        <w:rPr>
          <w:rFonts w:ascii="GHEA Grapalat" w:eastAsia="Calibri" w:hAnsi="GHEA Grapalat" w:cs="Times New Roman"/>
          <w:bCs/>
          <w:lang w:val="hy-AM"/>
        </w:rPr>
        <w:t>CDL-</w:t>
      </w:r>
      <w:proofErr w:type="gramStart"/>
      <w:r w:rsidRPr="00B230B5">
        <w:rPr>
          <w:rFonts w:ascii="GHEA Grapalat" w:eastAsia="Calibri" w:hAnsi="GHEA Grapalat" w:cs="Times New Roman"/>
          <w:bCs/>
          <w:lang w:val="hy-AM"/>
        </w:rPr>
        <w:t>AD(</w:t>
      </w:r>
      <w:proofErr w:type="gramEnd"/>
      <w:r w:rsidRPr="00B230B5">
        <w:rPr>
          <w:rFonts w:ascii="GHEA Grapalat" w:eastAsia="Calibri" w:hAnsi="GHEA Grapalat" w:cs="Times New Roman"/>
          <w:bCs/>
          <w:lang w:val="hy-AM"/>
        </w:rPr>
        <w:t xml:space="preserve">2019)024, պարբ. </w:t>
      </w:r>
      <w:r w:rsidRPr="00B230B5">
        <w:rPr>
          <w:rFonts w:ascii="GHEA Grapalat" w:eastAsia="Calibri" w:hAnsi="GHEA Grapalat" w:cs="Times New Roman"/>
          <w:bCs/>
        </w:rPr>
        <w:t>50:</w:t>
      </w:r>
    </w:p>
  </w:footnote>
  <w:footnote w:id="16">
    <w:p w:rsidR="006235C6" w:rsidRPr="00B230B5" w:rsidRDefault="006235C6" w:rsidP="006235C6">
      <w:pPr>
        <w:pStyle w:val="FootnoteText"/>
        <w:rPr>
          <w:rFonts w:ascii="GHEA Grapalat" w:hAnsi="GHEA Grapalat"/>
          <w:lang w:val="en-GB"/>
        </w:rPr>
      </w:pPr>
      <w:r w:rsidRPr="00B230B5">
        <w:rPr>
          <w:rStyle w:val="FootnoteReference"/>
          <w:rFonts w:ascii="GHEA Grapalat" w:hAnsi="GHEA Grapalat"/>
        </w:rPr>
        <w:footnoteRef/>
      </w:r>
      <w:r w:rsidRPr="00B230B5">
        <w:rPr>
          <w:rFonts w:ascii="GHEA Grapalat" w:hAnsi="GHEA Grapalat"/>
        </w:rPr>
        <w:t xml:space="preserve"> Kryvoi, Y. and Matos, S., 2021. </w:t>
      </w:r>
      <w:proofErr w:type="gramStart"/>
      <w:r w:rsidRPr="00B230B5">
        <w:rPr>
          <w:rFonts w:ascii="GHEA Grapalat" w:hAnsi="GHEA Grapalat"/>
        </w:rPr>
        <w:t>Non-Retroactivity as a General Principle of Law.</w:t>
      </w:r>
      <w:proofErr w:type="gramEnd"/>
      <w:r w:rsidRPr="00B230B5">
        <w:rPr>
          <w:rFonts w:ascii="GHEA Grapalat" w:hAnsi="GHEA Grapalat"/>
        </w:rPr>
        <w:t xml:space="preserve"> </w:t>
      </w:r>
      <w:proofErr w:type="gramStart"/>
      <w:r w:rsidRPr="00B230B5">
        <w:rPr>
          <w:rFonts w:ascii="GHEA Grapalat" w:hAnsi="GHEA Grapalat"/>
        </w:rPr>
        <w:t>Utrecht Law Review, 17(1), pp.46–58.</w:t>
      </w:r>
      <w:proofErr w:type="gramEnd"/>
      <w:r w:rsidRPr="00B230B5">
        <w:rPr>
          <w:rFonts w:ascii="GHEA Grapalat" w:hAnsi="GHEA Grapalat"/>
        </w:rPr>
        <w:t xml:space="preserve"> DOI: </w:t>
      </w:r>
      <w:hyperlink r:id="rId1" w:history="1">
        <w:r w:rsidRPr="00B230B5">
          <w:rPr>
            <w:rStyle w:val="Hyperlink"/>
            <w:rFonts w:ascii="GHEA Grapalat" w:hAnsi="GHEA Grapalat"/>
          </w:rPr>
          <w:t>http://doi.org/10.36633/ulr.604</w:t>
        </w:r>
      </w:hyperlink>
      <w:r w:rsidRPr="00B230B5">
        <w:rPr>
          <w:rFonts w:ascii="GHEA Grapalat" w:hAnsi="GHEA Grapalat"/>
          <w:lang w:val="en-GB"/>
        </w:rPr>
        <w:t>:</w:t>
      </w:r>
    </w:p>
  </w:footnote>
  <w:footnote w:id="17">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Pension Benefit Guaranty Corp. v R.A. Gray &amp; Co., 467 U.S. 717, 730, 104 S.Ct. 2709, 2718, 81 L.Ed.2d 601 [1984]; United States v Northeastern Pharmaceutical &amp; Chemical Co Inc., 810 F2d 726 [1983]</w:t>
      </w:r>
      <w:r w:rsidRPr="00B230B5">
        <w:rPr>
          <w:rFonts w:ascii="GHEA Grapalat" w:hAnsi="GHEA Grapalat"/>
          <w:lang w:val="en-GB"/>
        </w:rPr>
        <w:t xml:space="preserve">, </w:t>
      </w:r>
      <w:hyperlink r:id="rId2" w:history="1">
        <w:r w:rsidRPr="00B230B5">
          <w:rPr>
            <w:rStyle w:val="Hyperlink"/>
            <w:rFonts w:ascii="GHEA Grapalat" w:hAnsi="GHEA Grapalat"/>
            <w:lang w:val="en-GB"/>
          </w:rPr>
          <w:t>https://www.law.cornell.edu/supremecourt/text/467/717</w:t>
        </w:r>
      </w:hyperlink>
      <w:r w:rsidRPr="00B230B5">
        <w:rPr>
          <w:rFonts w:ascii="GHEA Grapalat" w:hAnsi="GHEA Grapalat"/>
          <w:lang w:val="en-GB"/>
        </w:rPr>
        <w:t xml:space="preserve">: </w:t>
      </w:r>
    </w:p>
  </w:footnote>
  <w:footnote w:id="18">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R v HMRC ex p Huitson [2010] EWHC 97 [76]–[97], appealed in R (Huitson) v HMRC, [2011] EWCA 893 [47]–[73]</w:t>
      </w:r>
      <w:r w:rsidRPr="00B230B5">
        <w:rPr>
          <w:rFonts w:ascii="GHEA Grapalat" w:hAnsi="GHEA Grapalat"/>
          <w:lang w:val="en-GB"/>
        </w:rPr>
        <w:t xml:space="preserve">, </w:t>
      </w:r>
      <w:hyperlink r:id="rId3" w:history="1">
        <w:r w:rsidRPr="00B230B5">
          <w:rPr>
            <w:rStyle w:val="Hyperlink"/>
            <w:rFonts w:ascii="GHEA Grapalat" w:hAnsi="GHEA Grapalat"/>
            <w:lang w:val="en-GB"/>
          </w:rPr>
          <w:t>https://www.bailii.org/ew/cases/EWCA/Civ/2011/893.html</w:t>
        </w:r>
      </w:hyperlink>
      <w:r w:rsidRPr="00B230B5">
        <w:rPr>
          <w:rFonts w:ascii="GHEA Grapalat" w:hAnsi="GHEA Grapalat"/>
          <w:lang w:val="en-GB"/>
        </w:rPr>
        <w:t>:</w:t>
      </w:r>
    </w:p>
  </w:footnote>
  <w:footnote w:id="19">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w:t>
      </w:r>
      <w:proofErr w:type="gramStart"/>
      <w:r w:rsidRPr="00B230B5">
        <w:rPr>
          <w:rFonts w:ascii="GHEA Grapalat" w:hAnsi="GHEA Grapalat"/>
        </w:rPr>
        <w:t>ՄԻԵԴ.</w:t>
      </w:r>
      <w:proofErr w:type="gramEnd"/>
      <w:r w:rsidRPr="00B230B5">
        <w:rPr>
          <w:rFonts w:ascii="GHEA Grapalat" w:hAnsi="GHEA Grapalat"/>
        </w:rPr>
        <w:t xml:space="preserve"> The National &amp; Provincial Building Society,</w:t>
      </w:r>
      <w:r w:rsidRPr="00B230B5">
        <w:rPr>
          <w:rFonts w:ascii="GHEA Grapalat" w:hAnsi="GHEA Grapalat"/>
          <w:lang w:val="en-GB"/>
        </w:rPr>
        <w:t xml:space="preserve"> </w:t>
      </w:r>
      <w:r w:rsidRPr="00B230B5">
        <w:rPr>
          <w:rFonts w:ascii="GHEA Grapalat" w:hAnsi="GHEA Grapalat"/>
        </w:rPr>
        <w:t>The Leeds Permanent Building Society And</w:t>
      </w:r>
      <w:r w:rsidRPr="00B230B5">
        <w:rPr>
          <w:rFonts w:ascii="GHEA Grapalat" w:hAnsi="GHEA Grapalat"/>
          <w:lang w:val="en-GB"/>
        </w:rPr>
        <w:t xml:space="preserve"> </w:t>
      </w:r>
      <w:r w:rsidRPr="00B230B5">
        <w:rPr>
          <w:rFonts w:ascii="GHEA Grapalat" w:hAnsi="GHEA Grapalat"/>
        </w:rPr>
        <w:t>The Yorkshire Building Society ընդդեմ</w:t>
      </w:r>
      <w:r w:rsidRPr="00B230B5">
        <w:rPr>
          <w:rFonts w:ascii="GHEA Grapalat" w:hAnsi="GHEA Grapalat"/>
          <w:lang w:val="en-GB"/>
        </w:rPr>
        <w:t xml:space="preserve"> </w:t>
      </w:r>
      <w:r w:rsidRPr="00B230B5">
        <w:rPr>
          <w:rFonts w:ascii="GHEA Grapalat" w:hAnsi="GHEA Grapalat"/>
        </w:rPr>
        <w:t>Մեծ Բրիտանիայի</w:t>
      </w:r>
      <w:r w:rsidRPr="00B230B5">
        <w:rPr>
          <w:rFonts w:ascii="GHEA Grapalat" w:hAnsi="GHEA Grapalat"/>
          <w:lang w:val="en-GB"/>
        </w:rPr>
        <w:t xml:space="preserve"> </w:t>
      </w:r>
      <w:r w:rsidRPr="00B230B5">
        <w:rPr>
          <w:rFonts w:ascii="GHEA Grapalat" w:hAnsi="GHEA Grapalat"/>
        </w:rPr>
        <w:t>(117/1996/736/933-935)</w:t>
      </w:r>
      <w:r w:rsidRPr="00B230B5">
        <w:rPr>
          <w:rFonts w:ascii="GHEA Grapalat" w:hAnsi="GHEA Grapalat"/>
          <w:lang w:val="en-GB"/>
        </w:rPr>
        <w:t>:</w:t>
      </w:r>
    </w:p>
  </w:footnote>
  <w:footnote w:id="20">
    <w:p w:rsidR="006235C6" w:rsidRPr="00B07743" w:rsidRDefault="006235C6" w:rsidP="00B07743">
      <w:pPr>
        <w:rPr>
          <w:rFonts w:ascii="GHEA Grapalat" w:hAnsi="GHEA Grapalat"/>
          <w:sz w:val="20"/>
          <w:szCs w:val="20"/>
        </w:rPr>
      </w:pPr>
      <w:r w:rsidRPr="00B230B5">
        <w:rPr>
          <w:rStyle w:val="FootnoteReference"/>
          <w:rFonts w:ascii="GHEA Grapalat" w:hAnsi="GHEA Grapalat"/>
          <w:sz w:val="20"/>
          <w:szCs w:val="20"/>
        </w:rPr>
        <w:footnoteRef/>
      </w:r>
      <w:r w:rsidRPr="00B230B5">
        <w:rPr>
          <w:rFonts w:ascii="GHEA Grapalat" w:hAnsi="GHEA Grapalat"/>
          <w:sz w:val="20"/>
          <w:szCs w:val="20"/>
        </w:rPr>
        <w:t xml:space="preserve"> </w:t>
      </w:r>
      <w:proofErr w:type="gramStart"/>
      <w:r w:rsidRPr="00B230B5">
        <w:rPr>
          <w:rFonts w:ascii="GHEA Grapalat" w:hAnsi="GHEA Grapalat"/>
          <w:sz w:val="20"/>
          <w:szCs w:val="20"/>
        </w:rPr>
        <w:t>ՄԻԵԴ.</w:t>
      </w:r>
      <w:proofErr w:type="gramEnd"/>
      <w:r w:rsidRPr="00B230B5">
        <w:rPr>
          <w:rFonts w:ascii="GHEA Grapalat" w:hAnsi="GHEA Grapalat"/>
          <w:sz w:val="20"/>
          <w:szCs w:val="20"/>
        </w:rPr>
        <w:t xml:space="preserve"> Xhoxhaj ընդդեմ Ալբանիայի (գանգատ թիվ 15227/19):</w:t>
      </w:r>
    </w:p>
  </w:footnote>
  <w:footnote w:id="21">
    <w:p w:rsidR="006235C6" w:rsidRPr="00B230B5" w:rsidRDefault="006235C6" w:rsidP="006235C6">
      <w:pPr>
        <w:rPr>
          <w:rFonts w:ascii="GHEA Grapalat" w:hAnsi="GHEA Grapalat"/>
          <w:sz w:val="20"/>
          <w:szCs w:val="20"/>
        </w:rPr>
      </w:pPr>
      <w:r w:rsidRPr="00B230B5">
        <w:rPr>
          <w:rStyle w:val="FootnoteReference"/>
          <w:rFonts w:ascii="GHEA Grapalat" w:hAnsi="GHEA Grapalat"/>
          <w:sz w:val="20"/>
          <w:szCs w:val="20"/>
        </w:rPr>
        <w:footnoteRef/>
      </w:r>
      <w:r w:rsidRPr="00B230B5">
        <w:rPr>
          <w:rFonts w:ascii="GHEA Grapalat" w:hAnsi="GHEA Grapalat"/>
          <w:sz w:val="20"/>
          <w:szCs w:val="20"/>
        </w:rPr>
        <w:t xml:space="preserve"> </w:t>
      </w:r>
      <w:proofErr w:type="gramStart"/>
      <w:r w:rsidRPr="00B230B5">
        <w:rPr>
          <w:rFonts w:ascii="GHEA Grapalat" w:hAnsi="GHEA Grapalat"/>
          <w:sz w:val="20"/>
          <w:szCs w:val="20"/>
        </w:rPr>
        <w:t>ՄԻԵԴ.</w:t>
      </w:r>
      <w:proofErr w:type="gramEnd"/>
      <w:r w:rsidRPr="00B230B5">
        <w:rPr>
          <w:rFonts w:ascii="GHEA Grapalat" w:hAnsi="GHEA Grapalat"/>
          <w:sz w:val="20"/>
          <w:szCs w:val="20"/>
        </w:rPr>
        <w:t xml:space="preserve"> </w:t>
      </w:r>
      <w:proofErr w:type="gramStart"/>
      <w:r w:rsidRPr="00B230B5">
        <w:rPr>
          <w:rFonts w:ascii="GHEA Grapalat" w:hAnsi="GHEA Grapalat"/>
          <w:sz w:val="20"/>
          <w:szCs w:val="20"/>
        </w:rPr>
        <w:t>Xhoxhaj ընդդեմ Ալբանիայի, պարբ.</w:t>
      </w:r>
      <w:proofErr w:type="gramEnd"/>
      <w:r w:rsidRPr="00B230B5">
        <w:rPr>
          <w:rFonts w:ascii="GHEA Grapalat" w:hAnsi="GHEA Grapalat"/>
          <w:sz w:val="20"/>
          <w:szCs w:val="20"/>
        </w:rPr>
        <w:t xml:space="preserve"> 348:</w:t>
      </w:r>
    </w:p>
  </w:footnote>
  <w:footnote w:id="22">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w:t>
      </w:r>
      <w:proofErr w:type="gramStart"/>
      <w:r w:rsidRPr="00B230B5">
        <w:rPr>
          <w:rFonts w:ascii="GHEA Grapalat" w:hAnsi="GHEA Grapalat"/>
        </w:rPr>
        <w:t>Նույն տեղում, պարբ.</w:t>
      </w:r>
      <w:proofErr w:type="gramEnd"/>
      <w:r w:rsidRPr="00B230B5">
        <w:rPr>
          <w:rFonts w:ascii="GHEA Grapalat" w:hAnsi="GHEA Grapalat"/>
        </w:rPr>
        <w:t xml:space="preserve"> 349:</w:t>
      </w:r>
    </w:p>
  </w:footnote>
  <w:footnote w:id="23">
    <w:p w:rsidR="006235C6" w:rsidRPr="00B230B5" w:rsidRDefault="006235C6" w:rsidP="006235C6">
      <w:pPr>
        <w:jc w:val="both"/>
        <w:rPr>
          <w:rFonts w:ascii="GHEA Grapalat" w:hAnsi="GHEA Grapalat"/>
          <w:sz w:val="20"/>
          <w:szCs w:val="20"/>
        </w:rPr>
      </w:pPr>
      <w:r w:rsidRPr="00B230B5">
        <w:rPr>
          <w:rStyle w:val="FootnoteReference"/>
          <w:rFonts w:ascii="GHEA Grapalat" w:hAnsi="GHEA Grapalat"/>
          <w:sz w:val="20"/>
          <w:szCs w:val="20"/>
        </w:rPr>
        <w:footnoteRef/>
      </w:r>
      <w:r w:rsidRPr="00B230B5">
        <w:rPr>
          <w:rFonts w:ascii="GHEA Grapalat" w:hAnsi="GHEA Grapalat"/>
          <w:sz w:val="20"/>
          <w:szCs w:val="20"/>
        </w:rPr>
        <w:t xml:space="preserve"> </w:t>
      </w:r>
      <w:proofErr w:type="gramStart"/>
      <w:r w:rsidRPr="00B230B5">
        <w:rPr>
          <w:rFonts w:ascii="GHEA Grapalat" w:hAnsi="GHEA Grapalat"/>
          <w:sz w:val="20"/>
          <w:szCs w:val="20"/>
        </w:rPr>
        <w:t>ՄԻԵԴ.</w:t>
      </w:r>
      <w:proofErr w:type="gramEnd"/>
      <w:r w:rsidRPr="00B230B5">
        <w:rPr>
          <w:rFonts w:ascii="GHEA Grapalat" w:hAnsi="GHEA Grapalat"/>
          <w:sz w:val="20"/>
          <w:szCs w:val="20"/>
        </w:rPr>
        <w:t xml:space="preserve"> </w:t>
      </w:r>
      <w:proofErr w:type="gramStart"/>
      <w:r w:rsidRPr="00B230B5">
        <w:rPr>
          <w:rFonts w:ascii="GHEA Grapalat" w:hAnsi="GHEA Grapalat"/>
          <w:sz w:val="20"/>
          <w:szCs w:val="20"/>
        </w:rPr>
        <w:t>Azienda Agricola Silverfunghi S.a.s. և այլք ընդդեմ Իտալիայի (գանգատներ թիվ 48357/07, 52677/07, 52687/07), պարբ.</w:t>
      </w:r>
      <w:proofErr w:type="gramEnd"/>
      <w:r w:rsidRPr="00B230B5">
        <w:rPr>
          <w:rFonts w:ascii="GHEA Grapalat" w:hAnsi="GHEA Grapalat"/>
          <w:sz w:val="20"/>
          <w:szCs w:val="20"/>
        </w:rPr>
        <w:t xml:space="preserve"> 76 և 88-89, National &amp; Provincial Building Society, Leeds Permanent Building Society and Yorkshire Building Society ընդդեմ Մեծ Բրիտանիայի (գանգատ թիվ 117/1996/736/933-935), պարբ 112:</w:t>
      </w:r>
    </w:p>
  </w:footnote>
  <w:footnote w:id="24">
    <w:p w:rsidR="006235C6" w:rsidRPr="00B230B5" w:rsidRDefault="006235C6" w:rsidP="006235C6">
      <w:pPr>
        <w:pStyle w:val="FootnoteText"/>
        <w:jc w:val="both"/>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Guide on Article 6 of the European Convention on Human Rights (civil limb): ՄԻԵԴ. </w:t>
      </w:r>
      <w:proofErr w:type="gramStart"/>
      <w:r w:rsidRPr="00B230B5">
        <w:rPr>
          <w:rFonts w:ascii="GHEA Grapalat" w:hAnsi="GHEA Grapalat"/>
        </w:rPr>
        <w:t>National &amp; Provincial Building Society, Leeds Permanent Building Society and Yorkshire Building Society ընդդեմ Մեծ Բրիտանիայի (գանգատներ թիվ 21319/93, 21449/93 և 21675/93), պարբ 112, ForrerNiedenthal ընդդեմ Գերմանիայի, պարբ.</w:t>
      </w:r>
      <w:proofErr w:type="gramEnd"/>
      <w:r w:rsidRPr="00B230B5">
        <w:rPr>
          <w:rFonts w:ascii="GHEA Grapalat" w:hAnsi="GHEA Grapalat"/>
        </w:rPr>
        <w:t xml:space="preserve"> 64, OGIS-Institut Stanislas, OGEC Saint-Pie X և Blanche de Castille և այլք ընդդեմ Ֆրանսիայի, պարբ. </w:t>
      </w:r>
      <w:proofErr w:type="gramStart"/>
      <w:r w:rsidRPr="00B230B5">
        <w:rPr>
          <w:rFonts w:ascii="GHEA Grapalat" w:hAnsi="GHEA Grapalat"/>
        </w:rPr>
        <w:t>71-72, Hôpital local Saint-Pierre d’Oléron և այլք ընդդեմ Ֆրանսիայի, պարբ.</w:t>
      </w:r>
      <w:proofErr w:type="gramEnd"/>
      <w:r w:rsidRPr="00B230B5">
        <w:rPr>
          <w:rFonts w:ascii="GHEA Grapalat" w:hAnsi="GHEA Grapalat"/>
        </w:rPr>
        <w:t xml:space="preserve"> 72-73:</w:t>
      </w:r>
    </w:p>
  </w:footnote>
  <w:footnote w:id="25">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Venice Commission, </w:t>
      </w:r>
      <w:r w:rsidRPr="00B230B5">
        <w:rPr>
          <w:rFonts w:ascii="GHEA Grapalat" w:eastAsia="Calibri" w:hAnsi="GHEA Grapalat" w:cs="Times New Roman"/>
          <w:bCs/>
          <w:lang w:val="hy-AM"/>
        </w:rPr>
        <w:t>CDL-</w:t>
      </w:r>
      <w:proofErr w:type="gramStart"/>
      <w:r w:rsidRPr="00B230B5">
        <w:rPr>
          <w:rFonts w:ascii="GHEA Grapalat" w:eastAsia="Calibri" w:hAnsi="GHEA Grapalat" w:cs="Times New Roman"/>
          <w:bCs/>
          <w:lang w:val="hy-AM"/>
        </w:rPr>
        <w:t>AD(</w:t>
      </w:r>
      <w:proofErr w:type="gramEnd"/>
      <w:r w:rsidRPr="00B230B5">
        <w:rPr>
          <w:rFonts w:ascii="GHEA Grapalat" w:eastAsia="Calibri" w:hAnsi="GHEA Grapalat" w:cs="Times New Roman"/>
          <w:bCs/>
          <w:lang w:val="hy-AM"/>
        </w:rPr>
        <w:t>2019)024, պարբ. 41</w:t>
      </w:r>
      <w:r w:rsidRPr="00B230B5">
        <w:rPr>
          <w:rFonts w:ascii="GHEA Grapalat" w:eastAsia="Calibri" w:hAnsi="GHEA Grapalat" w:cs="Times New Roman"/>
          <w:bCs/>
        </w:rPr>
        <w:t>, 62:</w:t>
      </w:r>
    </w:p>
  </w:footnote>
  <w:footnote w:id="26">
    <w:p w:rsidR="006235C6" w:rsidRPr="00B230B5" w:rsidRDefault="006235C6" w:rsidP="006235C6">
      <w:pPr>
        <w:pStyle w:val="FootnoteText"/>
        <w:rPr>
          <w:rFonts w:ascii="GHEA Grapalat" w:hAnsi="GHEA Grapalat"/>
        </w:rPr>
      </w:pPr>
      <w:r w:rsidRPr="00B230B5">
        <w:rPr>
          <w:rStyle w:val="FootnoteReference"/>
          <w:rFonts w:ascii="GHEA Grapalat" w:hAnsi="GHEA Grapalat"/>
        </w:rPr>
        <w:footnoteRef/>
      </w:r>
      <w:r w:rsidRPr="00B230B5">
        <w:rPr>
          <w:rFonts w:ascii="GHEA Grapalat" w:hAnsi="GHEA Grapalat"/>
        </w:rPr>
        <w:t xml:space="preserve"> Venice Commission, CDL-</w:t>
      </w:r>
      <w:proofErr w:type="gramStart"/>
      <w:r w:rsidRPr="00B230B5">
        <w:rPr>
          <w:rFonts w:ascii="GHEA Grapalat" w:hAnsi="GHEA Grapalat"/>
        </w:rPr>
        <w:t>AD(</w:t>
      </w:r>
      <w:proofErr w:type="gramEnd"/>
      <w:r w:rsidRPr="00B230B5">
        <w:rPr>
          <w:rFonts w:ascii="GHEA Grapalat" w:hAnsi="GHEA Grapalat"/>
        </w:rPr>
        <w:t>2022)002, պարբ. 78:</w:t>
      </w:r>
    </w:p>
  </w:footnote>
  <w:footnote w:id="27">
    <w:p w:rsidR="006235C6" w:rsidRPr="006235C6" w:rsidRDefault="006235C6" w:rsidP="006235C6">
      <w:pPr>
        <w:pStyle w:val="FootnoteText"/>
      </w:pPr>
      <w:r>
        <w:rPr>
          <w:rStyle w:val="FootnoteReference"/>
        </w:rPr>
        <w:footnoteRef/>
      </w:r>
      <w:r>
        <w:t xml:space="preserve"> </w:t>
      </w:r>
      <w:r w:rsidRPr="00B230B5">
        <w:rPr>
          <w:rFonts w:ascii="GHEA Grapalat" w:hAnsi="GHEA Grapalat"/>
        </w:rPr>
        <w:t>Venice Commission, CDL-</w:t>
      </w:r>
      <w:proofErr w:type="gramStart"/>
      <w:r w:rsidRPr="00B230B5">
        <w:rPr>
          <w:rFonts w:ascii="GHEA Grapalat" w:hAnsi="GHEA Grapalat"/>
        </w:rPr>
        <w:t>AD(</w:t>
      </w:r>
      <w:proofErr w:type="gramEnd"/>
      <w:r w:rsidRPr="00B230B5">
        <w:rPr>
          <w:rFonts w:ascii="GHEA Grapalat" w:hAnsi="GHEA Grapalat"/>
        </w:rPr>
        <w:t>2022)002</w:t>
      </w:r>
      <w:r>
        <w:rPr>
          <w:rFonts w:ascii="GHEA Grapalat" w:hAnsi="GHEA Grapalat"/>
        </w:rPr>
        <w:t xml:space="preserve">, </w:t>
      </w:r>
      <w:r>
        <w:rPr>
          <w:rFonts w:ascii="GHEA Grapalat" w:hAnsi="GHEA Grapalat"/>
          <w:lang w:val="ru-RU"/>
        </w:rPr>
        <w:t>պարբ</w:t>
      </w:r>
      <w:r w:rsidRPr="00F03AC4">
        <w:rPr>
          <w:rFonts w:ascii="GHEA Grapalat" w:hAnsi="GHEA Grapalat"/>
        </w:rPr>
        <w:t>. 8</w:t>
      </w:r>
      <w:r w:rsidRPr="006235C6">
        <w:rPr>
          <w:rFonts w:ascii="GHEA Grapalat" w:hAnsi="GHEA Grapalat"/>
        </w:rPr>
        <w:t>9:</w:t>
      </w:r>
    </w:p>
  </w:footnote>
  <w:footnote w:id="28">
    <w:p w:rsidR="006235C6" w:rsidRDefault="006235C6" w:rsidP="006235C6">
      <w:pPr>
        <w:pStyle w:val="FootnoteText"/>
      </w:pPr>
      <w:r>
        <w:rPr>
          <w:rStyle w:val="FootnoteReference"/>
        </w:rPr>
        <w:footnoteRef/>
      </w:r>
      <w:r>
        <w:t xml:space="preserve"> </w:t>
      </w:r>
      <w:r w:rsidRPr="00B230B5">
        <w:rPr>
          <w:rFonts w:ascii="GHEA Grapalat" w:hAnsi="GHEA Grapalat"/>
        </w:rPr>
        <w:t>Venice Commission, CDL-</w:t>
      </w:r>
      <w:proofErr w:type="gramStart"/>
      <w:r w:rsidRPr="00B230B5">
        <w:rPr>
          <w:rFonts w:ascii="GHEA Grapalat" w:hAnsi="GHEA Grapalat"/>
        </w:rPr>
        <w:t>AD(</w:t>
      </w:r>
      <w:proofErr w:type="gramEnd"/>
      <w:r w:rsidRPr="00B230B5">
        <w:rPr>
          <w:rFonts w:ascii="GHEA Grapalat" w:hAnsi="GHEA Grapalat"/>
        </w:rPr>
        <w:t>2022)002</w:t>
      </w:r>
      <w:r>
        <w:rPr>
          <w:rFonts w:ascii="GHEA Grapalat" w:hAnsi="GHEA Grapalat"/>
        </w:rPr>
        <w:t xml:space="preserve">, </w:t>
      </w:r>
      <w:r>
        <w:rPr>
          <w:rFonts w:ascii="GHEA Grapalat" w:hAnsi="GHEA Grapalat"/>
          <w:lang w:val="ru-RU"/>
        </w:rPr>
        <w:t>պարբ</w:t>
      </w:r>
      <w:r>
        <w:rPr>
          <w:rFonts w:ascii="GHEA Grapalat" w:hAnsi="GHEA Grapalat"/>
        </w:rPr>
        <w:t>. 54-55</w:t>
      </w:r>
      <w:r>
        <w:rPr>
          <w:rFonts w:ascii="GHEA Grapalat" w:hAnsi="GHEA Grapalat"/>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2564" w:rsidRPr="00C92E98" w:rsidRDefault="001271C3" w:rsidP="002A2564">
    <w:pPr>
      <w:pBdr>
        <w:left w:val="single" w:sz="18" w:space="4" w:color="FF0000"/>
      </w:pBdr>
      <w:tabs>
        <w:tab w:val="center" w:pos="4320"/>
        <w:tab w:val="right" w:pos="8640"/>
      </w:tabs>
      <w:ind w:left="-180"/>
      <w:rPr>
        <w:rFonts w:ascii="Sylfaen" w:eastAsia="SimSun" w:hAnsi="Sylfaen" w:cs="Arial"/>
        <w:color w:val="FF0000"/>
        <w:lang w:val="hy-AM"/>
      </w:rPr>
    </w:pPr>
    <w:r w:rsidRPr="00C92E98">
      <w:rPr>
        <w:rFonts w:ascii="Arial Armenian" w:eastAsia="SimSun" w:hAnsi="Arial Armenian" w:cs="Arial"/>
        <w:noProof/>
        <w:color w:val="FF0000"/>
      </w:rPr>
      <w:drawing>
        <wp:anchor distT="0" distB="0" distL="114300" distR="114300" simplePos="0" relativeHeight="251659264" behindDoc="1" locked="0" layoutInCell="1" allowOverlap="1">
          <wp:simplePos x="0" y="0"/>
          <wp:positionH relativeFrom="column">
            <wp:posOffset>-685800</wp:posOffset>
          </wp:positionH>
          <wp:positionV relativeFrom="paragraph">
            <wp:posOffset>-8890</wp:posOffset>
          </wp:positionV>
          <wp:extent cx="457200" cy="444500"/>
          <wp:effectExtent l="0" t="0" r="0" b="12700"/>
          <wp:wrapNone/>
          <wp:docPr id="3" name="Picture 1"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444500"/>
                  </a:xfrm>
                  <a:prstGeom prst="rect">
                    <a:avLst/>
                  </a:prstGeom>
                  <a:noFill/>
                  <a:ln>
                    <a:noFill/>
                  </a:ln>
                </pic:spPr>
              </pic:pic>
            </a:graphicData>
          </a:graphic>
        </wp:anchor>
      </w:drawing>
    </w:r>
    <w:r w:rsidRPr="00C92E98">
      <w:rPr>
        <w:rFonts w:ascii="GHEA Grapalat" w:eastAsia="SimSun" w:hAnsi="GHEA Grapalat" w:cs="Arial"/>
        <w:lang w:val="hy-AM"/>
      </w:rPr>
      <w:t xml:space="preserve">Արդարադատության                                                                                 </w:t>
    </w:r>
  </w:p>
  <w:p w:rsidR="002A2564" w:rsidRPr="00C92E98" w:rsidRDefault="001271C3" w:rsidP="002A2564">
    <w:pPr>
      <w:pBdr>
        <w:left w:val="single" w:sz="18" w:space="4" w:color="0000FF"/>
      </w:pBdr>
      <w:tabs>
        <w:tab w:val="center" w:pos="4320"/>
        <w:tab w:val="right" w:pos="8640"/>
      </w:tabs>
      <w:ind w:left="-180"/>
      <w:rPr>
        <w:rFonts w:ascii="GHEA Grapalat" w:eastAsia="SimSun" w:hAnsi="GHEA Grapalat" w:cs="Arial"/>
        <w:lang w:val="hy-AM"/>
      </w:rPr>
    </w:pPr>
    <w:r w:rsidRPr="00C92E98">
      <w:rPr>
        <w:rFonts w:ascii="GHEA Grapalat" w:eastAsia="SimSun" w:hAnsi="GHEA Grapalat" w:cs="Arial"/>
        <w:lang w:val="hy-AM"/>
      </w:rPr>
      <w:t>Նախարարություն</w:t>
    </w:r>
  </w:p>
  <w:p w:rsidR="00C7421D" w:rsidRDefault="00754B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FC248A"/>
    <w:multiLevelType w:val="hybridMultilevel"/>
    <w:tmpl w:val="BF98C8D6"/>
    <w:lvl w:ilvl="0" w:tplc="01883FCC">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grammar="clean"/>
  <w:defaultTabStop w:val="720"/>
  <w:characterSpacingControl w:val="doNotCompress"/>
  <w:footnotePr>
    <w:footnote w:id="-1"/>
    <w:footnote w:id="0"/>
  </w:footnotePr>
  <w:endnotePr>
    <w:endnote w:id="-1"/>
    <w:endnote w:id="0"/>
  </w:endnotePr>
  <w:compat/>
  <w:rsids>
    <w:rsidRoot w:val="006235C6"/>
    <w:rsid w:val="001271C3"/>
    <w:rsid w:val="00365374"/>
    <w:rsid w:val="006235C6"/>
    <w:rsid w:val="00754B95"/>
    <w:rsid w:val="008C1FD5"/>
    <w:rsid w:val="009E5A63"/>
    <w:rsid w:val="00A26979"/>
    <w:rsid w:val="00B07743"/>
    <w:rsid w:val="00BF7B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35C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35C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235C6"/>
    <w:rPr>
      <w:rFonts w:ascii="Times New Roman" w:eastAsia="Times New Roman" w:hAnsi="Times New Roman" w:cs="Times New Roman"/>
      <w:b/>
      <w:bCs/>
      <w:sz w:val="36"/>
      <w:szCs w:val="36"/>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6235C6"/>
    <w:pPr>
      <w:spacing w:after="200" w:line="276" w:lineRule="auto"/>
      <w:ind w:left="720"/>
      <w:contextualSpacing/>
    </w:pPr>
    <w:rPr>
      <w:rFonts w:asciiTheme="minorHAnsi" w:eastAsiaTheme="minorHAnsi" w:hAnsiTheme="minorHAnsi" w:cstheme="minorBidi"/>
      <w:sz w:val="22"/>
      <w:szCs w:val="22"/>
      <w:lang w:val="ru-RU"/>
    </w:rPr>
  </w:style>
  <w:style w:type="paragraph" w:styleId="Header">
    <w:name w:val="header"/>
    <w:basedOn w:val="Normal"/>
    <w:link w:val="HeaderChar"/>
    <w:uiPriority w:val="99"/>
    <w:semiHidden/>
    <w:unhideWhenUsed/>
    <w:rsid w:val="006235C6"/>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semiHidden/>
    <w:rsid w:val="006235C6"/>
  </w:style>
  <w:style w:type="paragraph" w:styleId="FootnoteText">
    <w:name w:val="footnote text"/>
    <w:aliases w:val="Footnote Text Char Char Char,Footnote Text Char Char,Fußnote,fn"/>
    <w:basedOn w:val="Normal"/>
    <w:link w:val="FootnoteTextChar"/>
    <w:uiPriority w:val="99"/>
    <w:unhideWhenUsed/>
    <w:rsid w:val="006235C6"/>
    <w:rPr>
      <w:rFonts w:asciiTheme="minorHAnsi" w:eastAsiaTheme="minorHAnsi" w:hAnsiTheme="minorHAnsi" w:cstheme="minorBidi"/>
      <w:sz w:val="20"/>
      <w:szCs w:val="20"/>
    </w:rPr>
  </w:style>
  <w:style w:type="character" w:customStyle="1" w:styleId="FootnoteTextChar">
    <w:name w:val="Footnote Text Char"/>
    <w:aliases w:val="Footnote Text Char Char Char Char,Footnote Text Char Char Char1,Fußnote Char,fn Char"/>
    <w:basedOn w:val="DefaultParagraphFont"/>
    <w:link w:val="FootnoteText"/>
    <w:uiPriority w:val="99"/>
    <w:rsid w:val="006235C6"/>
    <w:rPr>
      <w:sz w:val="20"/>
      <w:szCs w:val="20"/>
    </w:rPr>
  </w:style>
  <w:style w:type="character" w:styleId="FootnoteReference">
    <w:name w:val="footnote reference"/>
    <w:aliases w:val="BVI fnr,Balloon Text Char1,Balloon Text Char2 Char1,Balloon Text Char1 Char Char1"/>
    <w:basedOn w:val="DefaultParagraphFont"/>
    <w:uiPriority w:val="99"/>
    <w:unhideWhenUsed/>
    <w:rsid w:val="006235C6"/>
    <w:rPr>
      <w:vertAlign w:val="superscript"/>
    </w:rPr>
  </w:style>
  <w:style w:type="character" w:styleId="Hyperlink">
    <w:name w:val="Hyperlink"/>
    <w:basedOn w:val="DefaultParagraphFont"/>
    <w:uiPriority w:val="99"/>
    <w:unhideWhenUsed/>
    <w:rsid w:val="006235C6"/>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6235C6"/>
    <w:rPr>
      <w:lang w:val="ru-RU"/>
    </w:rPr>
  </w:style>
  <w:style w:type="paragraph" w:styleId="Footer">
    <w:name w:val="footer"/>
    <w:basedOn w:val="Normal"/>
    <w:link w:val="FooterChar"/>
    <w:uiPriority w:val="99"/>
    <w:semiHidden/>
    <w:unhideWhenUsed/>
    <w:rsid w:val="00A26979"/>
    <w:pPr>
      <w:tabs>
        <w:tab w:val="center" w:pos="4844"/>
        <w:tab w:val="right" w:pos="9689"/>
      </w:tabs>
    </w:pPr>
  </w:style>
  <w:style w:type="character" w:customStyle="1" w:styleId="FooterChar">
    <w:name w:val="Footer Char"/>
    <w:basedOn w:val="DefaultParagraphFont"/>
    <w:link w:val="Footer"/>
    <w:uiPriority w:val="99"/>
    <w:semiHidden/>
    <w:rsid w:val="00A2697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bailii.org/ew/cases/EWCA/Civ/2011/893.html" TargetMode="External"/><Relationship Id="rId2" Type="http://schemas.openxmlformats.org/officeDocument/2006/relationships/hyperlink" Target="https://www.law.cornell.edu/supremecourt/text/467/717" TargetMode="External"/><Relationship Id="rId1" Type="http://schemas.openxmlformats.org/officeDocument/2006/relationships/hyperlink" Target="http://doi.org/10.36633/ulr.60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19</Pages>
  <Words>3809</Words>
  <Characters>21717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User</dc:creator>
  <cp:keywords>https://mul2-moj.gov.am/tasks/385810/oneclick/03 Himnavorum.docx?token=2f1924cc63adf424b15ee5312db13791</cp:keywords>
  <dc:description/>
  <cp:lastModifiedBy>T-Dadunc</cp:lastModifiedBy>
  <cp:revision>5</cp:revision>
  <dcterms:created xsi:type="dcterms:W3CDTF">2022-04-11T13:23:00Z</dcterms:created>
  <dcterms:modified xsi:type="dcterms:W3CDTF">2022-04-11T14:21:00Z</dcterms:modified>
</cp:coreProperties>
</file>