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E09C3F" w14:textId="77777777" w:rsidR="00A0165D" w:rsidRPr="00B6505A" w:rsidRDefault="00A0165D" w:rsidP="00A0165D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6505A">
        <w:rPr>
          <w:rFonts w:ascii="GHEA Grapalat" w:hAnsi="GHEA Grapalat"/>
          <w:lang w:val="hy-AM"/>
        </w:rPr>
        <w:t>ԱՄՓՈՓԱԹԵՐԹ</w:t>
      </w:r>
    </w:p>
    <w:p w14:paraId="6CD70290" w14:textId="16472366" w:rsidR="00A0165D" w:rsidRPr="00B6505A" w:rsidRDefault="00A0165D" w:rsidP="00A0165D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6505A">
        <w:rPr>
          <w:rFonts w:ascii="GHEA Grapalat" w:hAnsi="GHEA Grapalat" w:cs="Sylfaen"/>
          <w:lang w:val="hy-AM"/>
        </w:rPr>
        <w:t>«</w:t>
      </w:r>
      <w:r w:rsidR="006F0EDB">
        <w:rPr>
          <w:rFonts w:ascii="GHEA Grapalat" w:hAnsi="GHEA Grapalat" w:cs="Sylfaen"/>
          <w:lang w:val="hy-AM"/>
        </w:rPr>
        <w:t>ԱՍԿԵ ԳՐՈՒՊ</w:t>
      </w:r>
      <w:r>
        <w:rPr>
          <w:rFonts w:ascii="GHEA Grapalat" w:hAnsi="GHEA Grapalat" w:cs="Sylfaen"/>
          <w:lang w:val="hy-AM"/>
        </w:rPr>
        <w:t xml:space="preserve">» </w:t>
      </w:r>
      <w:r w:rsidR="00EF524F">
        <w:rPr>
          <w:rFonts w:ascii="GHEA Grapalat" w:hAnsi="GHEA Grapalat" w:cs="Sylfaen"/>
          <w:lang w:val="hy-AM"/>
        </w:rPr>
        <w:t>ԲԱՑ ԲԱԺՆԵՏԻՐԱԿԱՆ</w:t>
      </w:r>
      <w:r w:rsidRPr="00B6505A">
        <w:rPr>
          <w:rFonts w:ascii="GHEA Grapalat" w:hAnsi="GHEA Grapalat" w:cs="Sylfaen"/>
          <w:lang w:val="hy-AM"/>
        </w:rPr>
        <w:t xml:space="preserve"> ԸՆԿԵՐՈՒԹՅԱՆ </w:t>
      </w:r>
      <w:r>
        <w:rPr>
          <w:rFonts w:ascii="GHEA Grapalat" w:hAnsi="GHEA Grapalat" w:cs="Sylfaen"/>
          <w:lang w:val="hy-AM"/>
        </w:rPr>
        <w:t>ԳՈՐԾԱՐԱՐ</w:t>
      </w:r>
      <w:r w:rsidRPr="00B6505A">
        <w:rPr>
          <w:rFonts w:ascii="GHEA Grapalat" w:hAnsi="GHEA Grapalat" w:cs="Sylfaen"/>
          <w:lang w:val="hy-AM"/>
        </w:rPr>
        <w:t xml:space="preserve"> ԾՐԱԳՐԻ ՎԵՐԱԲԵՐՅԱԼ</w:t>
      </w:r>
      <w:r w:rsidRPr="00B6505A">
        <w:rPr>
          <w:rFonts w:ascii="GHEA Grapalat" w:hAnsi="GHEA Grapalat"/>
          <w:lang w:val="hy-AM"/>
        </w:rPr>
        <w:t xml:space="preserve"> ՇԱՀԱԳՐԳԻՌ ՄԱՐՄԻՆՆԵՐԻ ԱՌԱՐԿՈՒԹՅՈՒՆՆԵՐԻ ԵՎ ԱՌԱՋԱՐԿՈՒԹՅՈՒՆՆԵՐԻ</w:t>
      </w:r>
    </w:p>
    <w:p w14:paraId="0F8A3AD0" w14:textId="77777777" w:rsidR="00A0165D" w:rsidRPr="00B6505A" w:rsidRDefault="00A0165D" w:rsidP="00A0165D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A0165D" w:rsidRPr="00C22640" w14:paraId="1918426C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4FEF1A3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>1. ՀՀ ֆինանսների նախարարություն</w:t>
            </w:r>
          </w:p>
          <w:p w14:paraId="0388DD46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9D7EDA" w14:textId="107FF500" w:rsidR="00A0165D" w:rsidRPr="00C22640" w:rsidRDefault="000975E6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10</w:t>
            </w:r>
            <w:r w:rsidR="00A0165D" w:rsidRPr="00C22640">
              <w:rPr>
                <w:rFonts w:ascii="GHEA Grapalat" w:eastAsia="Calibri" w:hAnsi="GHEA Grapalat"/>
                <w:lang w:val="hy-AM" w:eastAsia="en-US"/>
              </w:rPr>
              <w:t>-</w:t>
            </w:r>
            <w:r>
              <w:rPr>
                <w:rFonts w:ascii="GHEA Grapalat" w:eastAsia="Calibri" w:hAnsi="GHEA Grapalat"/>
                <w:lang w:val="hy-AM" w:eastAsia="en-US"/>
              </w:rPr>
              <w:t>03</w:t>
            </w:r>
            <w:r w:rsidR="00A0165D" w:rsidRPr="00C22640">
              <w:rPr>
                <w:rFonts w:ascii="GHEA Grapalat" w:eastAsia="Calibri" w:hAnsi="GHEA Grapalat"/>
                <w:lang w:val="hy-AM" w:eastAsia="en-US"/>
              </w:rPr>
              <w:t>-202</w:t>
            </w:r>
            <w:r>
              <w:rPr>
                <w:rFonts w:ascii="GHEA Grapalat" w:eastAsia="Calibri" w:hAnsi="GHEA Grapalat"/>
                <w:lang w:val="hy-AM" w:eastAsia="en-US"/>
              </w:rPr>
              <w:t>2</w:t>
            </w:r>
            <w:r w:rsidR="00A0165D" w:rsidRPr="00C22640">
              <w:rPr>
                <w:rFonts w:ascii="GHEA Grapalat" w:eastAsia="Calibri" w:hAnsi="GHEA Grapalat"/>
                <w:lang w:val="hy-AM" w:eastAsia="en-US"/>
              </w:rPr>
              <w:t>թ.</w:t>
            </w:r>
          </w:p>
        </w:tc>
      </w:tr>
      <w:tr w:rsidR="00A0165D" w:rsidRPr="00C22640" w14:paraId="1768B376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2B8D8D0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28A84" w14:textId="62DA7298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0975E6" w:rsidRPr="000975E6">
              <w:rPr>
                <w:rFonts w:ascii="GHEA Grapalat" w:eastAsia="Calibri" w:hAnsi="GHEA Grapalat"/>
                <w:lang w:eastAsia="en-US"/>
              </w:rPr>
              <w:t>01/2-3/3774-2022</w:t>
            </w:r>
          </w:p>
        </w:tc>
      </w:tr>
      <w:tr w:rsidR="00A0165D" w:rsidRPr="00280698" w14:paraId="40EE7566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336513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Ի կատարումն ՀՀ վարչապետի ս.թ. մարտի 3-ի թիվ 02/16.9/6549-2022 հանձ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նա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րա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րա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կանի, ՀՀ ֆինանսների նախարարությունը քննարկել է «ԱՍԿԵ գրուպ» ԲԲԸ-ի կող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մից իրա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կա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նաց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վող գործա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րար ծրագրի շրջանակներում ստեղծ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վող նոր աշխա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տե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ղերի մասով հաշ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վարկ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ված լրա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ցու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ցիչ աշխատավարձի և դրան հավա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սա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րեցված վճա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րում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ների գումարը շահու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թահարկի գումա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րից նվազեցնելու նպա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կով ՀՀ վարչապետի աշխա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տա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կազմ ներկա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յա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ց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ված դիմումը, որի կապակ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ցու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թյամբ կից ներկայացնում ենք ՀՀ կառա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վա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րու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թյան 2017 թվականի հոկտեմ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բերի 5-ի թիվ 1235-Ն որոշման 1-ին կետով սահ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ման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ված կարգի 8-րդ կետով նախատեսված չափո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րո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շիչների գնա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հատականները:</w:t>
            </w:r>
          </w:p>
          <w:p w14:paraId="39845A5D" w14:textId="77777777" w:rsidR="00A0165D" w:rsidRPr="00C22640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8B6DFD" w14:textId="77777777" w:rsidR="00A0165D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Ընդունվել է։</w:t>
            </w:r>
          </w:p>
          <w:p w14:paraId="71075255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</w:tr>
      <w:tr w:rsidR="00A0165D" w:rsidRPr="00C22640" w14:paraId="678FCF09" w14:textId="77777777" w:rsidTr="00A93F24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1AA0E6" w14:textId="77777777" w:rsidR="00A0165D" w:rsidRPr="00C22640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bookmarkStart w:id="0" w:name="_Hlk69199583"/>
            <w:r w:rsidRPr="00C22640">
              <w:rPr>
                <w:rFonts w:ascii="GHEA Grapalat" w:eastAsia="Calibri" w:hAnsi="GHEA Grapalat"/>
                <w:lang w:val="hy-AM" w:eastAsia="en-US"/>
              </w:rPr>
              <w:t>2. ՀՀ պետական եկամուտների կոմիտե</w:t>
            </w:r>
          </w:p>
          <w:p w14:paraId="739B5F09" w14:textId="77777777" w:rsidR="00A0165D" w:rsidRPr="00C22640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A99C10D" w14:textId="5750520A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 w:rsidR="000975E6">
              <w:rPr>
                <w:rFonts w:ascii="GHEA Grapalat" w:hAnsi="GHEA Grapalat"/>
                <w:lang w:val="hy-AM" w:eastAsia="en-US"/>
              </w:rPr>
              <w:t>0</w:t>
            </w:r>
            <w:r w:rsidRPr="00C22640">
              <w:rPr>
                <w:rFonts w:ascii="GHEA Grapalat" w:hAnsi="GHEA Grapalat"/>
                <w:lang w:val="hy-AM" w:eastAsia="en-US"/>
              </w:rPr>
              <w:t>-</w:t>
            </w:r>
            <w:r w:rsidR="000975E6">
              <w:rPr>
                <w:rFonts w:ascii="GHEA Grapalat" w:hAnsi="GHEA Grapalat"/>
                <w:lang w:val="hy-AM" w:eastAsia="en-US"/>
              </w:rPr>
              <w:t>03</w:t>
            </w:r>
            <w:r w:rsidRPr="00C22640">
              <w:rPr>
                <w:rFonts w:ascii="GHEA Grapalat" w:hAnsi="GHEA Grapalat"/>
                <w:lang w:val="hy-AM" w:eastAsia="en-US"/>
              </w:rPr>
              <w:t>-202</w:t>
            </w:r>
            <w:r w:rsidR="000975E6">
              <w:rPr>
                <w:rFonts w:ascii="GHEA Grapalat" w:hAnsi="GHEA Grapalat"/>
                <w:lang w:val="hy-AM" w:eastAsia="en-US"/>
              </w:rPr>
              <w:t>2</w:t>
            </w:r>
            <w:r w:rsidRPr="00C22640">
              <w:rPr>
                <w:rFonts w:ascii="GHEA Grapalat" w:eastAsia="Calibri" w:hAnsi="GHEA Grapalat"/>
                <w:lang w:val="hy-AM" w:eastAsia="en-US"/>
              </w:rPr>
              <w:t>թ.</w:t>
            </w:r>
            <w:r w:rsidRPr="00C22640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tr w:rsidR="00A0165D" w:rsidRPr="00C22640" w14:paraId="7C9E63A1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0678C5" w14:textId="77777777" w:rsidR="00A0165D" w:rsidRPr="00C22640" w:rsidRDefault="00A0165D" w:rsidP="00A93F24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53D1A3" w14:textId="70AAD42E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C22640">
              <w:rPr>
                <w:rFonts w:ascii="GHEA Grapalat" w:eastAsia="Calibri" w:hAnsi="GHEA Grapalat"/>
                <w:lang w:val="hy-AM" w:eastAsia="en-US"/>
              </w:rPr>
              <w:t xml:space="preserve">N </w:t>
            </w:r>
            <w:r w:rsidR="000975E6" w:rsidRPr="000975E6">
              <w:rPr>
                <w:rFonts w:ascii="GHEA Grapalat" w:eastAsia="Calibri" w:hAnsi="GHEA Grapalat"/>
                <w:lang w:eastAsia="en-US"/>
              </w:rPr>
              <w:t>01/3-3/15678-2022</w:t>
            </w:r>
          </w:p>
        </w:tc>
      </w:tr>
      <w:tr w:rsidR="001300CF" w:rsidRPr="00386C19" w14:paraId="5CE5A89B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B1061C" w14:textId="77777777" w:rsidR="001300CF" w:rsidRPr="000975E6" w:rsidRDefault="001300CF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442FAD" w14:textId="77777777" w:rsidR="001300CF" w:rsidRDefault="001300CF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</w:tr>
      <w:tr w:rsidR="00A0165D" w:rsidRPr="00386C19" w14:paraId="64CE75E8" w14:textId="77777777" w:rsidTr="00A93F24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5C7A22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Ընկերության գործունեության մասին Ձև N1 «Գործարար ծրագիր» աղյուսակով ներկայացված հակիրճ տեղեկատվության` </w:t>
            </w:r>
          </w:p>
          <w:p w14:paraId="26C65B1F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- 7-րդ կետի համաձայն` կազմակերպությունը հիմնադրվել է 1995թ.-ին, գործունեության մեկնարկի ժամկետն է 1995թ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, </w:t>
            </w:r>
          </w:p>
          <w:p w14:paraId="22A275FA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- 8-րդ կետով նախատեսված` «Ծրագրի նպատակը» տողում ներկայացված է հետևյալ տեղեկատվությունը, մասնավորապես՝ ընկերության արտադրական հումքը մետաղի ջարդոն է, որը բազմակի վերամշակման փուլեր անցնելուց հետո վերածվում է ամրանի և մանրեցման գնդերի։ Ընկերության արտադրանքը ծածկում է հայկական շուկայի մոտ 80% պահանջարկը։ Արտադրական հզորությունները թույլ են տալիս թողարկել տարեկան մոտ 250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տոննա նախապատրաստվածք և 150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տոննա ամրան։ 2021թ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ընկերությունը արտադրել և իրացրել է մոտ 108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տոննա արտադրանք։ Ընկերությունը նախատեսում է կառուցել նոր գնդալցման և մետաղալարի գլոցման արտադրամասեր։ Ծրագրով նախատեսված աշխատանքները մեկնարկելու են 2022թ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-ին և նոր արտադրամասերը կհանձնվեն շահագործման 2023թ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-ին։ Վերազինման արդյունքում լրացուցիչ արտադրական կարողությունները կավելանան՝ թույլ տալով արտադրել լրացուցիչ մոտ 50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տոննա մանրեցման գնդեր և 30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տոննա մետաղալար։</w:t>
            </w:r>
          </w:p>
          <w:p w14:paraId="4D94B6C2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Հաշվի առնելով Որոշմամբ սահմանված կարգի «N1 ձևի լրացման ուղեցույց»-ի 1-ին կետի 4-րդ ենթակետը (այն է՝ այդ տողում նկարագրվում է ծրագրի նպատակը, որտեղ կատարվում է նշում նաև արդեն իսկ իրականացված և անհրաժեշտ աշխատանքների, 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ինչպես նաև դրանց ժամկետների մասին)՝ ներկայացված տեղեկատվությունը բավարարում է սահմանված պահանջներին, </w:t>
            </w:r>
          </w:p>
          <w:p w14:paraId="5D34207E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- 9-րդ կետով նախատեսված` «Մարքեթինգային քաղաքականության նկարագրությունը» տողում ներկայացված տեղեկատվությունը թերի է, քանի որ  Որոշմամբ սահմանված կարգի «N1 ձևի լրացման ուղեցույց»-ի 1-ին կետի 5-րդ ենթակետի համաձայն` այդ տողում նկարագրվում է իրականացվող և նախատեսվող մարքեթինգային քաղաքականու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softHyphen/>
              <w:t>թյունը` նշելով նաև դրա համար անհրաժեշտ ֆինանսական միջոցների մասին։ Տվյալ դեպքում՝ բացակայում է իրականացվող և նախատեսվող մարքեթինգային քաղաքականության իրականացման համար անհրաժեշտ ֆինանսական միջոցների վերաբերյալ տեղեկատվությունը,</w:t>
            </w:r>
          </w:p>
          <w:p w14:paraId="33CF70D1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- 2-րդ` «Ներդրումներ» բաժնում ներկայացված տվյալների համաձայն՝ սեփական միջոցների հաշվին ներդրումները կազմում են՝ սարքավորումներ, պահեստամասեր 2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300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000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 շինարարական աշխատանքներ՝ 1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200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000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դրամ։ Այլ միջոցների հաշվին ներդրումները կազմում են՝ սարքավորումներ, պահեստամասեր 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300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000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 շինարարական աշխատանքներ՝ 200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000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դրամ։ </w:t>
            </w:r>
          </w:p>
          <w:p w14:paraId="3827E31C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Հաշվի առնելով վերոգրյալը, ինչպես նաև վերլուծելով կազմակերպության գործունեության մասին Ձև N2 «Տեղեկատվություն ռեզիդենտ շահութահարկ վճարողի տնտեսական գործունեության մասին» աղյուսակով ներկայացված տեղեկատվությունը` հայտնում ենք, որ.</w:t>
            </w:r>
          </w:p>
          <w:p w14:paraId="6D407333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1. «Տնտեսության վրա մուլտիպլիկատիվ ազդեցություն» չափորոշիչի գնահատման համար հիմք է ընդունվել ոլորտային առանձնահատկությունը: Այսպես՝ ընկերության կողմից իրականացվող ծրագրի վերաբերյալ ներկայացված տեղեկատվության 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lastRenderedPageBreak/>
              <w:t>համաձայն՝ պողպատե մանրեցման գնդերի արտադրանքը կիրառվում է ամենատարբեր հանքաքարերի, կրաքարի, ածուխի աղացման, մանրեցման համար։ Այն կարելի է կիրառել ինչպես չոր, այնպես էլ խոնավ հումքի դեպքում։ Մանրեցման այս գնդերը հնարավորություն են տալիս 2-8 անգամ բարձրացնել արտադրողականությունը և 10-15% նվազեցնել կորուստը։ Հայաստանում այսօր շինարարության մեջ օգտագործվող մետաղալարը ամբողջությամբ ներմուծվում է։ Ներմուծման ծավալները կազմում են մոտ 30-40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տոննա։ Նոր արտադրական կարողությունների ներդրումից հետո տվյալ արտադրանքը ամբողջությամբ կմատակարարվի Ընկերության կողմից՝ փոխարինելով ներմուծումը։ Նոր արտադրանքը անմիջականորեն ազդեցություն կունենա շինարարության և հանքարդյունաբերության վրա՝ փոխարինելով ներմուծվող արտադրանքը, ինչպես նաև ապահովելով առավել մրցունակ արտադրանք որակի և գնի տեսանկյունից: </w:t>
            </w:r>
          </w:p>
          <w:p w14:paraId="5C90570C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2. «Զբաղվածության ընդլայնում և ոլորտի միջին աշխատավարձի չափը» չափորոշիչի գնահատման համար հիմք են ընդունվել ծրագրի 2-րդ աղյուսակում ներկայացված՝ աշխատողների միջին տարեկան թվաքանակի, միջին տարեկան աշխատավարձի և եկամտային հարկի ցուցանիշները։  Ընկերության կողմից ներկայացված տեղեկատվության համաձայն՝ </w:t>
            </w:r>
          </w:p>
          <w:p w14:paraId="28685A60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ընթացքում աշխատողների միջին տարեկան թվաքանակը կազմել է 410 հոգի, միջին տարեկան աշխատավարձը՝ 2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664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 եկամտային հարկը՝ 243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867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</w:t>
            </w:r>
          </w:p>
          <w:p w14:paraId="465FE7BF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- 2021թ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ընթացքում աշխատողների միջին տարեկան թվաքանակը կազմել է 457 հոգի (2020թ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11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5%-ով), միջին տարեկան աշխատավարձը՝ 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984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lastRenderedPageBreak/>
              <w:t>դրամ (2020թ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49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5%-ով), եկամտային հարկը՝ 393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528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61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4%-ով), </w:t>
            </w:r>
          </w:p>
          <w:p w14:paraId="684A602D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- 2022թ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ընթացքում նախատեսվում է աշխատողների միջին տարեկան թվաքանակը ավելացնել մինչև 750 հոգի (2021թ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64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1%-ով), միջին տարեկան աշխատավարձը՝ 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732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(2021թ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նվազում է՝ 6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3%-ով), եկամտային հարկը՝ 559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800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(2021թ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42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2%-ով), </w:t>
            </w:r>
          </w:p>
          <w:p w14:paraId="08589DBB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- 2023-2027թթ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հինգ տարիների ընթացքում աշխատողների միջին տարեկան թվաքանակը մնում է նույնը, այն է՝ 750 հոգի (2022թ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-ից հետո 5 տարիների ընթացքում աշխատողների աճ չի սպասվում), միջին տարեկան աշխատավարձը՝ 4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326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(2022թ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15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9%-ով), եկամտային հարկը՝ 648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962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(2022թ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15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9%-ով)։ </w:t>
            </w:r>
          </w:p>
          <w:p w14:paraId="4AA7BA51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Վերլուծելով վերոգրյալ ցուցանիշները հանգում ենք այն եզրակացության, որ նոր աշխատատեղերի ստեղծում 2023-2027թթ. ընթացքում չի նախատեսվում և իրացման (ներառյալ արտահանումը) ծավալների սպասվող աճը պայմանավորված է ոչ թե նոր աշխատատեղերի ստեղծմամբ (ինչը ընկած է ՀՀ հարկային օրենսգրքի 127-րդ հոդվածի 1-ին մասով նախատեսված արտոնության հիմքում), այլ պայմանավորված է տեխնիկական վերազինման հանգամանքով: </w:t>
            </w:r>
          </w:p>
          <w:p w14:paraId="1FA395C9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3. «Նորարարություն և աշխատանքի արտադրողականության բարձրացում» չափորոշիչի գնահատման առումով հարկ է նկատի ունենալ, որ. </w:t>
            </w:r>
          </w:p>
          <w:p w14:paraId="61B60A1F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- 2020թ. ընթացքում արտադրողականությունը կազմել է 33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706 հազ. դրամ, արտադրանքը՝ 13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819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493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 աշխատողների միջին տարեկան թվաքանակը` 410 հոգի, </w:t>
            </w:r>
          </w:p>
          <w:p w14:paraId="1FAF39C1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lastRenderedPageBreak/>
              <w:t>- 2021թ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ընթացքում արտադրողականությունը կազմել է 73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332 հազ. դրամ (2020թ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117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5%-ով), արտադրանքը՝ 33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512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709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142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5%-ով), աշխատողների միջին տարեկան թվաքանակը` 457 հոգի (2020թ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11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5%-ով), </w:t>
            </w:r>
          </w:p>
          <w:p w14:paraId="20476992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- 2022թ. ընթացքում արտադրողականությունը գնահատված է 47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119 հազ. դրամ (2021թ.-ի համեմատ նվազում է 35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7%-ով), սակայն պլանավորվում է արտադրել 35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338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926 հազ. դրամի արտադրանք (2021թ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5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4%-ով), իսկ աշխատողների միջին տարեկան թվաքանակը` 750 հոգի (2021թ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64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1%-ով), </w:t>
            </w:r>
          </w:p>
          <w:p w14:paraId="6EA9D250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- 2023-2027թթ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հինգ տարիների ընթացքում աշխատողների միջին տարեկան նույն թվաքանակի պայմաններում (750 հոգի) արտադրողականությունը գնահատվում է 113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072 հազ. դրամ (2022թ.-ի համեմատ աճ՝ 140%-ով), պլանավորվում է արտադրել 84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803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627 հազ. դրամի արտադրանք (2022թ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-ի համեմատ աճ 140%-ով)։ </w:t>
            </w:r>
          </w:p>
          <w:p w14:paraId="03F643D2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Վերլուծելով ցուցանիշները ևս հանգում ենք այն եզրակացության, որ 2023-2027թթ. արտադրողականության ցուցանիշների աճի տեմպերը պայմանավորված չեն նոր աշխատատեղերի ստեղծմամբ։ </w:t>
            </w:r>
          </w:p>
          <w:p w14:paraId="19949367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4. «Արտահանման ուղղվածություն» չափորոշիչի գնահատման համար հարկ է նկատի ունենալ, որ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</w:p>
          <w:p w14:paraId="73E78E29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 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-ին արտադրանքը կազմել է 13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819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493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 իրացումը՝ 13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819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493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 որից արտահանումը՝ 1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153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023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 արտահանման երկիր՝ ԱՄԷ, </w:t>
            </w:r>
          </w:p>
          <w:p w14:paraId="1545C07F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- 2021թ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-ին արտադրանքը կազմել է 33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512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709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142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5%-ով), իրացումը՝ 33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512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709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142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5%-ով), որից 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lastRenderedPageBreak/>
              <w:t>արտահանումը՝ 4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384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332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(2020թ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աճ՝ 280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2%-ով), արտահանման երկրներ՝ ԱՄԷ, Վրաստան, </w:t>
            </w:r>
          </w:p>
          <w:p w14:paraId="2FF67685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- 2022-2023թթ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-ին արտադրանքը կազմել է, համապատասխանաբար՝ 35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338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926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և 45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253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247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 արտահանումներ չեն նախատեսվում, </w:t>
            </w:r>
          </w:p>
          <w:p w14:paraId="1D2D9081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- 2024-2027թթ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-ին նախատեսվում է՝ արտադրանք 84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803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627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(2024թ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 58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5%-ով), իրացում՝ 84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803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627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(2024թ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-ի համեմատ աճ 58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5%-ով), որից արտահանում՝ 17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500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000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 (2024թ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-ի համեմատ աճ 150%-ով), արտահանման երկրներ՝ ՌԴ, ԱՄԷ, այլ երկրներ։ </w:t>
            </w:r>
          </w:p>
          <w:p w14:paraId="780D6393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5. «Պատշաճ մարքեթինգային քաղաքականություն» չափորոշիչի գնահատման առումով նկատի է առնվել, որ ընկերության կողմից ներկայացված տվյալները թերի են` բացակայում է իրականացվող և նախատեսվող մարքեթինգային քաղաքականության իրականացման համար անհրաժեշտ ֆինանսական միջոցների վերաբերյալ տեղեկատվությունը: </w:t>
            </w:r>
          </w:p>
          <w:p w14:paraId="34B1FFE1" w14:textId="77777777" w:rsidR="000975E6" w:rsidRPr="000975E6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6. «Համաֆինանսավորման առկայություն (սեփականատիրոջ մասնակցությունը նախագծին` 50 և ավելի տոկոսով)» չափորոշիչի գնահատման առումով հիմք է ընդունվել այն, որ ըստ ներկայացված ծրագրի` ներդրումների ընդհանուր ծավալի մեջ սեփական ներդրումները կազմում են 50% (սեփական ներդրումներ՝ ընդամենը 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500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000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դրամ, այլ միջոցներ՝ ընդամենը 3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500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>000 հազ</w:t>
            </w:r>
            <w:r w:rsidRPr="000975E6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0975E6">
              <w:rPr>
                <w:rFonts w:ascii="GHEA Grapalat" w:eastAsia="Calibri" w:hAnsi="GHEA Grapalat"/>
                <w:lang w:val="hy-AM" w:eastAsia="en-US"/>
              </w:rPr>
              <w:t xml:space="preserve"> դրամ)։ </w:t>
            </w:r>
          </w:p>
          <w:p w14:paraId="73A1BE27" w14:textId="2BB22FC9" w:rsidR="00A0165D" w:rsidRPr="00C22640" w:rsidRDefault="000975E6" w:rsidP="000975E6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975E6">
              <w:rPr>
                <w:rFonts w:ascii="GHEA Grapalat" w:eastAsia="Calibri" w:hAnsi="GHEA Grapalat"/>
                <w:lang w:val="hy-AM" w:eastAsia="en-US"/>
              </w:rPr>
              <w:t>Ելնելով վերոգրյալից` ստորև ներկայացնում ենք «ԱՍԿԵ ԳՐՈՒՊ» ԲԲԸ-ի կողմից ներկայացված գործարար ծրագրի ՀՀ կառավարության 05.10.2017թ. N1235-Ն որոշմամբ սահմանված կարգի 8-րդ կետով սահմանված չափորոշիչների գնահատականները: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08CB91" w14:textId="5164AA1E" w:rsidR="00A0165D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Ընդունվել է։ </w:t>
            </w:r>
          </w:p>
          <w:p w14:paraId="2F7634A5" w14:textId="77777777" w:rsidR="00A0165D" w:rsidRPr="00C22640" w:rsidRDefault="00A0165D" w:rsidP="00A93F24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</w:tr>
      <w:bookmarkEnd w:id="0"/>
      <w:tr w:rsidR="001300CF" w14:paraId="1EABDEDE" w14:textId="77777777" w:rsidTr="001300CF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7B6B574" w14:textId="635A9F42" w:rsidR="001300CF" w:rsidRPr="001300CF" w:rsidRDefault="001300CF" w:rsidP="001239C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300CF">
              <w:rPr>
                <w:rFonts w:ascii="GHEA Grapalat" w:eastAsia="Calibri" w:hAnsi="GHEA Grapalat"/>
                <w:lang w:val="hy-AM" w:eastAsia="en-US"/>
              </w:rPr>
              <w:lastRenderedPageBreak/>
              <w:t>3</w:t>
            </w:r>
            <w:r w:rsidRPr="001300CF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Pr="001300CF">
              <w:rPr>
                <w:rFonts w:ascii="GHEA Grapalat" w:eastAsia="Calibri" w:hAnsi="GHEA Grapalat"/>
                <w:lang w:val="hy-AM" w:eastAsia="en-US"/>
              </w:rPr>
              <w:t xml:space="preserve"> 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5BFAA7" w14:textId="6E2FB9F4" w:rsidR="001300CF" w:rsidRDefault="001300CF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31-03-2022թ</w:t>
            </w:r>
          </w:p>
        </w:tc>
      </w:tr>
      <w:tr w:rsidR="001300CF" w14:paraId="5AE32A11" w14:textId="77777777" w:rsidTr="001300CF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91AA6A" w14:textId="77777777" w:rsidR="001300CF" w:rsidRPr="000975E6" w:rsidRDefault="001300CF" w:rsidP="001239CC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9436E16" w14:textId="2730E897" w:rsidR="001300CF" w:rsidRDefault="001300CF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 w:rsidRPr="001300CF">
              <w:rPr>
                <w:rFonts w:ascii="GHEA Grapalat" w:eastAsia="Calibri" w:hAnsi="GHEA Grapalat"/>
                <w:lang w:eastAsia="en-US"/>
              </w:rPr>
              <w:t>02/16.6/9973-2022</w:t>
            </w:r>
          </w:p>
        </w:tc>
      </w:tr>
      <w:tr w:rsidR="001300CF" w14:paraId="698DB549" w14:textId="77777777" w:rsidTr="001300CF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6729A0" w14:textId="77777777" w:rsidR="001300CF" w:rsidRPr="001300CF" w:rsidRDefault="001300CF" w:rsidP="001300CF">
            <w:pPr>
              <w:spacing w:line="360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1300CF">
              <w:rPr>
                <w:rFonts w:ascii="GHEA Grapalat" w:eastAsia="Calibri" w:hAnsi="GHEA Grapalat"/>
                <w:bCs/>
                <w:lang w:val="hy-AM" w:eastAsia="en-US"/>
              </w:rPr>
              <w:t>1. ««ԱՍԿԵ ԳՐՈՒՊ» բաց բաժնետիրական ընկերության կողմից ներկայացված գործարար ծրագրին հավանություն տալու և այդ ծրագրի շրջանակներում ստեղծված նոր աշխատատեղերի և դրան հավասարեցված վճարների հաշվարկման առանձնահատկությունների մասին» Հայաստանի Հանրապետության կառավարության որոշման նախագծի (այսուհետ՝ Նախագիծ) նախաբանից անհրաժեշտ է հանել ՀՀ հարկային օրենսգրքի 127-րդ հոդվածի 2-րդ մասին արված հղումը՝ նկատի ունենալով, որ հիշյալ հոդվածով սահմանված նորմը լիազորող նորմ է հանդիսանում ՀՀ կառավարության որոշման 2017 թվականի հոկտեմբերի 5-ի N 1235-Ն համար, իսկ սույն Նախագծի ընդունման իրավական հիմքը ՀՀ կառավարության 2017 թվականի հոկտեմբերի 5-ի N 1235-Ն որոշումն է:</w:t>
            </w:r>
          </w:p>
          <w:p w14:paraId="2BB4B2E5" w14:textId="77777777" w:rsidR="001300CF" w:rsidRPr="001300CF" w:rsidRDefault="001300CF" w:rsidP="001300CF">
            <w:pPr>
              <w:spacing w:line="360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1300CF">
              <w:rPr>
                <w:rFonts w:ascii="GHEA Grapalat" w:eastAsia="Calibri" w:hAnsi="GHEA Grapalat"/>
                <w:bCs/>
                <w:lang w:val="hy-AM" w:eastAsia="en-US"/>
              </w:rPr>
              <w:t>2. Նախագծի 2.2-րդ կետի համաձայն՝ ծրագրի մեկնարկման տարի է համարվում 2022 թվականը, այսինքն՝ ծրագրի մեկնարկման ժամկետին տրվում է հետադարձ ուժ, ինչը խնդրահարույց է: Ուստի առաջարկում ենք այս առումով նախագիծը լրամշակել։</w:t>
            </w:r>
          </w:p>
          <w:p w14:paraId="57D1B37A" w14:textId="4E3FD7E1" w:rsidR="001300CF" w:rsidRPr="000975E6" w:rsidRDefault="001300CF" w:rsidP="001300CF">
            <w:pPr>
              <w:spacing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1300CF">
              <w:rPr>
                <w:rFonts w:ascii="GHEA Grapalat" w:eastAsia="Calibri" w:hAnsi="GHEA Grapalat"/>
                <w:bCs/>
                <w:lang w:val="hy-AM" w:eastAsia="en-US"/>
              </w:rPr>
              <w:t>3. Նախագծի 4-րդ կետն անհրաժեշտ է հանել՝ նկատի ունենալով «Նորմատիվ իրավական ակտերի մասին» օրենքի 23-րդ հոդվածի 6-րդ մասի պահանջները: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3DAE5B" w14:textId="301AA145" w:rsidR="001300CF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Ընդունվել է։</w:t>
            </w:r>
          </w:p>
          <w:p w14:paraId="08A99063" w14:textId="6C14E1E8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782B671B" w14:textId="341F7151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354B09AB" w14:textId="1ABEA56A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1EDC8124" w14:textId="0C530D4F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69325142" w14:textId="4A644EB5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052C47A8" w14:textId="0EC5999A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4DA26ACF" w14:textId="6AE85413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6DEE44AD" w14:textId="68CD90B7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31359DAA" w14:textId="70EE4CC9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096457AE" w14:textId="5EB786EB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Ընդունվել է։</w:t>
            </w:r>
          </w:p>
          <w:p w14:paraId="41BFBC23" w14:textId="73A17197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138F96C2" w14:textId="06974F58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  <w:p w14:paraId="75CBA5A7" w14:textId="4F07B754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Ընդունվել է։</w:t>
            </w:r>
            <w:bookmarkStart w:id="1" w:name="_GoBack"/>
            <w:bookmarkEnd w:id="1"/>
          </w:p>
          <w:p w14:paraId="22DF3F57" w14:textId="6D69FDE2" w:rsidR="00270A26" w:rsidRDefault="00270A26" w:rsidP="001239CC">
            <w:pPr>
              <w:spacing w:line="360" w:lineRule="auto"/>
              <w:rPr>
                <w:rFonts w:ascii="GHEA Grapalat" w:eastAsia="Calibri" w:hAnsi="GHEA Grapalat"/>
                <w:lang w:val="hy-AM" w:eastAsia="en-US"/>
              </w:rPr>
            </w:pPr>
          </w:p>
        </w:tc>
      </w:tr>
    </w:tbl>
    <w:p w14:paraId="5F8E288F" w14:textId="0475D2F6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372AD5E6" w14:textId="015CAAAE" w:rsidR="001300CF" w:rsidRDefault="001300CF" w:rsidP="00A0165D">
      <w:pPr>
        <w:spacing w:line="360" w:lineRule="auto"/>
        <w:rPr>
          <w:rFonts w:ascii="GHEA Grapalat" w:hAnsi="GHEA Grapalat"/>
          <w:lang w:val="hy-AM"/>
        </w:rPr>
      </w:pPr>
    </w:p>
    <w:p w14:paraId="5B0C8BAF" w14:textId="0B579471" w:rsidR="001300CF" w:rsidRDefault="001300CF" w:rsidP="00A0165D">
      <w:pPr>
        <w:spacing w:line="360" w:lineRule="auto"/>
        <w:rPr>
          <w:rFonts w:ascii="GHEA Grapalat" w:hAnsi="GHEA Grapalat"/>
          <w:lang w:val="hy-AM"/>
        </w:rPr>
      </w:pPr>
    </w:p>
    <w:p w14:paraId="39E66627" w14:textId="56E9BB5C" w:rsidR="001300CF" w:rsidRDefault="001300CF" w:rsidP="00A0165D">
      <w:pPr>
        <w:spacing w:line="360" w:lineRule="auto"/>
        <w:rPr>
          <w:rFonts w:ascii="GHEA Grapalat" w:hAnsi="GHEA Grapalat"/>
          <w:lang w:val="hy-AM"/>
        </w:rPr>
      </w:pPr>
    </w:p>
    <w:p w14:paraId="5FC5A66A" w14:textId="77777777" w:rsidR="001300CF" w:rsidRDefault="001300CF" w:rsidP="00A0165D">
      <w:pPr>
        <w:spacing w:line="360" w:lineRule="auto"/>
        <w:rPr>
          <w:rFonts w:ascii="GHEA Grapalat" w:hAnsi="GHEA Grapalat"/>
          <w:lang w:val="hy-AM"/>
        </w:rPr>
      </w:pPr>
    </w:p>
    <w:p w14:paraId="6BB6E9A3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7F6A118C" w14:textId="77777777" w:rsidR="00A0165D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23302837" w14:textId="77777777" w:rsidR="00A0165D" w:rsidRDefault="00A0165D" w:rsidP="00A0165D">
      <w:pPr>
        <w:spacing w:line="360" w:lineRule="auto"/>
        <w:jc w:val="right"/>
        <w:rPr>
          <w:rFonts w:ascii="GHEA Grapalat" w:hAnsi="GHEA Grapalat"/>
          <w:lang w:val="hy-AM"/>
        </w:rPr>
      </w:pP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3402"/>
        <w:gridCol w:w="1985"/>
        <w:gridCol w:w="2692"/>
        <w:gridCol w:w="1985"/>
      </w:tblGrid>
      <w:tr w:rsidR="00A0165D" w:rsidRPr="001300CF" w14:paraId="14B78517" w14:textId="77777777" w:rsidTr="00A93F24">
        <w:tc>
          <w:tcPr>
            <w:tcW w:w="14317" w:type="dxa"/>
            <w:gridSpan w:val="5"/>
            <w:shd w:val="clear" w:color="auto" w:fill="auto"/>
          </w:tcPr>
          <w:p w14:paraId="09837F4E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ՏԵՂԵԿԱՆՔ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br/>
              <w:t>ՀՀ կառավարության 2017 թվականի հոկտեմբերի 5-ի N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1235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-Ն որոշման պահանջներին համաձայն ծրագրի գնահատականները և ՀՀ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էկոնոմիկայի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նախարարության կողմից ամփոփված միջին արդյունք</w:t>
            </w:r>
          </w:p>
        </w:tc>
      </w:tr>
      <w:tr w:rsidR="00A0165D" w:rsidRPr="00261423" w14:paraId="555172B3" w14:textId="77777777" w:rsidTr="00A93F24">
        <w:tc>
          <w:tcPr>
            <w:tcW w:w="14317" w:type="dxa"/>
            <w:gridSpan w:val="5"/>
            <w:shd w:val="clear" w:color="auto" w:fill="auto"/>
          </w:tcPr>
          <w:p w14:paraId="5F798E35" w14:textId="32BB20F2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«</w:t>
            </w:r>
            <w:r w:rsidR="000975E6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ԱՍԿԵ ԳՐՈՒՊ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» </w:t>
            </w:r>
            <w:r w:rsidR="00EF524F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ԲԲ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Ը</w:t>
            </w:r>
          </w:p>
        </w:tc>
      </w:tr>
      <w:tr w:rsidR="00A0165D" w:rsidRPr="00B6505A" w14:paraId="2D2D67E3" w14:textId="77777777" w:rsidTr="00A93F24">
        <w:tc>
          <w:tcPr>
            <w:tcW w:w="4253" w:type="dxa"/>
            <w:shd w:val="clear" w:color="auto" w:fill="auto"/>
            <w:vAlign w:val="center"/>
          </w:tcPr>
          <w:p w14:paraId="30AA2900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Գնահատման չափորոշիչներ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AF3B507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ՀՀ 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էկոնոմիկայի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 նախարարություն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27480B8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ՀՀ ֆինանսների նախարարություն</w:t>
            </w:r>
          </w:p>
        </w:tc>
        <w:tc>
          <w:tcPr>
            <w:tcW w:w="2692" w:type="dxa"/>
            <w:shd w:val="clear" w:color="auto" w:fill="auto"/>
            <w:vAlign w:val="center"/>
          </w:tcPr>
          <w:p w14:paraId="0A7AEF02" w14:textId="77777777" w:rsidR="00A0165D" w:rsidRPr="00B6505A" w:rsidRDefault="00A0165D" w:rsidP="00A93F24">
            <w:pPr>
              <w:spacing w:line="360" w:lineRule="auto"/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ՀՀ ԿԱ պետական եկամուտների կոմիտե</w:t>
            </w:r>
            <w:r w:rsidRPr="00B6505A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292FE33D" w14:textId="77777777" w:rsidR="00A0165D" w:rsidRPr="00B6505A" w:rsidRDefault="00A0165D" w:rsidP="00A93F24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Ամփոփված արդյունք</w:t>
            </w:r>
          </w:p>
        </w:tc>
      </w:tr>
      <w:tr w:rsidR="000975E6" w:rsidRPr="00B6505A" w14:paraId="2A241A38" w14:textId="77777777" w:rsidTr="00A93F24">
        <w:trPr>
          <w:trHeight w:val="367"/>
        </w:trPr>
        <w:tc>
          <w:tcPr>
            <w:tcW w:w="4253" w:type="dxa"/>
            <w:shd w:val="clear" w:color="auto" w:fill="auto"/>
            <w:vAlign w:val="center"/>
          </w:tcPr>
          <w:p w14:paraId="41F7494E" w14:textId="77777777" w:rsidR="000975E6" w:rsidRPr="00B6505A" w:rsidRDefault="000975E6" w:rsidP="000975E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Տնտեսության վրա մուլտիպլիկատիվ ազդեցություն (7)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0702" w14:textId="0CB34210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B11D" w14:textId="53FA0D4B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9A1F" w14:textId="3ADCD9E7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8961" w14:textId="45A03CB9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5.0</w:t>
            </w:r>
          </w:p>
        </w:tc>
      </w:tr>
      <w:tr w:rsidR="000975E6" w:rsidRPr="00B6505A" w14:paraId="7A56155D" w14:textId="77777777" w:rsidTr="00A93F24">
        <w:trPr>
          <w:trHeight w:val="357"/>
        </w:trPr>
        <w:tc>
          <w:tcPr>
            <w:tcW w:w="4253" w:type="dxa"/>
            <w:shd w:val="clear" w:color="auto" w:fill="auto"/>
            <w:vAlign w:val="center"/>
          </w:tcPr>
          <w:p w14:paraId="460E90DD" w14:textId="77777777" w:rsidR="000975E6" w:rsidRPr="00B6505A" w:rsidRDefault="000975E6" w:rsidP="000975E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Զ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բաղվածության ընդլայնում և ոլորտի միջին աշխատավարձի չափը </w:t>
            </w:r>
            <w:r w:rsidRPr="00855254"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 w:eastAsia="en-US"/>
              </w:rPr>
              <w:t>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42CE" w14:textId="2F465BD3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7AE7A" w14:textId="393D8698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6FC3" w14:textId="08614000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65FA" w14:textId="15E0FE1E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6.0</w:t>
            </w:r>
          </w:p>
        </w:tc>
      </w:tr>
      <w:tr w:rsidR="000975E6" w:rsidRPr="00B6505A" w14:paraId="1221276D" w14:textId="77777777" w:rsidTr="00A93F24">
        <w:trPr>
          <w:trHeight w:val="375"/>
        </w:trPr>
        <w:tc>
          <w:tcPr>
            <w:tcW w:w="4253" w:type="dxa"/>
            <w:shd w:val="clear" w:color="auto" w:fill="auto"/>
            <w:vAlign w:val="center"/>
          </w:tcPr>
          <w:p w14:paraId="537E8034" w14:textId="77777777" w:rsidR="000975E6" w:rsidRPr="00B6505A" w:rsidRDefault="000975E6" w:rsidP="000975E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Ն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որարարություն և աշխատանքի արտադրողականության բարձրացում </w:t>
            </w:r>
            <w:r w:rsidRPr="00855254"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 w:eastAsia="en-US"/>
              </w:rPr>
              <w:t>(10)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28A0" w14:textId="73818EA0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64E1" w14:textId="4C498623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F503" w14:textId="3BABC9DA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55DF" w14:textId="486B8191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4.7</w:t>
            </w:r>
          </w:p>
        </w:tc>
      </w:tr>
      <w:tr w:rsidR="000975E6" w:rsidRPr="00B6505A" w14:paraId="5AC69DC7" w14:textId="77777777" w:rsidTr="00A93F24">
        <w:trPr>
          <w:trHeight w:val="380"/>
        </w:trPr>
        <w:tc>
          <w:tcPr>
            <w:tcW w:w="4253" w:type="dxa"/>
            <w:shd w:val="clear" w:color="auto" w:fill="auto"/>
            <w:vAlign w:val="center"/>
          </w:tcPr>
          <w:p w14:paraId="1CF24B27" w14:textId="77777777" w:rsidR="000975E6" w:rsidRPr="00B6505A" w:rsidRDefault="000975E6" w:rsidP="000975E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Արտահանման ուղղվածություն (</w:t>
            </w: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10</w:t>
            </w: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E6BF" w14:textId="5F567B8E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5DD1E" w14:textId="13CED54C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966C" w14:textId="00D98EDE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94DD" w14:textId="354A8E5A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5.3</w:t>
            </w:r>
          </w:p>
        </w:tc>
      </w:tr>
      <w:tr w:rsidR="000975E6" w:rsidRPr="00B6505A" w14:paraId="79C3AF18" w14:textId="77777777" w:rsidTr="00A93F24">
        <w:trPr>
          <w:trHeight w:val="403"/>
        </w:trPr>
        <w:tc>
          <w:tcPr>
            <w:tcW w:w="4253" w:type="dxa"/>
            <w:shd w:val="clear" w:color="auto" w:fill="auto"/>
            <w:vAlign w:val="center"/>
          </w:tcPr>
          <w:p w14:paraId="109FBDAE" w14:textId="77777777" w:rsidR="000975E6" w:rsidRPr="00B6505A" w:rsidRDefault="000975E6" w:rsidP="000975E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Պ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 xml:space="preserve">ատշաճ մարքեթինգային քաղաքականություն </w:t>
            </w:r>
            <w:r w:rsidRPr="00855254"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 w:eastAsia="en-US"/>
              </w:rPr>
              <w:t>(6)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7348" w14:textId="0843D2EA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F7E67" w14:textId="2CFF0D2C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08D1" w14:textId="4FA92EFB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BF3C5" w14:textId="287C3B26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3.0</w:t>
            </w:r>
          </w:p>
        </w:tc>
      </w:tr>
      <w:tr w:rsidR="000975E6" w:rsidRPr="00B6505A" w14:paraId="2DD3890F" w14:textId="77777777" w:rsidTr="00A93F24">
        <w:tc>
          <w:tcPr>
            <w:tcW w:w="4253" w:type="dxa"/>
            <w:shd w:val="clear" w:color="auto" w:fill="auto"/>
            <w:vAlign w:val="center"/>
          </w:tcPr>
          <w:p w14:paraId="63212673" w14:textId="77777777" w:rsidR="000975E6" w:rsidRPr="00B6505A" w:rsidRDefault="000975E6" w:rsidP="000975E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Հ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ամաֆինանսավորման առկայություն (սեփականատիրոջ մասնակցու</w:t>
            </w:r>
            <w:r w:rsidRPr="00855254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softHyphen/>
              <w:t xml:space="preserve">թյունը նախագծին` 50 և ավելի տոկոսով) </w:t>
            </w:r>
            <w:r w:rsidRPr="00855254">
              <w:rPr>
                <w:rFonts w:ascii="GHEA Grapalat" w:hAnsi="GHEA Grapalat"/>
                <w:bCs/>
                <w:iCs/>
                <w:color w:val="000000"/>
                <w:sz w:val="20"/>
                <w:szCs w:val="20"/>
                <w:lang w:val="hy-AM" w:eastAsia="en-US"/>
              </w:rPr>
              <w:t>(5)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CF800" w14:textId="40F5E870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D2E5" w14:textId="34E2DD0A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16C30" w14:textId="7E46A5FD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54D7" w14:textId="775AE78C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3.7</w:t>
            </w:r>
          </w:p>
        </w:tc>
      </w:tr>
      <w:tr w:rsidR="000975E6" w:rsidRPr="00B6505A" w14:paraId="1C1A3250" w14:textId="77777777" w:rsidTr="00A93F24">
        <w:tc>
          <w:tcPr>
            <w:tcW w:w="4253" w:type="dxa"/>
            <w:shd w:val="clear" w:color="auto" w:fill="auto"/>
          </w:tcPr>
          <w:p w14:paraId="273DCCD5" w14:textId="77777777" w:rsidR="000975E6" w:rsidRPr="00B6505A" w:rsidRDefault="000975E6" w:rsidP="000975E6">
            <w:pPr>
              <w:spacing w:line="360" w:lineRule="auto"/>
              <w:jc w:val="center"/>
              <w:rPr>
                <w:sz w:val="22"/>
                <w:szCs w:val="22"/>
                <w:lang w:val="hy-AM"/>
              </w:rPr>
            </w:pPr>
            <w:r w:rsidRPr="00B6505A">
              <w:rPr>
                <w:rFonts w:ascii="GHEA Grapalat" w:hAnsi="GHEA Grapalat"/>
                <w:color w:val="000000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CCB1" w14:textId="7571E3D0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45674" w14:textId="2D3D8971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63CE" w14:textId="2CCE76AA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8A22" w14:textId="07AB1D98" w:rsidR="000975E6" w:rsidRDefault="000975E6" w:rsidP="000975E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sz w:val="20"/>
                <w:szCs w:val="20"/>
              </w:rPr>
            </w:pPr>
            <w:r>
              <w:rPr>
                <w:rFonts w:ascii="GHEA Grapalat" w:hAnsi="GHEA Grapalat" w:cs="Calibri"/>
                <w:color w:val="000000"/>
                <w:sz w:val="20"/>
                <w:szCs w:val="20"/>
              </w:rPr>
              <w:t>27.7</w:t>
            </w:r>
          </w:p>
        </w:tc>
      </w:tr>
    </w:tbl>
    <w:p w14:paraId="3408F97C" w14:textId="77777777" w:rsidR="00A0165D" w:rsidRPr="00B6505A" w:rsidRDefault="00A0165D" w:rsidP="00A0165D">
      <w:pPr>
        <w:spacing w:line="360" w:lineRule="auto"/>
        <w:rPr>
          <w:rFonts w:ascii="GHEA Grapalat" w:hAnsi="GHEA Grapalat"/>
          <w:lang w:val="hy-AM"/>
        </w:rPr>
      </w:pPr>
    </w:p>
    <w:p w14:paraId="5757DC64" w14:textId="77777777" w:rsidR="00250194" w:rsidRDefault="00250194"/>
    <w:sectPr w:rsidR="00250194" w:rsidSect="00AD0E36">
      <w:pgSz w:w="16840" w:h="11907" w:orient="landscape" w:code="9"/>
      <w:pgMar w:top="634" w:right="63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65D"/>
    <w:rsid w:val="000975E6"/>
    <w:rsid w:val="001300CF"/>
    <w:rsid w:val="00250194"/>
    <w:rsid w:val="00270A26"/>
    <w:rsid w:val="006F0EDB"/>
    <w:rsid w:val="008658C9"/>
    <w:rsid w:val="008B3C8F"/>
    <w:rsid w:val="00A0165D"/>
    <w:rsid w:val="00C731EB"/>
    <w:rsid w:val="00EF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0B40A"/>
  <w15:chartTrackingRefBased/>
  <w15:docId w15:val="{34A83F3E-1055-4898-85F9-F9E5CC880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6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016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0165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4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1637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https://mul2.gov.am/tasks/595477/oneclick/ampopatert_texekanq.docx?token=a19f52d662ef8a522288e1bd5bd7f75a</cp:keywords>
  <dc:description/>
  <cp:lastModifiedBy>Gohar H. Harutyunyan</cp:lastModifiedBy>
  <cp:revision>7</cp:revision>
  <cp:lastPrinted>2022-03-31T11:25:00Z</cp:lastPrinted>
  <dcterms:created xsi:type="dcterms:W3CDTF">2021-11-30T07:37:00Z</dcterms:created>
  <dcterms:modified xsi:type="dcterms:W3CDTF">2022-03-31T11:51:00Z</dcterms:modified>
</cp:coreProperties>
</file>