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93" w:rsidRPr="00B3733E" w:rsidRDefault="005C1993" w:rsidP="005C1993">
      <w:pPr>
        <w:shd w:val="clear" w:color="auto" w:fill="FFFFFF"/>
        <w:spacing w:after="0" w:line="312" w:lineRule="auto"/>
        <w:ind w:firstLine="540"/>
        <w:jc w:val="center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B3733E">
        <w:rPr>
          <w:rFonts w:ascii="GHEA Grapalat" w:hAnsi="GHEA Grapalat"/>
          <w:b/>
          <w:sz w:val="24"/>
          <w:szCs w:val="24"/>
          <w:lang w:val="fr-FR"/>
        </w:rPr>
        <w:t>Հիմնավորում</w:t>
      </w:r>
    </w:p>
    <w:p w:rsidR="005C1993" w:rsidRPr="00B3733E" w:rsidRDefault="005C1993" w:rsidP="005C1993">
      <w:pPr>
        <w:shd w:val="clear" w:color="auto" w:fill="FFFFFF"/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B3733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«Տեղեկատվական տեխնոլոգիաների ոլորտում գործունեություն իրականացնող </w:t>
      </w:r>
      <w:r w:rsidRPr="0065551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առևտրային կազմակերպություններին և անհատ ձեռնարկատերերին</w:t>
      </w:r>
      <w:r w:rsidRPr="00B3733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պետական աջակցության տրամադրման կարգը հաստատելու մասին» </w:t>
      </w:r>
      <w:r w:rsidRPr="00B3733E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 որոշման</w:t>
      </w:r>
      <w:r w:rsidRPr="00B3733E">
        <w:rPr>
          <w:rFonts w:ascii="GHEA Grapalat" w:hAnsi="GHEA Grapalat"/>
          <w:b/>
          <w:sz w:val="24"/>
          <w:szCs w:val="24"/>
          <w:lang w:val="fr-FR"/>
        </w:rPr>
        <w:t xml:space="preserve"> նախագծի </w:t>
      </w:r>
    </w:p>
    <w:p w:rsidR="005C1993" w:rsidRDefault="005C1993" w:rsidP="005C1993">
      <w:pPr>
        <w:spacing w:after="0" w:line="312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5C1993" w:rsidRPr="004E5E93" w:rsidRDefault="005C1993" w:rsidP="005C1993">
      <w:pPr>
        <w:numPr>
          <w:ilvl w:val="0"/>
          <w:numId w:val="3"/>
        </w:numPr>
        <w:tabs>
          <w:tab w:val="clear" w:pos="360"/>
          <w:tab w:val="num" w:pos="284"/>
          <w:tab w:val="left" w:pos="851"/>
          <w:tab w:val="left" w:pos="1620"/>
        </w:tabs>
        <w:spacing w:after="0" w:line="312" w:lineRule="auto"/>
        <w:ind w:left="0" w:firstLine="567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4E5E93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Իրավական ակտի անհրաժեշտությունը (նպատակը).</w:t>
      </w:r>
      <w:r w:rsidRPr="004E5E93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</w:t>
      </w:r>
      <w:r w:rsidRPr="004E5E9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Նախագծի ընդունումը պայմանավորված է </w:t>
      </w:r>
      <w:r w:rsidRPr="004E5E93">
        <w:rPr>
          <w:rFonts w:ascii="GHEA Grapalat" w:eastAsia="Times New Roman" w:hAnsi="GHEA Grapalat" w:cs="GHEA Grapalat"/>
          <w:sz w:val="24"/>
          <w:lang w:val="hy-AM" w:eastAsia="ru-RU"/>
        </w:rPr>
        <w:t xml:space="preserve">Հայաստանի Հանրապետությունում </w:t>
      </w:r>
      <w:r w:rsidRPr="004E5E9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տեղեկատվական տեխնոլոգիաների ոլորտի զարգացմանը օժանդակելու, ինչպես նաև </w:t>
      </w:r>
      <w:r w:rsidRPr="004E5E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տարածաշրջանի երկրների համեմատ </w:t>
      </w:r>
      <w:r w:rsidRPr="004E5E9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նշյալ ոլորտում </w:t>
      </w:r>
      <w:r w:rsidRPr="004E5E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գործունեության խթանների առումով տնտեսավարող սուբ</w:t>
      </w:r>
      <w:r w:rsidRPr="004E5E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softHyphen/>
        <w:t>յեկտ</w:t>
      </w:r>
      <w:r w:rsidRPr="004E5E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softHyphen/>
      </w:r>
      <w:r w:rsidRPr="004E5E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softHyphen/>
        <w:t xml:space="preserve">ների գործունեության իրականացման համար համապատասխան մրցունակ միջավայր ստեղծելու անհրաժեշտությամբ։ </w:t>
      </w:r>
      <w:r w:rsidRPr="004E5E93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Միաժամանակ, նախագիծը նպատակ ունի նպաստել բարձր մասնագիտական որակավորում ունեցող աշխատուժի ներգրավվմանը։</w:t>
      </w:r>
    </w:p>
    <w:p w:rsidR="005C1993" w:rsidRPr="004E5E93" w:rsidRDefault="005C1993" w:rsidP="005C1993">
      <w:pPr>
        <w:tabs>
          <w:tab w:val="left" w:pos="851"/>
          <w:tab w:val="left" w:pos="1620"/>
        </w:tabs>
        <w:spacing w:after="0" w:line="312" w:lineRule="auto"/>
        <w:ind w:firstLine="567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4E5E9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Ընդ որում, նախագծով նախատեսվող կարգավորումները, որպես ոլորտում պիլոտային աջակցության ծրագիր, նպաստելու են տվյալ ոլորտում համապատասխան մրցունակ միջավայր ստեղծելուն ուղղված ռազմավարական պլանների մշակմանը և իրագործմանը։  </w:t>
      </w:r>
    </w:p>
    <w:p w:rsidR="005C1993" w:rsidRPr="004E5E93" w:rsidRDefault="005C1993" w:rsidP="005C1993">
      <w:pPr>
        <w:numPr>
          <w:ilvl w:val="0"/>
          <w:numId w:val="3"/>
        </w:numPr>
        <w:tabs>
          <w:tab w:val="clear" w:pos="360"/>
          <w:tab w:val="num" w:pos="284"/>
          <w:tab w:val="num" w:pos="900"/>
          <w:tab w:val="left" w:pos="1620"/>
        </w:tabs>
        <w:spacing w:after="0" w:line="312" w:lineRule="auto"/>
        <w:ind w:left="0" w:firstLine="567"/>
        <w:jc w:val="both"/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</w:pPr>
      <w:r w:rsidRPr="004E5E93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 xml:space="preserve">Կարգավորման հարաբերությունների ներկա վիճակը և առկա խնդիրները. </w:t>
      </w:r>
    </w:p>
    <w:p w:rsidR="005C1993" w:rsidRPr="004E5E93" w:rsidRDefault="005C1993" w:rsidP="005C1993">
      <w:pPr>
        <w:tabs>
          <w:tab w:val="num" w:pos="900"/>
          <w:tab w:val="left" w:pos="1620"/>
        </w:tabs>
        <w:spacing w:after="0" w:line="312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E5E9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Տեղեկատվական տեխնոլոգիաների ոլորտում գործունեություն իրականացնող տնտեսավարող սուբյեկտների գործունեության խթանների առումով տարբեր երկրներում կիրառվում են մի շարք հարկային արտոնություններ։ </w:t>
      </w:r>
    </w:p>
    <w:p w:rsidR="005C1993" w:rsidRPr="004E5E93" w:rsidRDefault="005C1993" w:rsidP="005C1993">
      <w:pPr>
        <w:tabs>
          <w:tab w:val="num" w:pos="900"/>
          <w:tab w:val="left" w:pos="1620"/>
        </w:tabs>
        <w:spacing w:after="0" w:line="312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E5E9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Մասնավորապես, Վրաստանում սահմանված են </w:t>
      </w:r>
      <w:r w:rsidRPr="004E5E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տեղեկատվա</w:t>
      </w:r>
      <w:r w:rsidRPr="004E5E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softHyphen/>
        <w:t>կան տեխնո</w:t>
      </w:r>
      <w:r w:rsidRPr="004E5E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softHyphen/>
        <w:t>լոգիա</w:t>
      </w:r>
      <w:r w:rsidRPr="004E5E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softHyphen/>
        <w:t>ների ոլորտում գործունեություն իրականացնող տնտեսավարող սուբյեկտ</w:t>
      </w:r>
      <w:r w:rsidRPr="004E5E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softHyphen/>
        <w:t>ների երկու կարգավիճակներ («A virtual zone person» և «International company»), որոնց համար նախա</w:t>
      </w:r>
      <w:r w:rsidRPr="004E5E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softHyphen/>
      </w:r>
      <w:r w:rsidRPr="004E5E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softHyphen/>
        <w:t>տեսված են հար</w:t>
      </w:r>
      <w:r w:rsidRPr="004E5E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softHyphen/>
        <w:t>կային արտոնություններ:</w:t>
      </w:r>
      <w:r w:rsidRPr="004E5E9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Այսպես, </w:t>
      </w:r>
      <w:r w:rsidRPr="004E5E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«A virtual zone person» հանդիսացող տնտեսավարող սուբ</w:t>
      </w:r>
      <w:r w:rsidRPr="004E5E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softHyphen/>
        <w:t>յեկտ</w:t>
      </w:r>
      <w:r w:rsidRPr="004E5E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softHyphen/>
        <w:t>ները ազատված են շահութահարկից, իսկ «International company» կարգավիճակ ունեցող հանդիսացող տնտեսավարող սուբ</w:t>
      </w:r>
      <w:r w:rsidRPr="004E5E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softHyphen/>
        <w:t>յեկտ</w:t>
      </w:r>
      <w:r w:rsidRPr="004E5E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softHyphen/>
        <w:t>ները շահութահարկը հաշվարկում են 5 տոկոս դրույքաչափով, աշխատողների եկամտային հարկը հաշվարկում են ևս 5 տոկոս դրույքաչափով։</w:t>
      </w:r>
    </w:p>
    <w:p w:rsidR="005C1993" w:rsidRPr="004E5E93" w:rsidRDefault="005C1993" w:rsidP="005C1993">
      <w:pPr>
        <w:tabs>
          <w:tab w:val="num" w:pos="900"/>
          <w:tab w:val="left" w:pos="1620"/>
        </w:tabs>
        <w:spacing w:after="0" w:line="312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E5E9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Ուզբեկստանում գործող «IT park»-ում </w:t>
      </w:r>
      <w:r w:rsidRPr="004E5E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գործունեություն իրականացնող տնտեսավարող սուբ</w:t>
      </w:r>
      <w:r w:rsidRPr="004E5E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softHyphen/>
        <w:t>յեկտ</w:t>
      </w:r>
      <w:r w:rsidRPr="004E5E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softHyphen/>
        <w:t>ները ազատված են շահութահարկից, իսկ աշխատողների եկամտային հարկը հաշվարկում են 7.5 տոկոս դրույքաչափով։</w:t>
      </w:r>
    </w:p>
    <w:p w:rsidR="005C1993" w:rsidRPr="004E5E93" w:rsidRDefault="005C1993" w:rsidP="005C1993">
      <w:pPr>
        <w:tabs>
          <w:tab w:val="num" w:pos="900"/>
          <w:tab w:val="left" w:pos="1620"/>
        </w:tabs>
        <w:spacing w:after="0" w:line="312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E5E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Մոլդովայում «Moldova IT Park»-ում գործունեություն իրականացնող տնտեսավարող սուբյեկտները վճարում են մեկ միասնական վաճառքի հարկ 7 տոկոս դրույքաչափով, որը </w:t>
      </w:r>
      <w:r w:rsidRPr="004E5E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փոխարինում է շահութահարկին, աշխատավարձից հաշվարկվող եկամտային հարկին և սոցիալական վճարներին, տեղական հարկերին, հողի հարկին և ճանապարհային հարկին:</w:t>
      </w:r>
    </w:p>
    <w:p w:rsidR="005C1993" w:rsidRPr="004E5E93" w:rsidRDefault="005C1993" w:rsidP="005C1993">
      <w:pPr>
        <w:tabs>
          <w:tab w:val="num" w:pos="900"/>
          <w:tab w:val="left" w:pos="1620"/>
        </w:tabs>
        <w:spacing w:after="0" w:line="312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E5E93">
        <w:rPr>
          <w:rFonts w:ascii="GHEA Grapalat" w:eastAsia="Times New Roman" w:hAnsi="GHEA Grapalat" w:cs="Sylfaen"/>
          <w:sz w:val="24"/>
          <w:szCs w:val="24"/>
          <w:lang w:val="hy-AM"/>
        </w:rPr>
        <w:t>Միաժամանակ, ՀՀ կառավարությունը տեղեկատվական տեխնոլոգիաների ոլորտի զարգացման կարևորությունը դիտարկում է ոչ միայն որպես առանձին ոլորտ, այլ նաև որպես Հայաստանի Հանրապետության տնտեսության ընդհանուր առաջընթացի, արտադրողականության բարձրացման և համաշխարհային տնտեսության մեջ մրցունակությունն ապահովելու կարևոր գործոն: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4E5E93">
        <w:rPr>
          <w:rFonts w:ascii="GHEA Grapalat" w:eastAsia="Times New Roman" w:hAnsi="GHEA Grapalat" w:cs="Sylfaen"/>
          <w:sz w:val="24"/>
          <w:szCs w:val="24"/>
          <w:lang w:val="hy-AM"/>
        </w:rPr>
        <w:t>Հայաստանի Հանրապետությունում տեղեկատվական տեխնոլոգիաների ոլորտի արդյունավետության շարունակական աճի ապահովման հետ կապված բացահայտվել են խնդիրներ, մասնավորապես, ոլորտում ներդրումների խթանման հետ կապված։</w:t>
      </w:r>
    </w:p>
    <w:p w:rsidR="005C1993" w:rsidRPr="004E5E93" w:rsidRDefault="005C1993" w:rsidP="005C1993">
      <w:pPr>
        <w:numPr>
          <w:ilvl w:val="0"/>
          <w:numId w:val="3"/>
        </w:numPr>
        <w:tabs>
          <w:tab w:val="clear" w:pos="360"/>
          <w:tab w:val="num" w:pos="284"/>
          <w:tab w:val="num" w:pos="900"/>
          <w:tab w:val="left" w:pos="1620"/>
        </w:tabs>
        <w:spacing w:after="0" w:line="312" w:lineRule="auto"/>
        <w:ind w:left="0" w:firstLine="567"/>
        <w:jc w:val="both"/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</w:pPr>
      <w:r w:rsidRPr="004E5E93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 xml:space="preserve">Առկա խնդիրների առաջարկվող լուծումները. </w:t>
      </w:r>
    </w:p>
    <w:p w:rsidR="005C1993" w:rsidRPr="004E5E93" w:rsidRDefault="005C1993" w:rsidP="005C1993">
      <w:pPr>
        <w:tabs>
          <w:tab w:val="num" w:pos="900"/>
          <w:tab w:val="left" w:pos="1620"/>
        </w:tabs>
        <w:spacing w:after="0" w:line="312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E5E93">
        <w:rPr>
          <w:rFonts w:ascii="GHEA Grapalat" w:eastAsia="Times New Roman" w:hAnsi="GHEA Grapalat" w:cs="Sylfaen"/>
          <w:sz w:val="24"/>
          <w:szCs w:val="24"/>
          <w:lang w:val="hy-AM"/>
        </w:rPr>
        <w:t>Նախագծով առաջարկվում է տեղեկատվական տեխնոլոգիաների ոլորտում գործունեություն իրականացնող իրավաբանական անձանց և անհատ ձեռնարկատերերին տրամադրել պետական աջակցություն։</w:t>
      </w:r>
    </w:p>
    <w:p w:rsidR="005C1993" w:rsidRPr="004E5E93" w:rsidRDefault="005C1993" w:rsidP="005C1993">
      <w:pPr>
        <w:tabs>
          <w:tab w:val="num" w:pos="284"/>
          <w:tab w:val="left" w:pos="1620"/>
        </w:tabs>
        <w:spacing w:after="0" w:line="312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E5E93">
        <w:rPr>
          <w:rFonts w:ascii="GHEA Grapalat" w:eastAsia="Times New Roman" w:hAnsi="GHEA Grapalat" w:cs="Sylfaen"/>
          <w:b/>
          <w:sz w:val="24"/>
          <w:szCs w:val="24"/>
          <w:lang w:val="hy-AM"/>
        </w:rPr>
        <w:t>4</w:t>
      </w:r>
      <w:r w:rsidRPr="004E5E93">
        <w:rPr>
          <w:rFonts w:ascii="Cambria Math" w:eastAsia="Times New Roman" w:hAnsi="Cambria Math" w:cs="Cambria Math"/>
          <w:b/>
          <w:sz w:val="24"/>
          <w:szCs w:val="24"/>
          <w:lang w:val="hy-AM"/>
        </w:rPr>
        <w:t>․</w:t>
      </w:r>
      <w:r w:rsidRPr="004E5E93"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Կարգավորման </w:t>
      </w:r>
      <w:r w:rsidRPr="004E5E9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առարկան. </w:t>
      </w:r>
      <w:r w:rsidRPr="004E5E93">
        <w:rPr>
          <w:rFonts w:ascii="GHEA Grapalat" w:eastAsia="Times New Roman" w:hAnsi="GHEA Grapalat" w:cs="GHEA Grapalat"/>
          <w:sz w:val="24"/>
          <w:lang w:val="hy-AM" w:eastAsia="ru-RU"/>
        </w:rPr>
        <w:t xml:space="preserve">Հայաստանի Հանրապետությունում </w:t>
      </w:r>
      <w:r w:rsidRPr="004E5E93">
        <w:rPr>
          <w:rFonts w:ascii="GHEA Grapalat" w:eastAsia="Times New Roman" w:hAnsi="GHEA Grapalat" w:cs="Sylfaen"/>
          <w:sz w:val="24"/>
          <w:szCs w:val="24"/>
          <w:lang w:val="hy-AM"/>
        </w:rPr>
        <w:t>տեղեկատվական տեխնոլոգիաների ոլորտի զարգացումը։</w:t>
      </w:r>
    </w:p>
    <w:p w:rsidR="005C1993" w:rsidRPr="004E5E93" w:rsidRDefault="005C1993" w:rsidP="005C1993">
      <w:pPr>
        <w:tabs>
          <w:tab w:val="num" w:pos="284"/>
          <w:tab w:val="left" w:pos="1620"/>
        </w:tabs>
        <w:spacing w:after="0" w:line="312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E5E93">
        <w:rPr>
          <w:rFonts w:ascii="GHEA Grapalat" w:eastAsia="Times New Roman" w:hAnsi="GHEA Grapalat" w:cs="Sylfaen"/>
          <w:b/>
          <w:sz w:val="24"/>
          <w:szCs w:val="24"/>
          <w:lang w:val="hy-AM"/>
        </w:rPr>
        <w:t>5</w:t>
      </w:r>
      <w:r w:rsidRPr="004E5E93">
        <w:rPr>
          <w:rFonts w:ascii="Cambria Math" w:eastAsia="Times New Roman" w:hAnsi="Cambria Math" w:cs="Cambria Math"/>
          <w:b/>
          <w:sz w:val="24"/>
          <w:szCs w:val="24"/>
          <w:lang w:val="hy-AM"/>
        </w:rPr>
        <w:t>․</w:t>
      </w:r>
      <w:r w:rsidRPr="004E5E9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5C1993" w:rsidRPr="004E5E93" w:rsidRDefault="005C1993" w:rsidP="005C1993">
      <w:pPr>
        <w:tabs>
          <w:tab w:val="left" w:pos="1620"/>
        </w:tabs>
        <w:spacing w:after="0" w:line="312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4E5E93">
        <w:rPr>
          <w:rFonts w:ascii="GHEA Grapalat" w:hAnsi="GHEA Grapalat"/>
          <w:sz w:val="24"/>
          <w:szCs w:val="24"/>
          <w:lang w:val="hy-AM"/>
        </w:rPr>
        <w:t>Նախագծի ընդունումը բխում է Հայաստանի վերափոխման ռազմավարություն 2050-ից և Կառավարության 2021-2026թթ. ծրագրից։</w:t>
      </w:r>
    </w:p>
    <w:p w:rsidR="005C1993" w:rsidRPr="004E5E93" w:rsidRDefault="005C1993" w:rsidP="005C1993">
      <w:pPr>
        <w:tabs>
          <w:tab w:val="num" w:pos="284"/>
          <w:tab w:val="left" w:pos="1620"/>
        </w:tabs>
        <w:spacing w:after="0" w:line="312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E5E9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6</w:t>
      </w:r>
      <w:r w:rsidRPr="004E5E93">
        <w:rPr>
          <w:rFonts w:ascii="Cambria Math" w:eastAsia="Times New Roman" w:hAnsi="Cambria Math" w:cs="Cambria Math"/>
          <w:b/>
          <w:bCs/>
          <w:sz w:val="24"/>
          <w:szCs w:val="24"/>
          <w:lang w:val="hy-AM"/>
        </w:rPr>
        <w:t>․</w:t>
      </w:r>
      <w:r w:rsidRPr="004E5E93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  <w:r w:rsidRPr="004E5E93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. </w:t>
      </w:r>
      <w:r w:rsidRPr="004E5E93">
        <w:rPr>
          <w:rFonts w:ascii="GHEA Grapalat" w:eastAsia="Times New Roman" w:hAnsi="GHEA Grapalat" w:cs="GHEA Grapalat"/>
          <w:sz w:val="24"/>
          <w:szCs w:val="24"/>
          <w:lang w:val="hy-AM"/>
        </w:rPr>
        <w:t>Նախա</w:t>
      </w:r>
      <w:r w:rsidRPr="004E5E93">
        <w:rPr>
          <w:rFonts w:ascii="GHEA Grapalat" w:eastAsia="Times New Roman" w:hAnsi="GHEA Grapalat" w:cs="GHEA Grapalat"/>
          <w:sz w:val="24"/>
          <w:szCs w:val="24"/>
          <w:lang w:val="fr-FR"/>
        </w:rPr>
        <w:softHyphen/>
      </w:r>
      <w:r w:rsidRPr="004E5E93">
        <w:rPr>
          <w:rFonts w:ascii="GHEA Grapalat" w:eastAsia="Times New Roman" w:hAnsi="GHEA Grapalat" w:cs="GHEA Grapalat"/>
          <w:sz w:val="24"/>
          <w:szCs w:val="24"/>
          <w:lang w:val="hy-AM"/>
        </w:rPr>
        <w:t>գի</w:t>
      </w:r>
      <w:r w:rsidRPr="004E5E93">
        <w:rPr>
          <w:rFonts w:ascii="GHEA Grapalat" w:eastAsia="Times New Roman" w:hAnsi="GHEA Grapalat" w:cs="GHEA Grapalat"/>
          <w:sz w:val="24"/>
          <w:szCs w:val="24"/>
          <w:lang w:val="fr-FR"/>
        </w:rPr>
        <w:softHyphen/>
      </w:r>
      <w:r w:rsidRPr="004E5E93">
        <w:rPr>
          <w:rFonts w:ascii="GHEA Grapalat" w:eastAsia="Times New Roman" w:hAnsi="GHEA Grapalat" w:cs="GHEA Grapalat"/>
          <w:sz w:val="24"/>
          <w:szCs w:val="24"/>
          <w:lang w:val="hy-AM"/>
        </w:rPr>
        <w:t>ծը մշակվել է ՀՀ պետական եկամուտների կոմիտեի կող</w:t>
      </w:r>
      <w:r w:rsidRPr="004E5E93">
        <w:rPr>
          <w:rFonts w:ascii="GHEA Grapalat" w:eastAsia="Times New Roman" w:hAnsi="GHEA Grapalat" w:cs="GHEA Grapalat"/>
          <w:sz w:val="24"/>
          <w:szCs w:val="24"/>
          <w:lang w:val="fr-FR"/>
        </w:rPr>
        <w:softHyphen/>
      </w:r>
      <w:r w:rsidRPr="004E5E93">
        <w:rPr>
          <w:rFonts w:ascii="GHEA Grapalat" w:eastAsia="Times New Roman" w:hAnsi="GHEA Grapalat" w:cs="GHEA Grapalat"/>
          <w:sz w:val="24"/>
          <w:szCs w:val="24"/>
          <w:lang w:val="fr-FR"/>
        </w:rPr>
        <w:softHyphen/>
      </w:r>
      <w:r w:rsidRPr="004E5E93">
        <w:rPr>
          <w:rFonts w:ascii="GHEA Grapalat" w:eastAsia="Times New Roman" w:hAnsi="GHEA Grapalat" w:cs="GHEA Grapalat"/>
          <w:sz w:val="24"/>
          <w:szCs w:val="24"/>
          <w:lang w:val="hy-AM"/>
        </w:rPr>
        <w:t>մից</w:t>
      </w:r>
      <w:r w:rsidRPr="004E5E93">
        <w:rPr>
          <w:rFonts w:ascii="GHEA Grapalat" w:eastAsia="Times New Roman" w:hAnsi="GHEA Grapalat" w:cs="GHEA Grapalat"/>
          <w:sz w:val="24"/>
          <w:szCs w:val="24"/>
          <w:lang w:val="fr-FR"/>
        </w:rPr>
        <w:t>:</w:t>
      </w:r>
    </w:p>
    <w:p w:rsidR="005C1993" w:rsidRDefault="005C1993" w:rsidP="005C1993">
      <w:pPr>
        <w:spacing w:after="0" w:line="312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E5E93">
        <w:rPr>
          <w:rFonts w:ascii="GHEA Grapalat" w:eastAsia="Times New Roman" w:hAnsi="GHEA Grapalat" w:cs="Sylfaen"/>
          <w:b/>
          <w:sz w:val="24"/>
          <w:szCs w:val="24"/>
          <w:lang w:val="hy-AM"/>
        </w:rPr>
        <w:t>7</w:t>
      </w:r>
      <w:r w:rsidRPr="004E5E93">
        <w:rPr>
          <w:rFonts w:ascii="Cambria Math" w:eastAsia="Times New Roman" w:hAnsi="Cambria Math" w:cs="Cambria Math"/>
          <w:b/>
          <w:sz w:val="24"/>
          <w:szCs w:val="24"/>
          <w:lang w:val="hy-AM"/>
        </w:rPr>
        <w:t>․</w:t>
      </w:r>
      <w:r w:rsidRPr="004E5E93">
        <w:rPr>
          <w:rFonts w:ascii="GHEA Grapalat" w:eastAsia="Times New Roman" w:hAnsi="GHEA Grapalat" w:cs="Sylfaen"/>
          <w:b/>
          <w:sz w:val="24"/>
          <w:szCs w:val="24"/>
          <w:lang w:val="fr-FR"/>
        </w:rPr>
        <w:t>Իրավական ակտի ընդունման արդյունքում ակնկալվող արդյունքը</w:t>
      </w:r>
      <w:r w:rsidRPr="004E5E93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.</w:t>
      </w:r>
      <w:r w:rsidRPr="004E5E93">
        <w:rPr>
          <w:rFonts w:ascii="GHEA Grapalat" w:eastAsia="Times New Roman" w:hAnsi="GHEA Grapalat" w:cs="Sylfaen"/>
          <w:sz w:val="24"/>
          <w:lang w:val="hy-AM" w:eastAsia="ru-RU"/>
        </w:rPr>
        <w:t>Նախա</w:t>
      </w:r>
      <w:r w:rsidRPr="004E5E93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4E5E93">
        <w:rPr>
          <w:rFonts w:ascii="GHEA Grapalat" w:eastAsia="Times New Roman" w:hAnsi="GHEA Grapalat" w:cs="Sylfaen"/>
          <w:sz w:val="24"/>
          <w:lang w:val="hy-AM" w:eastAsia="ru-RU"/>
        </w:rPr>
        <w:t>գծի ընդուն</w:t>
      </w:r>
      <w:r w:rsidRPr="004E5E93">
        <w:rPr>
          <w:rFonts w:ascii="GHEA Grapalat" w:eastAsia="Times New Roman" w:hAnsi="GHEA Grapalat" w:cs="Sylfaen"/>
          <w:sz w:val="24"/>
          <w:lang w:val="fr-FR" w:eastAsia="ru-RU"/>
        </w:rPr>
        <w:softHyphen/>
      </w:r>
      <w:r w:rsidRPr="004E5E93">
        <w:rPr>
          <w:rFonts w:ascii="GHEA Grapalat" w:eastAsia="Times New Roman" w:hAnsi="GHEA Grapalat" w:cs="Sylfaen"/>
          <w:sz w:val="24"/>
          <w:lang w:val="hy-AM" w:eastAsia="ru-RU"/>
        </w:rPr>
        <w:softHyphen/>
      </w:r>
      <w:r w:rsidRPr="004E5E93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4E5E93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4E5E93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4E5E93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4E5E93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4E5E93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4E5E93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4E5E93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4E5E93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4E5E93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4E5E93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4E5E93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4E5E93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4E5E93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4E5E93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4E5E93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4E5E93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4E5E93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4E5E93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4E5E93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4E5E93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4E5E93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4E5E93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4E5E93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4E5E93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4E5E93">
        <w:rPr>
          <w:rFonts w:ascii="GHEA Grapalat" w:eastAsia="Times New Roman" w:hAnsi="GHEA Grapalat" w:cs="Sylfaen"/>
          <w:sz w:val="24"/>
          <w:lang w:val="hy-AM" w:eastAsia="ru-RU"/>
        </w:rPr>
        <w:t>ման արդ</w:t>
      </w:r>
      <w:r w:rsidRPr="004E5E93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4E5E93">
        <w:rPr>
          <w:rFonts w:ascii="GHEA Grapalat" w:eastAsia="Times New Roman" w:hAnsi="GHEA Grapalat" w:cs="Sylfaen"/>
          <w:sz w:val="24"/>
          <w:lang w:val="hy-AM" w:eastAsia="ru-RU"/>
        </w:rPr>
        <w:t>յուն</w:t>
      </w:r>
      <w:r w:rsidRPr="004E5E93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4E5E93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4E5E93">
        <w:rPr>
          <w:rFonts w:ascii="GHEA Grapalat" w:eastAsia="Times New Roman" w:hAnsi="GHEA Grapalat" w:cs="Sylfaen"/>
          <w:sz w:val="24"/>
          <w:lang w:val="hy-AM" w:eastAsia="ru-RU"/>
        </w:rPr>
        <w:t xml:space="preserve">քում ակնկալվում է </w:t>
      </w:r>
      <w:r w:rsidRPr="004E5E93">
        <w:rPr>
          <w:rFonts w:ascii="GHEA Grapalat" w:eastAsia="Times New Roman" w:hAnsi="GHEA Grapalat" w:cs="GHEA Grapalat"/>
          <w:sz w:val="24"/>
          <w:lang w:val="hy-AM" w:eastAsia="ru-RU"/>
        </w:rPr>
        <w:t xml:space="preserve">նպաստել Հայաստանի Հանրապետությունում </w:t>
      </w:r>
      <w:r w:rsidRPr="004E5E93">
        <w:rPr>
          <w:rFonts w:ascii="GHEA Grapalat" w:eastAsia="Times New Roman" w:hAnsi="GHEA Grapalat" w:cs="Sylfaen"/>
          <w:sz w:val="24"/>
          <w:szCs w:val="24"/>
          <w:lang w:val="hy-AM"/>
        </w:rPr>
        <w:t>տեղեկատվական տեխնոլոգիաների ոլորտի զարգացմանը և կարճաժամկետ ժամանակահատվածում տարածաշրջանային երկրների համեմատ գործունեության իրականացման մրցունակ միջավայրի ձևավորմանը։</w:t>
      </w:r>
    </w:p>
    <w:p w:rsidR="005C1993" w:rsidRDefault="005C1993" w:rsidP="005C1993">
      <w:pPr>
        <w:spacing w:after="0" w:line="312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5C1993" w:rsidRDefault="005C1993" w:rsidP="005C1993">
      <w:pPr>
        <w:spacing w:after="0" w:line="312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5C1993" w:rsidRDefault="005C1993" w:rsidP="005C1993">
      <w:pPr>
        <w:spacing w:after="0" w:line="312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4E5E93" w:rsidRPr="005C1993" w:rsidRDefault="004E5E93" w:rsidP="005C1993">
      <w:pPr>
        <w:rPr>
          <w:lang w:val="hy-AM"/>
        </w:rPr>
      </w:pPr>
      <w:bookmarkStart w:id="0" w:name="_GoBack"/>
      <w:bookmarkEnd w:id="0"/>
    </w:p>
    <w:sectPr w:rsidR="004E5E93" w:rsidRPr="005C1993" w:rsidSect="008F7CDE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7B4" w:rsidRDefault="00E917B4" w:rsidP="00E90575">
      <w:pPr>
        <w:spacing w:after="0" w:line="240" w:lineRule="auto"/>
      </w:pPr>
      <w:r>
        <w:separator/>
      </w:r>
    </w:p>
  </w:endnote>
  <w:endnote w:type="continuationSeparator" w:id="0">
    <w:p w:rsidR="00E917B4" w:rsidRDefault="00E917B4" w:rsidP="00E9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7B4" w:rsidRDefault="00E917B4" w:rsidP="00E90575">
      <w:pPr>
        <w:spacing w:after="0" w:line="240" w:lineRule="auto"/>
      </w:pPr>
      <w:r>
        <w:separator/>
      </w:r>
    </w:p>
  </w:footnote>
  <w:footnote w:type="continuationSeparator" w:id="0">
    <w:p w:rsidR="00E917B4" w:rsidRDefault="00E917B4" w:rsidP="00E90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EDC"/>
    <w:multiLevelType w:val="hybridMultilevel"/>
    <w:tmpl w:val="344A6DC8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79F213C"/>
    <w:multiLevelType w:val="multilevel"/>
    <w:tmpl w:val="CDF25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410B12B8"/>
    <w:multiLevelType w:val="hybridMultilevel"/>
    <w:tmpl w:val="9EB64E50"/>
    <w:lvl w:ilvl="0" w:tplc="58F6729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3C"/>
    <w:rsid w:val="000309D6"/>
    <w:rsid w:val="00060E46"/>
    <w:rsid w:val="00064043"/>
    <w:rsid w:val="00080BB2"/>
    <w:rsid w:val="00097F2B"/>
    <w:rsid w:val="000A4674"/>
    <w:rsid w:val="000C5F78"/>
    <w:rsid w:val="000D5DDC"/>
    <w:rsid w:val="001171DC"/>
    <w:rsid w:val="00144389"/>
    <w:rsid w:val="00155EF8"/>
    <w:rsid w:val="0016292F"/>
    <w:rsid w:val="001637A1"/>
    <w:rsid w:val="00172E71"/>
    <w:rsid w:val="001B6E0D"/>
    <w:rsid w:val="001D6976"/>
    <w:rsid w:val="00217037"/>
    <w:rsid w:val="00255E34"/>
    <w:rsid w:val="002A581E"/>
    <w:rsid w:val="002D2BFA"/>
    <w:rsid w:val="0032616F"/>
    <w:rsid w:val="003517EF"/>
    <w:rsid w:val="00362CA3"/>
    <w:rsid w:val="00376DA2"/>
    <w:rsid w:val="003778FD"/>
    <w:rsid w:val="00377BFF"/>
    <w:rsid w:val="003A68BB"/>
    <w:rsid w:val="003B360A"/>
    <w:rsid w:val="003C42AB"/>
    <w:rsid w:val="003D4DFE"/>
    <w:rsid w:val="003E3A3C"/>
    <w:rsid w:val="003F5C17"/>
    <w:rsid w:val="00404687"/>
    <w:rsid w:val="0041155C"/>
    <w:rsid w:val="00453012"/>
    <w:rsid w:val="004847F5"/>
    <w:rsid w:val="004B67B7"/>
    <w:rsid w:val="004E5E93"/>
    <w:rsid w:val="005477A0"/>
    <w:rsid w:val="005649C2"/>
    <w:rsid w:val="005C17A5"/>
    <w:rsid w:val="005C1993"/>
    <w:rsid w:val="005E3A6E"/>
    <w:rsid w:val="005F12DD"/>
    <w:rsid w:val="005F3B8E"/>
    <w:rsid w:val="0061444C"/>
    <w:rsid w:val="006335E8"/>
    <w:rsid w:val="006553B0"/>
    <w:rsid w:val="00655519"/>
    <w:rsid w:val="006D4DE7"/>
    <w:rsid w:val="006D5FB1"/>
    <w:rsid w:val="006F7FF7"/>
    <w:rsid w:val="00704C38"/>
    <w:rsid w:val="00764074"/>
    <w:rsid w:val="007A4E20"/>
    <w:rsid w:val="007B574F"/>
    <w:rsid w:val="007C032A"/>
    <w:rsid w:val="00800EC9"/>
    <w:rsid w:val="00857DCE"/>
    <w:rsid w:val="00867756"/>
    <w:rsid w:val="00891B3A"/>
    <w:rsid w:val="008962F2"/>
    <w:rsid w:val="008B0958"/>
    <w:rsid w:val="008E1CF6"/>
    <w:rsid w:val="008F4505"/>
    <w:rsid w:val="008F6B97"/>
    <w:rsid w:val="008F7CDE"/>
    <w:rsid w:val="00926E80"/>
    <w:rsid w:val="00941250"/>
    <w:rsid w:val="0096696D"/>
    <w:rsid w:val="00966E38"/>
    <w:rsid w:val="00971FAF"/>
    <w:rsid w:val="009809E1"/>
    <w:rsid w:val="00996258"/>
    <w:rsid w:val="00996BAA"/>
    <w:rsid w:val="009B4CFB"/>
    <w:rsid w:val="009B7674"/>
    <w:rsid w:val="009D01CD"/>
    <w:rsid w:val="009F35E2"/>
    <w:rsid w:val="00A0086F"/>
    <w:rsid w:val="00A13832"/>
    <w:rsid w:val="00A86E28"/>
    <w:rsid w:val="00A944F2"/>
    <w:rsid w:val="00A9626D"/>
    <w:rsid w:val="00AA40B0"/>
    <w:rsid w:val="00AB3803"/>
    <w:rsid w:val="00AB6C31"/>
    <w:rsid w:val="00AC4725"/>
    <w:rsid w:val="00AC7750"/>
    <w:rsid w:val="00AF6FF3"/>
    <w:rsid w:val="00B35D3F"/>
    <w:rsid w:val="00B3733E"/>
    <w:rsid w:val="00BC4778"/>
    <w:rsid w:val="00BC7D55"/>
    <w:rsid w:val="00C042B2"/>
    <w:rsid w:val="00C33776"/>
    <w:rsid w:val="00C34149"/>
    <w:rsid w:val="00C479FF"/>
    <w:rsid w:val="00C50C69"/>
    <w:rsid w:val="00C50E82"/>
    <w:rsid w:val="00C80C79"/>
    <w:rsid w:val="00C86BE9"/>
    <w:rsid w:val="00CA6D7A"/>
    <w:rsid w:val="00CB5060"/>
    <w:rsid w:val="00CC0B03"/>
    <w:rsid w:val="00CC4F18"/>
    <w:rsid w:val="00CD3754"/>
    <w:rsid w:val="00CE0648"/>
    <w:rsid w:val="00CE2DA9"/>
    <w:rsid w:val="00CE6124"/>
    <w:rsid w:val="00D20F1C"/>
    <w:rsid w:val="00D268F9"/>
    <w:rsid w:val="00D26C2E"/>
    <w:rsid w:val="00D752BC"/>
    <w:rsid w:val="00D80BCB"/>
    <w:rsid w:val="00D932C1"/>
    <w:rsid w:val="00DB41E1"/>
    <w:rsid w:val="00E00917"/>
    <w:rsid w:val="00E41736"/>
    <w:rsid w:val="00E50D65"/>
    <w:rsid w:val="00E73BEA"/>
    <w:rsid w:val="00E73CBC"/>
    <w:rsid w:val="00E90575"/>
    <w:rsid w:val="00E917B4"/>
    <w:rsid w:val="00E97CEA"/>
    <w:rsid w:val="00EB6EAA"/>
    <w:rsid w:val="00EB7E33"/>
    <w:rsid w:val="00F0012B"/>
    <w:rsid w:val="00F15F2B"/>
    <w:rsid w:val="00F1628F"/>
    <w:rsid w:val="00F42FA6"/>
    <w:rsid w:val="00F51E2E"/>
    <w:rsid w:val="00F573D8"/>
    <w:rsid w:val="00F91946"/>
    <w:rsid w:val="00FB2645"/>
    <w:rsid w:val="00FC4C7F"/>
    <w:rsid w:val="00FD7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ADDE8"/>
  <w15:docId w15:val="{54A33F5D-6B5E-4736-9E68-D5A8A3A0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B03"/>
  </w:style>
  <w:style w:type="paragraph" w:styleId="Heading2">
    <w:name w:val="heading 2"/>
    <w:basedOn w:val="Normal"/>
    <w:link w:val="Heading2Char"/>
    <w:uiPriority w:val="9"/>
    <w:qFormat/>
    <w:rsid w:val="000A46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B03"/>
  </w:style>
  <w:style w:type="paragraph" w:styleId="ListParagraph">
    <w:name w:val="List Paragraph"/>
    <w:basedOn w:val="Normal"/>
    <w:uiPriority w:val="34"/>
    <w:qFormat/>
    <w:rsid w:val="00CC0B03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E90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575"/>
  </w:style>
  <w:style w:type="character" w:customStyle="1" w:styleId="Heading2Char">
    <w:name w:val="Heading 2 Char"/>
    <w:basedOn w:val="DefaultParagraphFont"/>
    <w:link w:val="Heading2"/>
    <w:uiPriority w:val="9"/>
    <w:rsid w:val="000A4674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AB3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A6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4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0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0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07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7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72E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F43D2-1F2D-4C19-A7B7-D5C18019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Mariam Manukyan</dc:creator>
  <cp:keywords>https:/mul2.gov.am/tasks/587644/oneclick/Nakhagic_  _voroshum_24 03 2022 (3).docx?token=8e23a2ecab5a3df97efade8e34ecfa9e</cp:keywords>
  <cp:lastModifiedBy>Gohar Mirzoyan</cp:lastModifiedBy>
  <cp:revision>2</cp:revision>
  <dcterms:created xsi:type="dcterms:W3CDTF">2022-03-24T06:22:00Z</dcterms:created>
  <dcterms:modified xsi:type="dcterms:W3CDTF">2022-03-24T06:22:00Z</dcterms:modified>
</cp:coreProperties>
</file>