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0C" w:rsidRPr="00B6751A" w:rsidRDefault="008B4B0C" w:rsidP="00770AC4">
      <w:pPr>
        <w:tabs>
          <w:tab w:val="center" w:pos="4680"/>
          <w:tab w:val="right" w:pos="9360"/>
        </w:tabs>
        <w:spacing w:line="360" w:lineRule="auto"/>
        <w:jc w:val="center"/>
        <w:rPr>
          <w:rFonts w:ascii="GHEA Grapalat" w:hAnsi="GHEA Grapalat"/>
          <w:b/>
          <w:bCs/>
          <w:lang w:val="hy-AM"/>
        </w:rPr>
      </w:pPr>
      <w:r w:rsidRPr="00B6751A">
        <w:rPr>
          <w:rFonts w:ascii="GHEA Grapalat" w:hAnsi="GHEA Grapalat"/>
          <w:b/>
          <w:bCs/>
          <w:lang w:val="hy-AM"/>
        </w:rPr>
        <w:t>ԱՄՓՈՓԱԹԵՐԹ</w:t>
      </w:r>
    </w:p>
    <w:p w:rsidR="008B4B0C" w:rsidRPr="00932EEE" w:rsidRDefault="003E4772" w:rsidP="00BC3EBD">
      <w:pPr>
        <w:tabs>
          <w:tab w:val="center" w:pos="4680"/>
          <w:tab w:val="right" w:pos="9360"/>
        </w:tabs>
        <w:spacing w:line="360" w:lineRule="auto"/>
        <w:jc w:val="center"/>
        <w:rPr>
          <w:rFonts w:ascii="GHEA Grapalat" w:hAnsi="GHEA Grapalat"/>
          <w:bCs/>
          <w:lang w:val="hy-AM"/>
        </w:rPr>
      </w:pPr>
      <w:r w:rsidRPr="00B6751A">
        <w:rPr>
          <w:rFonts w:ascii="GHEA Grapalat" w:hAnsi="GHEA Grapalat" w:cs="Arial"/>
          <w:b/>
          <w:bCs/>
          <w:kern w:val="32"/>
          <w:lang w:val="hy-AM"/>
        </w:rPr>
        <w:t>«</w:t>
      </w:r>
      <w:r w:rsidR="00932EEE" w:rsidRPr="00F17D75">
        <w:rPr>
          <w:rStyle w:val="Strong"/>
          <w:rFonts w:ascii="GHEA Grapalat" w:hAnsi="GHEA Grapalat"/>
          <w:b w:val="0"/>
          <w:color w:val="000000"/>
          <w:shd w:val="clear" w:color="auto" w:fill="FFFFFF"/>
          <w:lang w:val="hy-AM"/>
        </w:rPr>
        <w:t xml:space="preserve">Հայաստանի Հանրապետության կառավարության 2021 թվականի դեկտեմբերի 23-ի N 2121-Ն </w:t>
      </w:r>
      <w:r w:rsidR="0014642B">
        <w:rPr>
          <w:rStyle w:val="Strong"/>
          <w:rFonts w:ascii="GHEA Grapalat" w:hAnsi="GHEA Grapalat"/>
          <w:b w:val="0"/>
          <w:color w:val="000000"/>
          <w:shd w:val="clear" w:color="auto" w:fill="FFFFFF"/>
          <w:lang w:val="hy-AM"/>
        </w:rPr>
        <w:t>որոշման մեջ</w:t>
      </w:r>
      <w:r w:rsidR="00932EEE" w:rsidRPr="00F17D75">
        <w:rPr>
          <w:rStyle w:val="Strong"/>
          <w:rFonts w:ascii="GHEA Grapalat" w:hAnsi="GHEA Grapalat"/>
          <w:b w:val="0"/>
          <w:color w:val="000000"/>
          <w:shd w:val="clear" w:color="auto" w:fill="FFFFFF"/>
          <w:lang w:val="hy-AM"/>
        </w:rPr>
        <w:t xml:space="preserve"> փոփոխություններ կատարելու մասին</w:t>
      </w:r>
      <w:r w:rsidRPr="00B6751A">
        <w:rPr>
          <w:rFonts w:ascii="GHEA Grapalat" w:hAnsi="GHEA Grapalat"/>
          <w:b/>
          <w:lang w:val="hy-AM"/>
        </w:rPr>
        <w:t xml:space="preserve">» </w:t>
      </w:r>
      <w:r w:rsidRPr="00932EEE">
        <w:rPr>
          <w:rFonts w:ascii="GHEA Grapalat" w:hAnsi="GHEA Grapalat" w:cs="Sylfaen"/>
          <w:bCs/>
          <w:lang w:val="hy-AM"/>
        </w:rPr>
        <w:t xml:space="preserve">կառավարության որոշման </w:t>
      </w:r>
      <w:r w:rsidR="008B4B0C" w:rsidRPr="00932EEE">
        <w:rPr>
          <w:rFonts w:ascii="GHEA Grapalat" w:hAnsi="GHEA Grapalat"/>
          <w:bCs/>
          <w:lang w:val="hy-AM"/>
        </w:rPr>
        <w:t>նախագծի վերաբերյալ շահագրգիռ մարմինների առարկությունների և առաջարկությունների</w:t>
      </w:r>
    </w:p>
    <w:tbl>
      <w:tblPr>
        <w:tblW w:w="1061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02"/>
        <w:gridCol w:w="5310"/>
      </w:tblGrid>
      <w:tr w:rsidR="003F17DB" w:rsidRPr="00B64DE6" w:rsidTr="00AD0D95">
        <w:trPr>
          <w:trHeight w:val="357"/>
          <w:tblCellSpacing w:w="0" w:type="dxa"/>
          <w:jc w:val="center"/>
        </w:trPr>
        <w:tc>
          <w:tcPr>
            <w:tcW w:w="5302" w:type="dxa"/>
            <w:vMerge w:val="restart"/>
            <w:tcBorders>
              <w:top w:val="outset" w:sz="6" w:space="0" w:color="auto"/>
              <w:left w:val="outset" w:sz="6" w:space="0" w:color="auto"/>
              <w:right w:val="outset" w:sz="6" w:space="0" w:color="auto"/>
            </w:tcBorders>
            <w:shd w:val="clear" w:color="auto" w:fill="FFFFFF" w:themeFill="background1"/>
            <w:vAlign w:val="center"/>
            <w:hideMark/>
          </w:tcPr>
          <w:p w:rsidR="008B4B0C" w:rsidRPr="00B64DE6" w:rsidRDefault="008B4B0C" w:rsidP="00B64DE6">
            <w:pPr>
              <w:widowControl w:val="0"/>
              <w:spacing w:line="276" w:lineRule="auto"/>
              <w:ind w:right="210"/>
              <w:contextualSpacing/>
              <w:rPr>
                <w:rFonts w:ascii="GHEA Grapalat" w:hAnsi="GHEA Grapalat"/>
                <w:color w:val="000000"/>
                <w:shd w:val="clear" w:color="auto" w:fill="FFFFFF"/>
              </w:rPr>
            </w:pPr>
            <w:r w:rsidRPr="00B64DE6">
              <w:rPr>
                <w:rFonts w:ascii="GHEA Grapalat" w:hAnsi="GHEA Grapalat"/>
                <w:color w:val="000000"/>
                <w:shd w:val="clear" w:color="auto" w:fill="FFFFFF"/>
              </w:rPr>
              <w:t>ՀՀ ֆինանսների նախարարություն</w:t>
            </w:r>
          </w:p>
        </w:tc>
        <w:tc>
          <w:tcPr>
            <w:tcW w:w="53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B4B0C" w:rsidRPr="00B64DE6" w:rsidRDefault="0000298A" w:rsidP="00A565CE">
            <w:pPr>
              <w:widowControl w:val="0"/>
              <w:spacing w:line="276" w:lineRule="auto"/>
              <w:ind w:right="210"/>
              <w:contextualSpacing/>
              <w:rPr>
                <w:rFonts w:ascii="GHEA Grapalat" w:hAnsi="GHEA Grapalat"/>
                <w:color w:val="000000"/>
                <w:shd w:val="clear" w:color="auto" w:fill="FFFFFF"/>
              </w:rPr>
            </w:pPr>
            <w:r w:rsidRPr="00B64DE6">
              <w:rPr>
                <w:rFonts w:ascii="GHEA Grapalat" w:hAnsi="GHEA Grapalat"/>
                <w:color w:val="000000"/>
                <w:shd w:val="clear" w:color="auto" w:fill="FFFFFF"/>
              </w:rPr>
              <w:t>0</w:t>
            </w:r>
            <w:r w:rsidR="00A565CE">
              <w:rPr>
                <w:rFonts w:ascii="GHEA Grapalat" w:hAnsi="GHEA Grapalat"/>
                <w:color w:val="000000"/>
                <w:shd w:val="clear" w:color="auto" w:fill="FFFFFF"/>
                <w:lang w:val="hy-AM"/>
              </w:rPr>
              <w:t>4</w:t>
            </w:r>
            <w:r w:rsidR="008B4B0C" w:rsidRPr="00B64DE6">
              <w:rPr>
                <w:rFonts w:ascii="GHEA Grapalat" w:hAnsi="GHEA Grapalat"/>
                <w:color w:val="000000"/>
                <w:shd w:val="clear" w:color="auto" w:fill="FFFFFF"/>
              </w:rPr>
              <w:t>-</w:t>
            </w:r>
            <w:r w:rsidR="00D4467A" w:rsidRPr="00B64DE6">
              <w:rPr>
                <w:rFonts w:ascii="GHEA Grapalat" w:hAnsi="GHEA Grapalat"/>
                <w:color w:val="000000"/>
                <w:shd w:val="clear" w:color="auto" w:fill="FFFFFF"/>
              </w:rPr>
              <w:t>0</w:t>
            </w:r>
            <w:r w:rsidR="00A565CE">
              <w:rPr>
                <w:rFonts w:ascii="GHEA Grapalat" w:hAnsi="GHEA Grapalat"/>
                <w:color w:val="000000"/>
                <w:shd w:val="clear" w:color="auto" w:fill="FFFFFF"/>
                <w:lang w:val="hy-AM"/>
              </w:rPr>
              <w:t>3</w:t>
            </w:r>
            <w:r w:rsidR="008B4B0C" w:rsidRPr="00B64DE6">
              <w:rPr>
                <w:rFonts w:ascii="GHEA Grapalat" w:hAnsi="GHEA Grapalat"/>
                <w:color w:val="000000"/>
                <w:shd w:val="clear" w:color="auto" w:fill="FFFFFF"/>
              </w:rPr>
              <w:t>-202</w:t>
            </w:r>
            <w:r w:rsidR="00D4467A" w:rsidRPr="00B64DE6">
              <w:rPr>
                <w:rFonts w:ascii="GHEA Grapalat" w:hAnsi="GHEA Grapalat"/>
                <w:color w:val="000000"/>
                <w:shd w:val="clear" w:color="auto" w:fill="FFFFFF"/>
              </w:rPr>
              <w:t>2</w:t>
            </w:r>
            <w:r w:rsidR="008B4B0C" w:rsidRPr="00B64DE6">
              <w:rPr>
                <w:rFonts w:ascii="GHEA Grapalat" w:hAnsi="GHEA Grapalat"/>
                <w:color w:val="000000"/>
                <w:shd w:val="clear" w:color="auto" w:fill="FFFFFF"/>
              </w:rPr>
              <w:t>թ.</w:t>
            </w:r>
          </w:p>
        </w:tc>
      </w:tr>
      <w:tr w:rsidR="008B4B0C" w:rsidRPr="00B64DE6" w:rsidTr="00AD0D95">
        <w:trPr>
          <w:trHeight w:val="435"/>
          <w:tblCellSpacing w:w="0" w:type="dxa"/>
          <w:jc w:val="center"/>
        </w:trPr>
        <w:tc>
          <w:tcPr>
            <w:tcW w:w="5302" w:type="dxa"/>
            <w:vMerge/>
            <w:tcBorders>
              <w:left w:val="outset" w:sz="6" w:space="0" w:color="auto"/>
              <w:bottom w:val="outset" w:sz="6" w:space="0" w:color="auto"/>
              <w:right w:val="outset" w:sz="6" w:space="0" w:color="auto"/>
            </w:tcBorders>
            <w:shd w:val="clear" w:color="auto" w:fill="FFFFFF" w:themeFill="background1"/>
            <w:vAlign w:val="center"/>
            <w:hideMark/>
          </w:tcPr>
          <w:p w:rsidR="008B4B0C" w:rsidRPr="00B64DE6" w:rsidRDefault="008B4B0C" w:rsidP="00E02E3A">
            <w:pPr>
              <w:spacing w:line="360" w:lineRule="auto"/>
              <w:rPr>
                <w:rFonts w:ascii="GHEA Grapalat" w:eastAsia="Calibri" w:hAnsi="GHEA Grapalat"/>
                <w:color w:val="000000" w:themeColor="text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B4B0C" w:rsidRPr="00B64DE6" w:rsidRDefault="00A565CE" w:rsidP="00913768">
            <w:pPr>
              <w:widowControl w:val="0"/>
              <w:spacing w:line="276" w:lineRule="auto"/>
              <w:ind w:right="210"/>
              <w:contextualSpacing/>
              <w:rPr>
                <w:rFonts w:ascii="GHEA Grapalat" w:hAnsi="GHEA Grapala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5CE">
              <w:rPr>
                <w:rFonts w:ascii="GHEA Grapalat" w:hAnsi="GHEA Grapalat"/>
                <w:color w:val="000000"/>
                <w:shd w:val="clear" w:color="auto" w:fill="FFFFFF"/>
              </w:rPr>
              <w:t>01/8-5/3565-2022</w:t>
            </w:r>
          </w:p>
        </w:tc>
      </w:tr>
      <w:tr w:rsidR="008B4B0C" w:rsidRPr="000F761C" w:rsidTr="00AD0D95">
        <w:trPr>
          <w:trHeight w:val="1605"/>
          <w:tblCellSpacing w:w="0" w:type="dxa"/>
          <w:jc w:val="center"/>
        </w:trPr>
        <w:tc>
          <w:tcPr>
            <w:tcW w:w="5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65CE" w:rsidRPr="00B025BA" w:rsidRDefault="00A565CE" w:rsidP="00A565CE">
            <w:pPr>
              <w:spacing w:line="360" w:lineRule="auto"/>
              <w:ind w:left="150" w:right="255" w:firstLine="417"/>
              <w:jc w:val="both"/>
              <w:rPr>
                <w:rFonts w:ascii="GHEA Grapalat" w:hAnsi="GHEA Grapalat"/>
              </w:rPr>
            </w:pPr>
            <w:r w:rsidRPr="00B025BA">
              <w:rPr>
                <w:rFonts w:ascii="GHEA Grapalat" w:hAnsi="GHEA Grapalat"/>
                <w:lang w:val="hy-AM"/>
              </w:rPr>
              <w:t xml:space="preserve">ՀՀ ֆինանսների նախարարությունը ՀՀ </w:t>
            </w:r>
            <w:r w:rsidRPr="00B025BA">
              <w:rPr>
                <w:rFonts w:ascii="GHEA Grapalat" w:hAnsi="GHEA Grapalat"/>
              </w:rPr>
              <w:t xml:space="preserve">աշխատանքի և սոցիալական հարցերի նախարարության (այսուհետ՝ Նախարարություն) </w:t>
            </w:r>
            <w:r w:rsidRPr="00B025BA">
              <w:rPr>
                <w:rFonts w:ascii="GHEA Grapalat" w:hAnsi="GHEA Grapalat"/>
                <w:lang w:val="hy-AM"/>
              </w:rPr>
              <w:t xml:space="preserve">կողմից ս.թ. </w:t>
            </w:r>
            <w:r w:rsidRPr="00B025BA">
              <w:rPr>
                <w:rFonts w:ascii="GHEA Grapalat" w:hAnsi="GHEA Grapalat"/>
              </w:rPr>
              <w:t>փետրվարի 25</w:t>
            </w:r>
            <w:r w:rsidRPr="00B025BA">
              <w:rPr>
                <w:rFonts w:ascii="GHEA Grapalat" w:hAnsi="GHEA Grapalat"/>
                <w:lang w:val="hy-AM"/>
              </w:rPr>
              <w:t>-ի</w:t>
            </w:r>
            <w:r w:rsidRPr="00B025BA">
              <w:rPr>
                <w:rFonts w:ascii="GHEA Grapalat" w:hAnsi="GHEA Grapalat"/>
              </w:rPr>
              <w:t xml:space="preserve"> </w:t>
            </w:r>
            <w:r w:rsidRPr="00B025BA">
              <w:rPr>
                <w:rFonts w:ascii="GHEA Grapalat" w:hAnsi="GHEA Grapalat"/>
                <w:lang w:val="hy-AM"/>
              </w:rPr>
              <w:t xml:space="preserve">N </w:t>
            </w:r>
            <w:r w:rsidRPr="00B025BA">
              <w:rPr>
                <w:rFonts w:ascii="GHEA Grapalat" w:hAnsi="GHEA Grapalat"/>
              </w:rPr>
              <w:t>ՄՆ//4954-2022</w:t>
            </w:r>
            <w:r w:rsidRPr="00B025BA">
              <w:rPr>
                <w:rFonts w:ascii="GHEA Grapalat" w:hAnsi="GHEA Grapalat"/>
                <w:lang w:val="hy-AM"/>
              </w:rPr>
              <w:t xml:space="preserve"> գրությամբ ներ</w:t>
            </w:r>
            <w:r w:rsidRPr="00B025BA">
              <w:rPr>
                <w:rFonts w:ascii="GHEA Grapalat" w:hAnsi="GHEA Grapalat"/>
                <w:lang w:val="hy-AM"/>
              </w:rPr>
              <w:softHyphen/>
              <w:t>կա</w:t>
            </w:r>
            <w:r w:rsidRPr="00B025BA">
              <w:rPr>
                <w:rFonts w:ascii="GHEA Grapalat" w:hAnsi="GHEA Grapalat"/>
                <w:lang w:val="hy-AM"/>
              </w:rPr>
              <w:softHyphen/>
              <w:t>յաց</w:t>
            </w:r>
            <w:r w:rsidRPr="00B025BA">
              <w:rPr>
                <w:rFonts w:ascii="GHEA Grapalat" w:hAnsi="GHEA Grapalat"/>
                <w:lang w:val="hy-AM"/>
              </w:rPr>
              <w:softHyphen/>
            </w:r>
            <w:r w:rsidRPr="00B025BA">
              <w:rPr>
                <w:rFonts w:ascii="GHEA Grapalat" w:hAnsi="GHEA Grapalat"/>
                <w:lang w:val="hy-AM"/>
              </w:rPr>
              <w:softHyphen/>
            </w:r>
            <w:r w:rsidRPr="00B025BA">
              <w:rPr>
                <w:rFonts w:ascii="GHEA Grapalat" w:hAnsi="GHEA Grapalat"/>
                <w:lang w:val="hy-AM"/>
              </w:rPr>
              <w:softHyphen/>
            </w:r>
            <w:r w:rsidRPr="00B025BA">
              <w:rPr>
                <w:rFonts w:ascii="GHEA Grapalat" w:hAnsi="GHEA Grapalat"/>
                <w:lang w:val="hy-AM"/>
              </w:rPr>
              <w:softHyphen/>
              <w:t>ված` «</w:t>
            </w:r>
            <w:r w:rsidRPr="00B025BA">
              <w:rPr>
                <w:rFonts w:ascii="GHEA Grapalat" w:hAnsi="GHEA Grapalat"/>
              </w:rPr>
              <w:t>Հայաստանի Հանրապետության կառավարության 2021 թվականի դեկտեմբերի 23-ի N 2121-Ն որոշման մեջ փոփոխություններ կատարելու մասին</w:t>
            </w:r>
            <w:r w:rsidRPr="00B025BA">
              <w:rPr>
                <w:rFonts w:ascii="GHEA Grapalat" w:hAnsi="GHEA Grapalat"/>
                <w:lang w:val="hy-AM"/>
              </w:rPr>
              <w:t>» ՀՀ կառավարության որո</w:t>
            </w:r>
            <w:r w:rsidRPr="00B025BA">
              <w:rPr>
                <w:rFonts w:ascii="GHEA Grapalat" w:hAnsi="GHEA Grapalat"/>
                <w:lang w:val="hy-AM"/>
              </w:rPr>
              <w:softHyphen/>
              <w:t xml:space="preserve">շման նախագծի </w:t>
            </w:r>
            <w:r w:rsidRPr="00B025BA">
              <w:rPr>
                <w:rFonts w:ascii="GHEA Grapalat" w:hAnsi="GHEA Grapalat"/>
              </w:rPr>
              <w:t xml:space="preserve">(այսուհետ՝ Նախագիծ) </w:t>
            </w:r>
            <w:r w:rsidRPr="00B025BA">
              <w:rPr>
                <w:rFonts w:ascii="GHEA Grapalat" w:hAnsi="GHEA Grapalat"/>
                <w:lang w:val="hy-AM"/>
              </w:rPr>
              <w:t xml:space="preserve">վերաբերյալ </w:t>
            </w:r>
            <w:r w:rsidRPr="00B025BA">
              <w:rPr>
                <w:rFonts w:ascii="GHEA Grapalat" w:hAnsi="GHEA Grapalat"/>
              </w:rPr>
              <w:t>հայտնում է հետևյալը.</w:t>
            </w:r>
          </w:p>
          <w:p w:rsidR="00A565CE" w:rsidRPr="00B025BA" w:rsidRDefault="00A565CE" w:rsidP="00A565CE">
            <w:pPr>
              <w:spacing w:line="360" w:lineRule="auto"/>
              <w:ind w:left="150" w:right="255" w:firstLine="417"/>
              <w:jc w:val="both"/>
              <w:rPr>
                <w:rFonts w:ascii="GHEA Grapalat" w:hAnsi="GHEA Grapalat"/>
              </w:rPr>
            </w:pPr>
            <w:r w:rsidRPr="00B025BA">
              <w:rPr>
                <w:rFonts w:ascii="GHEA Grapalat" w:hAnsi="GHEA Grapalat" w:cs="Sylfaen"/>
                <w:bCs/>
              </w:rPr>
              <w:t>Ն</w:t>
            </w:r>
            <w:r w:rsidRPr="00B025BA">
              <w:rPr>
                <w:rFonts w:ascii="GHEA Grapalat" w:hAnsi="GHEA Grapalat" w:cs="Sylfaen"/>
                <w:bCs/>
                <w:lang w:val="hy-AM"/>
              </w:rPr>
              <w:t>երկայացված նախագ</w:t>
            </w:r>
            <w:r w:rsidRPr="00B025BA">
              <w:rPr>
                <w:rFonts w:ascii="GHEA Grapalat" w:hAnsi="GHEA Grapalat" w:cs="Sylfaen"/>
                <w:bCs/>
              </w:rPr>
              <w:t xml:space="preserve">իծը չի բխում ծախսերի բյուջետավորման տրամաբանությունից, որովհետև ծախսային միջոցառումների բնույթը և բովանդակությունը հնարավորություն չի տալիս հստակեցնել պետական միջոցներ ստացող շահառուների քանակը և ըստ այդմ նախատեսել հատկացվող միջոցների չափ: Այս իմաստով կարծում ենք, որ նպատակահարմար է սոցիալական տվյալ ծախսային միջոցառումներով կարիքների առաջացման պարագայում՝ ՀՀ կառավարության պահուստային ֆոնդից միջոցներ հատկացնել Նախարարությանը, </w:t>
            </w:r>
            <w:r w:rsidRPr="00B025BA">
              <w:rPr>
                <w:rFonts w:ascii="GHEA Grapalat" w:hAnsi="GHEA Grapalat" w:cs="Sylfaen"/>
                <w:bCs/>
              </w:rPr>
              <w:lastRenderedPageBreak/>
              <w:t xml:space="preserve">որպես բյուջետային հատկացումների գլխավոր կարգադրիչ, իսկ Նախարարության միասնական սոցիալական ծառայությանը ճանաչել միջոցառումների կատարող՝ ԲՍԿ: Տվյալ դեպքում առաջարկում ենք </w:t>
            </w:r>
            <w:r w:rsidRPr="00B025BA">
              <w:rPr>
                <w:rFonts w:ascii="GHEA Grapalat" w:hAnsi="GHEA Grapalat"/>
                <w:lang w:val="hy-AM"/>
              </w:rPr>
              <w:t>«</w:t>
            </w:r>
            <w:r w:rsidRPr="00B025BA">
              <w:rPr>
                <w:rFonts w:ascii="GHEA Grapalat" w:hAnsi="GHEA Grapalat" w:cs="Sylfaen"/>
                <w:bCs/>
              </w:rPr>
              <w:t>Հայաստանի Հանրապետության 2022 թվականի պետական բյուջեի կատարումն ապահովող միջոցառումների մասին</w:t>
            </w:r>
            <w:r w:rsidRPr="00B025BA">
              <w:rPr>
                <w:rFonts w:ascii="GHEA Grapalat" w:hAnsi="GHEA Grapalat"/>
                <w:lang w:val="hy-AM"/>
              </w:rPr>
              <w:t>»</w:t>
            </w:r>
            <w:r w:rsidRPr="00B025BA">
              <w:rPr>
                <w:rFonts w:ascii="GHEA Grapalat" w:hAnsi="GHEA Grapalat"/>
              </w:rPr>
              <w:t xml:space="preserve"> ՀՀ կառավարության որոշման 21-րդ կետը</w:t>
            </w:r>
            <w:r w:rsidRPr="00B025BA">
              <w:rPr>
                <w:rFonts w:ascii="GHEA Grapalat" w:hAnsi="GHEA Grapalat" w:cs="Sylfaen"/>
                <w:bCs/>
              </w:rPr>
              <w:t xml:space="preserve"> վերաձևակերպել հետևյալ կերպ.</w:t>
            </w:r>
          </w:p>
          <w:p w:rsidR="00A565CE" w:rsidRPr="006F49E1" w:rsidRDefault="00A565CE" w:rsidP="00A565CE">
            <w:pPr>
              <w:spacing w:line="360" w:lineRule="auto"/>
              <w:ind w:left="150" w:right="255" w:firstLine="417"/>
              <w:jc w:val="both"/>
              <w:rPr>
                <w:rFonts w:ascii="GHEA Grapalat" w:hAnsi="GHEA Grapalat"/>
                <w:lang w:val="hy-AM"/>
              </w:rPr>
            </w:pPr>
            <w:r w:rsidRPr="00B025BA">
              <w:rPr>
                <w:rFonts w:ascii="GHEA Grapalat" w:hAnsi="GHEA Grapalat"/>
                <w:lang w:val="hy-AM"/>
              </w:rPr>
              <w:t>«</w:t>
            </w:r>
            <w:r w:rsidRPr="00B025BA">
              <w:rPr>
                <w:rFonts w:ascii="GHEA Grapalat" w:hAnsi="GHEA Grapalat" w:cs="Sylfaen"/>
                <w:bCs/>
                <w:iCs/>
                <w:lang w:val="hy-AM"/>
              </w:rPr>
              <w:t>Սահմանել, որ Հ</w:t>
            </w:r>
            <w:r w:rsidRPr="00B025BA">
              <w:rPr>
                <w:rFonts w:ascii="GHEA Grapalat" w:hAnsi="GHEA Grapalat" w:cs="Sylfaen"/>
                <w:bCs/>
                <w:iCs/>
              </w:rPr>
              <w:t xml:space="preserve">այաստանի </w:t>
            </w:r>
            <w:r w:rsidRPr="00B025BA">
              <w:rPr>
                <w:rFonts w:ascii="GHEA Grapalat" w:hAnsi="GHEA Grapalat" w:cs="Sylfaen"/>
                <w:bCs/>
                <w:iCs/>
                <w:lang w:val="hy-AM"/>
              </w:rPr>
              <w:t>Հ</w:t>
            </w:r>
            <w:r w:rsidRPr="00B025BA">
              <w:rPr>
                <w:rFonts w:ascii="GHEA Grapalat" w:hAnsi="GHEA Grapalat" w:cs="Sylfaen"/>
                <w:bCs/>
                <w:iCs/>
              </w:rPr>
              <w:t>անրապետության</w:t>
            </w:r>
            <w:r w:rsidRPr="00B025BA">
              <w:rPr>
                <w:rFonts w:ascii="GHEA Grapalat" w:hAnsi="GHEA Grapalat" w:cs="Sylfaen"/>
                <w:bCs/>
                <w:iCs/>
                <w:lang w:val="af-ZA"/>
              </w:rPr>
              <w:t xml:space="preserve"> </w:t>
            </w:r>
            <w:r w:rsidRPr="00B025BA">
              <w:rPr>
                <w:rFonts w:ascii="GHEA Grapalat" w:hAnsi="GHEA Grapalat" w:cs="Sylfaen"/>
                <w:bCs/>
                <w:iCs/>
                <w:lang w:val="hy-AM"/>
              </w:rPr>
              <w:t>կառավարության</w:t>
            </w:r>
            <w:r w:rsidRPr="00B025BA">
              <w:rPr>
                <w:rFonts w:ascii="GHEA Grapalat" w:hAnsi="GHEA Grapalat" w:cs="Sylfaen"/>
                <w:bCs/>
                <w:iCs/>
                <w:lang w:val="af-ZA"/>
              </w:rPr>
              <w:t xml:space="preserve"> 2018 </w:t>
            </w:r>
            <w:r w:rsidRPr="00B025BA">
              <w:rPr>
                <w:rFonts w:ascii="GHEA Grapalat" w:hAnsi="GHEA Grapalat" w:cs="Sylfaen"/>
                <w:bCs/>
                <w:iCs/>
                <w:lang w:val="hy-AM"/>
              </w:rPr>
              <w:t>թվականի</w:t>
            </w:r>
            <w:r w:rsidRPr="00B025BA">
              <w:rPr>
                <w:rFonts w:ascii="GHEA Grapalat" w:hAnsi="GHEA Grapalat" w:cs="Sylfaen"/>
                <w:bCs/>
                <w:iCs/>
                <w:lang w:val="af-ZA"/>
              </w:rPr>
              <w:t xml:space="preserve"> </w:t>
            </w:r>
            <w:r w:rsidRPr="00B025BA">
              <w:rPr>
                <w:rFonts w:ascii="GHEA Grapalat" w:hAnsi="GHEA Grapalat" w:cs="Sylfaen"/>
                <w:bCs/>
                <w:iCs/>
                <w:lang w:val="hy-AM"/>
              </w:rPr>
              <w:t>օգոստոսի</w:t>
            </w:r>
            <w:r w:rsidRPr="00B025BA">
              <w:rPr>
                <w:rFonts w:ascii="GHEA Grapalat" w:hAnsi="GHEA Grapalat" w:cs="Sylfaen"/>
                <w:bCs/>
                <w:iCs/>
                <w:lang w:val="af-ZA"/>
              </w:rPr>
              <w:t xml:space="preserve"> 9-</w:t>
            </w:r>
            <w:r w:rsidRPr="00B025BA">
              <w:rPr>
                <w:rFonts w:ascii="GHEA Grapalat" w:hAnsi="GHEA Grapalat" w:cs="Sylfaen"/>
                <w:bCs/>
                <w:iCs/>
                <w:lang w:val="hy-AM"/>
              </w:rPr>
              <w:t xml:space="preserve">ի </w:t>
            </w:r>
            <w:r w:rsidRPr="00B025BA">
              <w:rPr>
                <w:rFonts w:ascii="GHEA Grapalat" w:hAnsi="GHEA Grapalat" w:cs="Sylfaen"/>
                <w:bCs/>
                <w:iCs/>
                <w:lang w:val="af-ZA"/>
              </w:rPr>
              <w:t>N 916-</w:t>
            </w:r>
            <w:r w:rsidRPr="00B025BA">
              <w:rPr>
                <w:rFonts w:ascii="GHEA Grapalat" w:hAnsi="GHEA Grapalat" w:cs="Sylfaen"/>
                <w:bCs/>
                <w:iCs/>
                <w:lang w:val="hy-AM"/>
              </w:rPr>
              <w:t>Ն</w:t>
            </w:r>
            <w:r w:rsidRPr="00B025BA">
              <w:rPr>
                <w:rFonts w:ascii="GHEA Grapalat" w:hAnsi="GHEA Grapalat" w:cs="Sylfaen"/>
                <w:bCs/>
                <w:iCs/>
                <w:lang w:val="af-ZA"/>
              </w:rPr>
              <w:t xml:space="preserve"> </w:t>
            </w:r>
            <w:r w:rsidRPr="00B025BA">
              <w:rPr>
                <w:rFonts w:ascii="GHEA Grapalat" w:hAnsi="GHEA Grapalat" w:cs="Sylfaen"/>
                <w:bCs/>
                <w:iCs/>
                <w:lang w:val="hy-AM"/>
              </w:rPr>
              <w:t>որոշմա</w:t>
            </w:r>
            <w:r w:rsidRPr="00B025BA">
              <w:rPr>
                <w:rFonts w:ascii="GHEA Grapalat" w:hAnsi="GHEA Grapalat" w:cs="Sylfaen"/>
                <w:bCs/>
                <w:iCs/>
              </w:rPr>
              <w:t>ն</w:t>
            </w:r>
            <w:r w:rsidRPr="00B025BA">
              <w:rPr>
                <w:rFonts w:ascii="GHEA Grapalat" w:hAnsi="GHEA Grapalat" w:cs="Sylfaen"/>
                <w:bCs/>
                <w:iCs/>
                <w:lang w:val="hy-AM"/>
              </w:rPr>
              <w:t xml:space="preserve"> </w:t>
            </w:r>
            <w:r w:rsidRPr="00B025BA">
              <w:rPr>
                <w:rFonts w:ascii="GHEA Grapalat" w:hAnsi="GHEA Grapalat" w:cs="Sylfaen"/>
                <w:bCs/>
                <w:iCs/>
              </w:rPr>
              <w:t xml:space="preserve">պահանջներից բխող </w:t>
            </w:r>
            <w:r w:rsidRPr="00B025BA">
              <w:rPr>
                <w:rFonts w:ascii="GHEA Grapalat" w:hAnsi="GHEA Grapalat" w:cs="Sylfaen"/>
                <w:bCs/>
                <w:iCs/>
                <w:lang w:val="hy-AM"/>
              </w:rPr>
              <w:t xml:space="preserve">հատկացումները ֆինանսավորվում են Հայաստանի Հանրապետության 2022 թվականի պետական բյուջեի Հայաստանի Հանրապետության կառավարության 2022 թվականի պահուստային ֆոնդից, </w:t>
            </w:r>
            <w:r w:rsidRPr="00B025BA">
              <w:rPr>
                <w:rFonts w:ascii="GHEA Grapalat" w:hAnsi="GHEA Grapalat" w:cs="Sylfaen"/>
                <w:bCs/>
                <w:iCs/>
              </w:rPr>
              <w:t xml:space="preserve">այդ հատկացումների գլխավոր կարգադրիչ հանդիսացող </w:t>
            </w:r>
            <w:r w:rsidRPr="00B025BA">
              <w:rPr>
                <w:rFonts w:ascii="GHEA Grapalat" w:hAnsi="GHEA Grapalat" w:cs="Sylfaen"/>
                <w:bCs/>
                <w:iCs/>
                <w:lang w:val="hy-AM"/>
              </w:rPr>
              <w:t xml:space="preserve">Հայաստանի Հանրապետության </w:t>
            </w:r>
            <w:r w:rsidRPr="00B025BA">
              <w:rPr>
                <w:rFonts w:ascii="GHEA Grapalat" w:hAnsi="GHEA Grapalat" w:cs="Sylfaen"/>
                <w:bCs/>
                <w:iCs/>
              </w:rPr>
              <w:t>աշխատանքի և սոցիալական հարցերի նախարարության</w:t>
            </w:r>
            <w:r w:rsidRPr="00B025BA">
              <w:rPr>
                <w:rFonts w:ascii="GHEA Grapalat" w:hAnsi="GHEA Grapalat" w:cs="Sylfaen"/>
                <w:bCs/>
                <w:iCs/>
                <w:lang w:val="hy-AM"/>
              </w:rPr>
              <w:t xml:space="preserve"> կողմից Հայաստանի Հանրապետության ֆինանսների նախարարությանը հասցեագրված գրության հիման վրա</w:t>
            </w:r>
            <w:r w:rsidRPr="00B025BA">
              <w:rPr>
                <w:rFonts w:ascii="GHEA Grapalat" w:hAnsi="GHEA Grapalat" w:cs="Sylfaen"/>
                <w:bCs/>
                <w:iCs/>
              </w:rPr>
              <w:t xml:space="preserve">: Սույն կետում նշված միջոցառումների կատարող պետական մարմին է համարվում </w:t>
            </w:r>
            <w:r w:rsidRPr="00B025BA">
              <w:rPr>
                <w:rFonts w:ascii="GHEA Grapalat" w:hAnsi="GHEA Grapalat" w:cs="Sylfaen"/>
                <w:bCs/>
                <w:iCs/>
                <w:lang w:val="hy-AM"/>
              </w:rPr>
              <w:t xml:space="preserve">Հայաստանի Հանրապետության </w:t>
            </w:r>
            <w:r w:rsidRPr="00B025BA">
              <w:rPr>
                <w:rFonts w:ascii="GHEA Grapalat" w:hAnsi="GHEA Grapalat" w:cs="Sylfaen"/>
                <w:bCs/>
                <w:iCs/>
              </w:rPr>
              <w:t xml:space="preserve">աշխատանքի և սոցիալական հարցերի նախարարության միասնական </w:t>
            </w:r>
            <w:r w:rsidRPr="00B025BA">
              <w:rPr>
                <w:rFonts w:ascii="GHEA Grapalat" w:hAnsi="GHEA Grapalat" w:cs="Sylfaen"/>
                <w:bCs/>
                <w:iCs/>
              </w:rPr>
              <w:lastRenderedPageBreak/>
              <w:t>սոցիալական ծառայությունը: Կ</w:t>
            </w:r>
            <w:r w:rsidRPr="00B025BA">
              <w:rPr>
                <w:rFonts w:ascii="GHEA Grapalat" w:hAnsi="GHEA Grapalat" w:cs="Sylfaen"/>
                <w:bCs/>
                <w:iCs/>
                <w:lang w:val="hy-AM"/>
              </w:rPr>
              <w:t xml:space="preserve">ատարված գործառնությունները հաշվառվում են Հայաստանի Հանրապետության 2022 թվականի պետական բյուջեով </w:t>
            </w:r>
            <w:r w:rsidRPr="00B025BA">
              <w:rPr>
                <w:rFonts w:ascii="GHEA Grapalat" w:hAnsi="GHEA Grapalat" w:cs="Sylfaen"/>
                <w:bCs/>
                <w:iCs/>
                <w:lang w:val="af-ZA"/>
              </w:rPr>
              <w:t>«</w:t>
            </w:r>
            <w:r w:rsidRPr="00B025BA">
              <w:rPr>
                <w:rFonts w:ascii="GHEA Grapalat" w:hAnsi="GHEA Grapalat" w:cs="Sylfaen"/>
                <w:bCs/>
                <w:iCs/>
                <w:lang w:val="hy-AM"/>
              </w:rPr>
              <w:t>1205. Սոցիալական</w:t>
            </w:r>
            <w:r w:rsidRPr="00B025BA">
              <w:rPr>
                <w:rFonts w:ascii="GHEA Grapalat" w:hAnsi="GHEA Grapalat" w:cs="Sylfaen"/>
                <w:bCs/>
                <w:iCs/>
                <w:lang w:val="af-ZA"/>
              </w:rPr>
              <w:t xml:space="preserve"> </w:t>
            </w:r>
            <w:r w:rsidRPr="00B025BA">
              <w:rPr>
                <w:rFonts w:ascii="GHEA Grapalat" w:hAnsi="GHEA Grapalat" w:cs="Sylfaen"/>
                <w:bCs/>
                <w:iCs/>
                <w:lang w:val="hy-AM"/>
              </w:rPr>
              <w:t>ապահովություն</w:t>
            </w:r>
            <w:r w:rsidRPr="00B025BA">
              <w:rPr>
                <w:rFonts w:ascii="GHEA Grapalat" w:hAnsi="GHEA Grapalat" w:cs="Sylfaen"/>
                <w:bCs/>
                <w:iCs/>
                <w:lang w:val="af-ZA"/>
              </w:rPr>
              <w:t xml:space="preserve">» </w:t>
            </w:r>
            <w:r w:rsidRPr="00B025BA">
              <w:rPr>
                <w:rFonts w:ascii="GHEA Grapalat" w:hAnsi="GHEA Grapalat" w:cs="Sylfaen"/>
                <w:bCs/>
                <w:iCs/>
                <w:lang w:val="hy-AM"/>
              </w:rPr>
              <w:t>ծրագրով</w:t>
            </w:r>
            <w:r w:rsidRPr="00B025BA">
              <w:rPr>
                <w:rFonts w:ascii="GHEA Grapalat" w:hAnsi="GHEA Grapalat" w:cs="Sylfaen"/>
                <w:bCs/>
                <w:iCs/>
                <w:lang w:val="af-ZA"/>
              </w:rPr>
              <w:t xml:space="preserve"> </w:t>
            </w:r>
            <w:r w:rsidRPr="00B025BA">
              <w:rPr>
                <w:rFonts w:ascii="GHEA Grapalat" w:hAnsi="GHEA Grapalat" w:cs="Sylfaen"/>
                <w:bCs/>
                <w:iCs/>
                <w:lang w:val="hy-AM"/>
              </w:rPr>
              <w:t>նախատեսված</w:t>
            </w:r>
            <w:r w:rsidRPr="00B025BA">
              <w:rPr>
                <w:rFonts w:ascii="GHEA Grapalat" w:hAnsi="GHEA Grapalat" w:cs="Sylfaen"/>
                <w:bCs/>
                <w:iCs/>
                <w:lang w:val="af-ZA"/>
              </w:rPr>
              <w:t xml:space="preserve"> «</w:t>
            </w:r>
            <w:r w:rsidRPr="00B025BA">
              <w:rPr>
                <w:rFonts w:ascii="GHEA Grapalat" w:hAnsi="GHEA Grapalat" w:cs="Sylfaen"/>
                <w:bCs/>
                <w:iCs/>
                <w:lang w:val="hy-AM"/>
              </w:rPr>
              <w:t>12004. Աջակցություն</w:t>
            </w:r>
            <w:r w:rsidRPr="00B025BA">
              <w:rPr>
                <w:rFonts w:ascii="GHEA Grapalat" w:hAnsi="GHEA Grapalat" w:cs="Sylfaen"/>
                <w:bCs/>
                <w:iCs/>
                <w:lang w:val="af-ZA"/>
              </w:rPr>
              <w:t xml:space="preserve"> </w:t>
            </w:r>
            <w:r w:rsidRPr="00B025BA">
              <w:rPr>
                <w:rFonts w:ascii="GHEA Grapalat" w:hAnsi="GHEA Grapalat" w:cs="Sylfaen"/>
                <w:bCs/>
                <w:iCs/>
                <w:lang w:val="hy-AM"/>
              </w:rPr>
              <w:t>հաշմանդամ</w:t>
            </w:r>
            <w:r w:rsidRPr="00B025BA">
              <w:rPr>
                <w:rFonts w:ascii="GHEA Grapalat" w:hAnsi="GHEA Grapalat" w:cs="Sylfaen"/>
                <w:bCs/>
                <w:iCs/>
                <w:lang w:val="af-ZA"/>
              </w:rPr>
              <w:t xml:space="preserve"> </w:t>
            </w:r>
            <w:r w:rsidRPr="00B025BA">
              <w:rPr>
                <w:rFonts w:ascii="GHEA Grapalat" w:hAnsi="GHEA Grapalat" w:cs="Sylfaen"/>
                <w:bCs/>
                <w:iCs/>
                <w:lang w:val="hy-AM"/>
              </w:rPr>
              <w:t>դարձած</w:t>
            </w:r>
            <w:r w:rsidRPr="00B025BA">
              <w:rPr>
                <w:rFonts w:ascii="GHEA Grapalat" w:hAnsi="GHEA Grapalat" w:cs="Sylfaen"/>
                <w:bCs/>
                <w:iCs/>
                <w:lang w:val="af-ZA"/>
              </w:rPr>
              <w:t xml:space="preserve"> </w:t>
            </w:r>
            <w:r w:rsidRPr="00B025BA">
              <w:rPr>
                <w:rFonts w:ascii="GHEA Grapalat" w:hAnsi="GHEA Grapalat" w:cs="Sylfaen"/>
                <w:bCs/>
                <w:iCs/>
                <w:lang w:val="hy-AM"/>
              </w:rPr>
              <w:t>զինծառայողներին</w:t>
            </w:r>
            <w:r w:rsidRPr="00B025BA">
              <w:rPr>
                <w:rFonts w:ascii="GHEA Grapalat" w:hAnsi="GHEA Grapalat" w:cs="Sylfaen"/>
                <w:bCs/>
                <w:iCs/>
                <w:lang w:val="af-ZA"/>
              </w:rPr>
              <w:t xml:space="preserve"> </w:t>
            </w:r>
            <w:r w:rsidRPr="00B025BA">
              <w:rPr>
                <w:rFonts w:ascii="GHEA Grapalat" w:hAnsi="GHEA Grapalat" w:cs="Sylfaen"/>
                <w:bCs/>
                <w:iCs/>
                <w:lang w:val="hy-AM"/>
              </w:rPr>
              <w:t>և</w:t>
            </w:r>
            <w:r w:rsidRPr="00B025BA">
              <w:rPr>
                <w:rFonts w:ascii="GHEA Grapalat" w:hAnsi="GHEA Grapalat" w:cs="Sylfaen"/>
                <w:bCs/>
                <w:iCs/>
                <w:lang w:val="af-ZA"/>
              </w:rPr>
              <w:t xml:space="preserve"> </w:t>
            </w:r>
            <w:r w:rsidRPr="00B025BA">
              <w:rPr>
                <w:rFonts w:ascii="GHEA Grapalat" w:hAnsi="GHEA Grapalat" w:cs="Sylfaen"/>
                <w:bCs/>
                <w:iCs/>
                <w:lang w:val="hy-AM"/>
              </w:rPr>
              <w:t>զոհվածների</w:t>
            </w:r>
            <w:r w:rsidRPr="00B025BA">
              <w:rPr>
                <w:rFonts w:ascii="GHEA Grapalat" w:hAnsi="GHEA Grapalat" w:cs="Sylfaen"/>
                <w:bCs/>
                <w:iCs/>
                <w:lang w:val="af-ZA"/>
              </w:rPr>
              <w:t xml:space="preserve"> </w:t>
            </w:r>
            <w:r w:rsidRPr="00B025BA">
              <w:rPr>
                <w:rFonts w:ascii="GHEA Grapalat" w:hAnsi="GHEA Grapalat" w:cs="Sylfaen"/>
                <w:bCs/>
                <w:iCs/>
                <w:lang w:val="hy-AM"/>
              </w:rPr>
              <w:t>ընտանիքներին</w:t>
            </w:r>
            <w:r w:rsidRPr="00B025BA">
              <w:rPr>
                <w:rFonts w:ascii="GHEA Grapalat" w:hAnsi="GHEA Grapalat" w:cs="Sylfaen"/>
                <w:bCs/>
                <w:iCs/>
                <w:lang w:val="af-ZA"/>
              </w:rPr>
              <w:t xml:space="preserve">» </w:t>
            </w:r>
            <w:r w:rsidRPr="00B025BA">
              <w:rPr>
                <w:rFonts w:ascii="GHEA Grapalat" w:hAnsi="GHEA Grapalat" w:cs="Sylfaen"/>
                <w:bCs/>
                <w:iCs/>
                <w:lang w:val="hy-AM"/>
              </w:rPr>
              <w:t xml:space="preserve">և </w:t>
            </w:r>
            <w:r w:rsidRPr="00B025BA">
              <w:rPr>
                <w:rFonts w:ascii="GHEA Grapalat" w:hAnsi="GHEA Grapalat" w:cs="Sylfaen"/>
                <w:bCs/>
                <w:iCs/>
                <w:lang w:val="af-ZA"/>
              </w:rPr>
              <w:t>«</w:t>
            </w:r>
            <w:r w:rsidRPr="00B025BA">
              <w:rPr>
                <w:rFonts w:ascii="GHEA Grapalat" w:hAnsi="GHEA Grapalat" w:cs="Sylfaen"/>
                <w:bCs/>
                <w:iCs/>
                <w:lang w:val="hy-AM"/>
              </w:rPr>
              <w:t>12005. Աջակցություն զոհվածների ընտանիքներին</w:t>
            </w:r>
            <w:r w:rsidRPr="00B025BA">
              <w:rPr>
                <w:rFonts w:ascii="GHEA Grapalat" w:hAnsi="GHEA Grapalat" w:cs="Sylfaen"/>
                <w:bCs/>
                <w:iCs/>
                <w:lang w:val="af-ZA"/>
              </w:rPr>
              <w:t xml:space="preserve">» </w:t>
            </w:r>
            <w:r w:rsidRPr="00B025BA">
              <w:rPr>
                <w:rFonts w:ascii="GHEA Grapalat" w:hAnsi="GHEA Grapalat" w:cs="Sylfaen"/>
                <w:bCs/>
                <w:iCs/>
                <w:lang w:val="hy-AM"/>
              </w:rPr>
              <w:t xml:space="preserve"> միջոցառումնե</w:t>
            </w:r>
            <w:r w:rsidRPr="006F49E1">
              <w:rPr>
                <w:rFonts w:ascii="GHEA Grapalat" w:hAnsi="GHEA Grapalat" w:cs="Sylfaen"/>
                <w:bCs/>
                <w:iCs/>
                <w:lang w:val="hy-AM"/>
              </w:rPr>
              <w:t>րով</w:t>
            </w:r>
            <w:r w:rsidRPr="00B025BA">
              <w:rPr>
                <w:rFonts w:ascii="GHEA Grapalat" w:hAnsi="GHEA Grapalat" w:cs="Sylfaen"/>
                <w:bCs/>
                <w:iCs/>
                <w:lang w:val="hy-AM"/>
              </w:rPr>
              <w:t xml:space="preserve"> և սահմանված կարգով արտացոլվում են Հայաստանի Հանրապետության 2022 թվականի պետական բյուջեի կատարման հաշվետվություններում:</w:t>
            </w:r>
            <w:r w:rsidRPr="00B025BA">
              <w:rPr>
                <w:rFonts w:ascii="GHEA Grapalat" w:hAnsi="GHEA Grapalat"/>
                <w:lang w:val="hy-AM"/>
              </w:rPr>
              <w:t>»</w:t>
            </w:r>
          </w:p>
          <w:p w:rsidR="008B4B0C" w:rsidRPr="00AD0D95" w:rsidRDefault="00A565CE" w:rsidP="00AD0D95">
            <w:pPr>
              <w:spacing w:line="360" w:lineRule="auto"/>
              <w:ind w:left="150" w:right="255" w:firstLine="417"/>
              <w:jc w:val="both"/>
              <w:rPr>
                <w:rFonts w:ascii="GHEA Grapalat" w:hAnsi="GHEA Grapalat" w:cs="Sylfaen"/>
                <w:bCs/>
                <w:lang w:val="hy-AM"/>
              </w:rPr>
            </w:pPr>
            <w:r w:rsidRPr="006F49E1">
              <w:rPr>
                <w:rFonts w:ascii="GHEA Grapalat" w:hAnsi="GHEA Grapalat" w:cs="Sylfaen"/>
                <w:bCs/>
                <w:lang w:val="hy-AM"/>
              </w:rPr>
              <w:t xml:space="preserve">Միաժամանակ, հաշվի առնելով, որ նշված միջոցառումների ֆինանսավորումը տվյալ պահին բավականաչափ հրատապություն է պահանջում, ուստի այդ միջոցառումների զգայուն սոցիալական բնույթից և տարեսկզբից ֆինանսավորման բացակայության հանգամանքից ելնելով, կարծում ենք, որ հնարավոր է միայն առաջին եռամսյակի համար անհարաժեշտ ֆինասական միջոցները վերագնահատել և հատկացնել Նախարարությանը, որպես ժամանանակավոր արագ կարգավորման տարբերակ, իսկ 1205 ծրագրի 12004 և 12005 միջոցառումների գծով նախատեսված 970,000.0 հազար դրամի և առաջին եռամսյակի համար անհարաժեշտ ֆինասական միջոցների տարբերությունը ուղղել ՀՀ կառավարության պահուստային </w:t>
            </w:r>
            <w:r w:rsidRPr="006F49E1">
              <w:rPr>
                <w:rFonts w:ascii="GHEA Grapalat" w:hAnsi="GHEA Grapalat" w:cs="Sylfaen"/>
                <w:bCs/>
                <w:lang w:val="hy-AM"/>
              </w:rPr>
              <w:lastRenderedPageBreak/>
              <w:t>ֆոնդ, որից հետո՝ ս.թ. երկրորդ եռամսյակից սկսած, կիրառել վերը նշված դրույթը:</w:t>
            </w:r>
          </w:p>
        </w:tc>
        <w:tc>
          <w:tcPr>
            <w:tcW w:w="5310" w:type="dxa"/>
            <w:tcBorders>
              <w:top w:val="outset" w:sz="6" w:space="0" w:color="auto"/>
              <w:left w:val="outset" w:sz="6" w:space="0" w:color="auto"/>
              <w:bottom w:val="outset" w:sz="6" w:space="0" w:color="auto"/>
              <w:right w:val="outset" w:sz="6" w:space="0" w:color="auto"/>
            </w:tcBorders>
            <w:shd w:val="clear" w:color="auto" w:fill="auto"/>
            <w:hideMark/>
          </w:tcPr>
          <w:p w:rsidR="00CE199F" w:rsidRDefault="00CE199F" w:rsidP="00CE199F">
            <w:pPr>
              <w:spacing w:line="360" w:lineRule="auto"/>
              <w:ind w:right="73"/>
              <w:jc w:val="both"/>
              <w:rPr>
                <w:rFonts w:ascii="GHEA Grapalat" w:eastAsia="Calibri" w:hAnsi="GHEA Grapalat"/>
                <w:lang w:val="hy-AM"/>
              </w:rPr>
            </w:pPr>
            <w:r w:rsidRPr="00B64DE6">
              <w:rPr>
                <w:rFonts w:ascii="GHEA Grapalat" w:eastAsia="Calibri" w:hAnsi="GHEA Grapalat"/>
                <w:lang w:val="hy-AM"/>
              </w:rPr>
              <w:lastRenderedPageBreak/>
              <w:t xml:space="preserve">Չի ընդունվել։ </w:t>
            </w:r>
          </w:p>
          <w:p w:rsidR="00CE199F" w:rsidRPr="006C5D7C" w:rsidRDefault="00CE199F" w:rsidP="00CE199F">
            <w:pPr>
              <w:spacing w:line="360" w:lineRule="auto"/>
              <w:ind w:left="60" w:right="73" w:firstLine="180"/>
              <w:jc w:val="both"/>
              <w:rPr>
                <w:rFonts w:ascii="GHEA Grapalat" w:hAnsi="GHEA Grapalat" w:cs="Sylfaen"/>
                <w:bCs/>
                <w:lang w:val="hy-AM"/>
              </w:rPr>
            </w:pPr>
            <w:r w:rsidRPr="006C5D7C">
              <w:rPr>
                <w:rFonts w:ascii="GHEA Grapalat" w:hAnsi="GHEA Grapalat"/>
                <w:color w:val="000000"/>
                <w:shd w:val="clear" w:color="auto" w:fill="FFFFFF"/>
                <w:lang w:val="hy-AM"/>
              </w:rPr>
              <w:t xml:space="preserve">Նախագիծը չընդունելու՝ </w:t>
            </w:r>
            <w:r>
              <w:rPr>
                <w:rFonts w:ascii="GHEA Grapalat" w:hAnsi="GHEA Grapalat"/>
                <w:color w:val="000000"/>
                <w:shd w:val="clear" w:color="auto" w:fill="FFFFFF"/>
                <w:lang w:val="hy-AM"/>
              </w:rPr>
              <w:t>Ֆինանսների նախարարությա</w:t>
            </w:r>
            <w:r w:rsidRPr="00B6751A">
              <w:rPr>
                <w:rFonts w:ascii="GHEA Grapalat" w:hAnsi="GHEA Grapalat"/>
                <w:color w:val="000000"/>
                <w:shd w:val="clear" w:color="auto" w:fill="FFFFFF"/>
                <w:lang w:val="hy-AM"/>
              </w:rPr>
              <w:t>ն</w:t>
            </w:r>
            <w:r>
              <w:rPr>
                <w:rFonts w:ascii="GHEA Grapalat" w:eastAsia="Calibri" w:hAnsi="GHEA Grapalat"/>
                <w:lang w:val="hy-AM"/>
              </w:rPr>
              <w:t xml:space="preserve"> հիմնավոր</w:t>
            </w:r>
            <w:r w:rsidRPr="006C5D7C">
              <w:rPr>
                <w:rFonts w:ascii="GHEA Grapalat" w:eastAsia="Calibri" w:hAnsi="GHEA Grapalat"/>
                <w:lang w:val="hy-AM"/>
              </w:rPr>
              <w:t xml:space="preserve">ումը, այն է՝ </w:t>
            </w:r>
            <w:r w:rsidRPr="006C5D7C">
              <w:rPr>
                <w:rFonts w:ascii="GHEA Grapalat" w:hAnsi="GHEA Grapalat" w:cs="Sylfaen"/>
                <w:bCs/>
                <w:lang w:val="hy-AM"/>
              </w:rPr>
              <w:t>ծախսային միջոցառումների բնույթը և բովանդակությունը հնարավորություն չի տալիս հստակեցնել պետական միջոցներ ստացող շահառուների քանակը, հիմք չէ նշված ծախսերի ֆինանսավորումն ընդհանուր ընթացակարգից տարբեր այլ մեխանիզմով իրականանցնելու համար:</w:t>
            </w:r>
          </w:p>
          <w:p w:rsidR="00CE199F" w:rsidRPr="006C5D7C" w:rsidRDefault="00CE199F" w:rsidP="00CE199F">
            <w:pPr>
              <w:spacing w:line="360" w:lineRule="auto"/>
              <w:ind w:left="60" w:right="73" w:firstLine="180"/>
              <w:jc w:val="both"/>
              <w:rPr>
                <w:rFonts w:ascii="GHEA Grapalat" w:eastAsia="Calibri" w:hAnsi="GHEA Grapalat"/>
                <w:lang w:val="hy-AM"/>
              </w:rPr>
            </w:pPr>
            <w:r w:rsidRPr="006C5D7C">
              <w:rPr>
                <w:rFonts w:ascii="GHEA Grapalat" w:hAnsi="GHEA Grapalat" w:cs="Sylfaen"/>
                <w:bCs/>
                <w:lang w:val="hy-AM"/>
              </w:rPr>
              <w:t xml:space="preserve">Ընդ որում, ֆինանսավորման՝  </w:t>
            </w:r>
            <w:r>
              <w:rPr>
                <w:rFonts w:ascii="GHEA Grapalat" w:hAnsi="GHEA Grapalat"/>
                <w:color w:val="000000"/>
                <w:shd w:val="clear" w:color="auto" w:fill="FFFFFF"/>
                <w:lang w:val="hy-AM"/>
              </w:rPr>
              <w:t>Ֆինանսների նախարարությա</w:t>
            </w:r>
            <w:r w:rsidRPr="00B6751A">
              <w:rPr>
                <w:rFonts w:ascii="GHEA Grapalat" w:hAnsi="GHEA Grapalat"/>
                <w:color w:val="000000"/>
                <w:shd w:val="clear" w:color="auto" w:fill="FFFFFF"/>
                <w:lang w:val="hy-AM"/>
              </w:rPr>
              <w:t>ն</w:t>
            </w:r>
            <w:r>
              <w:rPr>
                <w:rFonts w:ascii="GHEA Grapalat" w:eastAsia="Calibri" w:hAnsi="GHEA Grapalat"/>
                <w:lang w:val="hy-AM"/>
              </w:rPr>
              <w:t xml:space="preserve"> </w:t>
            </w:r>
            <w:r w:rsidRPr="006C5D7C">
              <w:rPr>
                <w:rFonts w:ascii="GHEA Grapalat" w:eastAsia="Calibri" w:hAnsi="GHEA Grapalat"/>
                <w:lang w:val="hy-AM"/>
              </w:rPr>
              <w:t xml:space="preserve">առաջարկվող տարբերակը միջոցներն ուղղել </w:t>
            </w:r>
            <w:r w:rsidRPr="006C5D7C">
              <w:rPr>
                <w:rFonts w:ascii="GHEA Grapalat" w:hAnsi="GHEA Grapalat" w:cs="Sylfaen"/>
                <w:bCs/>
                <w:lang w:val="hy-AM"/>
              </w:rPr>
              <w:t>ՀՀ կառավարության պահուստային ֆոնդից</w:t>
            </w:r>
            <w:r w:rsidRPr="006C5D7C">
              <w:rPr>
                <w:rFonts w:ascii="GHEA Grapalat" w:eastAsia="Calibri" w:hAnsi="GHEA Grapalat"/>
                <w:lang w:val="hy-AM"/>
              </w:rPr>
              <w:t xml:space="preserve"> և </w:t>
            </w:r>
            <w:r w:rsidRPr="00B025BA">
              <w:rPr>
                <w:rFonts w:ascii="GHEA Grapalat" w:hAnsi="GHEA Grapalat" w:cs="Sylfaen"/>
                <w:bCs/>
                <w:iCs/>
                <w:lang w:val="hy-AM"/>
              </w:rPr>
              <w:t xml:space="preserve">Հայաստանի Հանրապետության </w:t>
            </w:r>
            <w:r w:rsidRPr="006C5D7C">
              <w:rPr>
                <w:rFonts w:ascii="GHEA Grapalat" w:hAnsi="GHEA Grapalat" w:cs="Sylfaen"/>
                <w:bCs/>
                <w:iCs/>
                <w:lang w:val="hy-AM"/>
              </w:rPr>
              <w:t>աշխատանքի և սոցիալական հարցերի նախարարության</w:t>
            </w:r>
            <w:r w:rsidRPr="00B025BA">
              <w:rPr>
                <w:rFonts w:ascii="GHEA Grapalat" w:hAnsi="GHEA Grapalat" w:cs="Sylfaen"/>
                <w:bCs/>
                <w:iCs/>
                <w:lang w:val="hy-AM"/>
              </w:rPr>
              <w:t xml:space="preserve"> կողմից Հայաստանի Հանրապետության ֆինանսների նախարարությանը հասցեագրված գրության հիման վրա</w:t>
            </w:r>
            <w:r w:rsidRPr="006C5D7C">
              <w:rPr>
                <w:rFonts w:ascii="GHEA Grapalat" w:eastAsia="Calibri" w:hAnsi="GHEA Grapalat"/>
                <w:lang w:val="hy-AM"/>
              </w:rPr>
              <w:t> որևէ չի բացատրում, թե ինչպես է այդ տարբերակը լուծում շահառուների թվի անկանխատեսելիության խնդիրը:</w:t>
            </w:r>
          </w:p>
          <w:p w:rsidR="00CE199F" w:rsidRPr="006C5D7C" w:rsidRDefault="00CE199F" w:rsidP="00CE199F">
            <w:pPr>
              <w:spacing w:line="360" w:lineRule="auto"/>
              <w:ind w:left="60" w:right="73" w:firstLine="180"/>
              <w:jc w:val="both"/>
              <w:rPr>
                <w:rFonts w:ascii="GHEA Grapalat" w:eastAsia="Calibri" w:hAnsi="GHEA Grapalat"/>
                <w:lang w:val="hy-AM"/>
              </w:rPr>
            </w:pPr>
            <w:r w:rsidRPr="006C5D7C">
              <w:rPr>
                <w:rFonts w:ascii="GHEA Grapalat" w:eastAsia="Calibri" w:hAnsi="GHEA Grapalat"/>
                <w:lang w:val="hy-AM"/>
              </w:rPr>
              <w:t xml:space="preserve">Անհասկանալի է նաև խնդրո առարկա բյուջետային միջոցները </w:t>
            </w:r>
            <w:r w:rsidRPr="00B025BA">
              <w:rPr>
                <w:rFonts w:ascii="GHEA Grapalat" w:hAnsi="GHEA Grapalat" w:cs="Sylfaen"/>
                <w:bCs/>
                <w:iCs/>
                <w:lang w:val="hy-AM"/>
              </w:rPr>
              <w:t xml:space="preserve">Հայաստանի Հանրապետության </w:t>
            </w:r>
            <w:r w:rsidRPr="006C5D7C">
              <w:rPr>
                <w:rFonts w:ascii="GHEA Grapalat" w:hAnsi="GHEA Grapalat" w:cs="Sylfaen"/>
                <w:bCs/>
                <w:iCs/>
                <w:lang w:val="hy-AM"/>
              </w:rPr>
              <w:t>աշխատանքի և սոցիալական հարցերի նախարարության</w:t>
            </w:r>
            <w:r w:rsidRPr="00B025BA">
              <w:rPr>
                <w:rFonts w:ascii="GHEA Grapalat" w:hAnsi="GHEA Grapalat" w:cs="Sylfaen"/>
                <w:bCs/>
                <w:iCs/>
                <w:lang w:val="hy-AM"/>
              </w:rPr>
              <w:t xml:space="preserve"> </w:t>
            </w:r>
            <w:r w:rsidRPr="00B025BA">
              <w:rPr>
                <w:rFonts w:ascii="GHEA Grapalat" w:hAnsi="GHEA Grapalat" w:cs="Sylfaen"/>
                <w:bCs/>
                <w:iCs/>
                <w:lang w:val="hy-AM"/>
              </w:rPr>
              <w:lastRenderedPageBreak/>
              <w:t>կողմից Հայաստանի Հանրապետության ֆինանսների նախարարությանը հասցեագրված գրության հիման վրա</w:t>
            </w:r>
            <w:r w:rsidRPr="006C5D7C">
              <w:rPr>
                <w:rFonts w:ascii="GHEA Grapalat" w:eastAsia="Calibri" w:hAnsi="GHEA Grapalat"/>
                <w:lang w:val="hy-AM"/>
              </w:rPr>
              <w:t xml:space="preserve"> տնօրինելու մեխանիզմի ներդրման նպատակն ու արդյունավետությունը:</w:t>
            </w:r>
          </w:p>
          <w:p w:rsidR="00CE199F" w:rsidRDefault="00CE199F" w:rsidP="00CE199F">
            <w:pPr>
              <w:spacing w:line="360" w:lineRule="auto"/>
              <w:ind w:left="60" w:right="73" w:firstLine="180"/>
              <w:jc w:val="both"/>
              <w:rPr>
                <w:rFonts w:ascii="GHEA Grapalat" w:eastAsia="Calibri" w:hAnsi="GHEA Grapalat"/>
                <w:lang w:val="hy-AM"/>
              </w:rPr>
            </w:pPr>
            <w:r w:rsidRPr="006C5D7C">
              <w:rPr>
                <w:rFonts w:ascii="GHEA Grapalat" w:eastAsia="Calibri" w:hAnsi="GHEA Grapalat"/>
                <w:lang w:val="hy-AM"/>
              </w:rPr>
              <w:t>ՀՀ</w:t>
            </w:r>
            <w:r w:rsidRPr="00420FCD">
              <w:rPr>
                <w:rFonts w:ascii="GHEA Grapalat" w:eastAsia="Calibri" w:hAnsi="GHEA Grapalat"/>
                <w:lang w:val="hy-AM"/>
              </w:rPr>
              <w:t xml:space="preserve"> 2022 թվականի պետական բյուջեով «1205. Սոցիալական ապահովություն» ծրագրով նախատեսված «12004. Աջակցություն հաշմանդամ դարձած զինծառայողներին և զոհվածների ընտանիքներին» և «12005. Աջակցություն զոհվածների ընտանիքներին»  միջոցառումների ֆինանսավորման</w:t>
            </w:r>
            <w:r>
              <w:rPr>
                <w:rFonts w:ascii="GHEA Grapalat" w:eastAsia="Calibri" w:hAnsi="GHEA Grapalat"/>
                <w:lang w:val="hy-AM"/>
              </w:rPr>
              <w:t>՝</w:t>
            </w:r>
            <w:r w:rsidRPr="006C5D7C">
              <w:rPr>
                <w:rFonts w:ascii="GHEA Grapalat" w:eastAsia="Calibri" w:hAnsi="GHEA Grapalat"/>
                <w:lang w:val="hy-AM"/>
              </w:rPr>
              <w:t xml:space="preserve"> Կ</w:t>
            </w:r>
            <w:r w:rsidRPr="00B64DE6">
              <w:rPr>
                <w:rFonts w:ascii="GHEA Grapalat" w:hAnsi="GHEA Grapalat"/>
                <w:lang w:val="hy-AM"/>
              </w:rPr>
              <w:t>առավարության 2021 թվականի դեկտեմբերի 23-ի N 2121</w:t>
            </w:r>
            <w:r>
              <w:rPr>
                <w:rFonts w:ascii="GHEA Grapalat" w:hAnsi="GHEA Grapalat"/>
                <w:lang w:val="hy-AM"/>
              </w:rPr>
              <w:t xml:space="preserve">-Ն որոշմամբ սահմանված մեխանիզմի առաջացրած խնդիրները և </w:t>
            </w:r>
            <w:r>
              <w:rPr>
                <w:rFonts w:ascii="GHEA Grapalat" w:eastAsia="Calibri" w:hAnsi="GHEA Grapalat"/>
                <w:lang w:val="hy-AM"/>
              </w:rPr>
              <w:t>Նախագծի ընդունման անհրաժեշտությունը ներկայացված է նախագծի հիմնավորման մեջ։</w:t>
            </w:r>
          </w:p>
          <w:p w:rsidR="00CE199F" w:rsidRPr="006C5D7C" w:rsidRDefault="00CE199F" w:rsidP="00CE199F">
            <w:pPr>
              <w:spacing w:line="360" w:lineRule="auto"/>
              <w:ind w:left="60" w:right="73" w:firstLine="180"/>
              <w:jc w:val="both"/>
              <w:rPr>
                <w:rFonts w:ascii="GHEA Grapalat" w:eastAsia="Calibri" w:hAnsi="GHEA Grapalat"/>
                <w:lang w:val="hy-AM"/>
              </w:rPr>
            </w:pPr>
            <w:r w:rsidRPr="006C5D7C">
              <w:rPr>
                <w:rFonts w:ascii="GHEA Grapalat" w:eastAsia="Calibri" w:hAnsi="GHEA Grapalat"/>
                <w:lang w:val="hy-AM"/>
              </w:rPr>
              <w:t xml:space="preserve">Միաժամանակ հարկ է նշել, որ խնդրո առարկա ծախսերը  և դրանց հիմքում շահառուների թիվը ոչ պատերազմական իրավիճակներում հնարավոր է կանխատեսել պատերազմական իրավիճակներում անկանխատեսելի են ոչ միայն այս ծախսերը: </w:t>
            </w:r>
          </w:p>
          <w:p w:rsidR="00CE199F" w:rsidRPr="006C5D7C" w:rsidRDefault="00CE199F" w:rsidP="00CE199F">
            <w:pPr>
              <w:spacing w:line="360" w:lineRule="auto"/>
              <w:ind w:left="60" w:right="73" w:firstLine="180"/>
              <w:jc w:val="both"/>
              <w:rPr>
                <w:rFonts w:ascii="GHEA Grapalat" w:eastAsia="Calibri" w:hAnsi="GHEA Grapalat"/>
                <w:lang w:val="hy-AM"/>
              </w:rPr>
            </w:pPr>
            <w:r w:rsidRPr="006C5D7C">
              <w:rPr>
                <w:rFonts w:ascii="GHEA Grapalat" w:eastAsia="Calibri" w:hAnsi="GHEA Grapalat"/>
                <w:lang w:val="hy-AM"/>
              </w:rPr>
              <w:t xml:space="preserve">Այսպես, «Զինվորական ծառայության և զինծառայողների կարգավիճակի մասին օրենքի 68-րդ հոդվածի և Կառավարության 2018 թվականի օգոստոսի 9-ի N 916-Ն որոշման N1 հավելվածի համաձայն՝  1205 ծրագրի 12005 միջոցառման հիմնական շահառուները հաշմանդամության զինվորական կենսաթոշակի շահառուներն են </w:t>
            </w:r>
            <w:r w:rsidRPr="006C5D7C">
              <w:rPr>
                <w:rFonts w:ascii="GHEA Grapalat" w:eastAsia="Calibri" w:hAnsi="GHEA Grapalat"/>
                <w:lang w:val="hy-AM"/>
              </w:rPr>
              <w:lastRenderedPageBreak/>
              <w:t xml:space="preserve">միանվագ դրամական աջակցությունը նշանակվում և վճարվում է հաշմանդամության զինվորական կենսաթոշակի իրավունք ունեցող նախկին զինծառայողներին, նրանց ում նշանակվում է նաև հաշմանդամության զինվորական կենսաթոշակ: </w:t>
            </w:r>
          </w:p>
          <w:p w:rsidR="00CE199F" w:rsidRPr="006C5D7C" w:rsidRDefault="00CE199F" w:rsidP="00CE199F">
            <w:pPr>
              <w:spacing w:line="360" w:lineRule="auto"/>
              <w:ind w:left="60" w:right="165" w:firstLine="180"/>
              <w:jc w:val="both"/>
              <w:rPr>
                <w:rFonts w:ascii="GHEA Grapalat" w:eastAsia="Calibri" w:hAnsi="GHEA Grapalat"/>
                <w:lang w:val="hy-AM"/>
              </w:rPr>
            </w:pPr>
            <w:r w:rsidRPr="006C5D7C">
              <w:rPr>
                <w:rFonts w:ascii="GHEA Grapalat" w:eastAsia="Calibri" w:hAnsi="GHEA Grapalat"/>
                <w:lang w:val="hy-AM"/>
              </w:rPr>
              <w:t>«Զինվորական ծառայության և զինծառայողների կարգավիճակի մասին օրենքի 69-րդ հոդվածի և Կառավարության 2018 թվականի օգոստոսի 9-ի N 916-Ն որոշման N2 հավելվածի համաձայն՝ 1205 ծրագրի 12004 միջոցառման  շահառուները Զինծառայողների ապահովագրության հիմնադրամի կամ կերակրողին կորցնելու դեպքում զինվորական կենսաթոշակի իրավունք ունեցող անձինք են ում զինծառայողի զոհվելու կապակցությամբ նշանակվում է հատուցման գումար կամ կերակրողին կորցնելու դեպքում զինվորական կենսաթոշակ:</w:t>
            </w:r>
          </w:p>
          <w:p w:rsidR="00CE199F" w:rsidRPr="006C5D7C" w:rsidRDefault="00CE199F" w:rsidP="00CE199F">
            <w:pPr>
              <w:spacing w:line="360" w:lineRule="auto"/>
              <w:ind w:left="60" w:right="165" w:firstLine="180"/>
              <w:jc w:val="both"/>
              <w:rPr>
                <w:rFonts w:ascii="GHEA Grapalat" w:eastAsia="Calibri" w:hAnsi="GHEA Grapalat"/>
                <w:lang w:val="hy-AM"/>
              </w:rPr>
            </w:pPr>
            <w:r w:rsidRPr="006C5D7C">
              <w:rPr>
                <w:rFonts w:ascii="GHEA Grapalat" w:eastAsia="Calibri" w:hAnsi="GHEA Grapalat"/>
                <w:lang w:val="hy-AM"/>
              </w:rPr>
              <w:t>Այլ հավասար պայմաններում ծախսերը կարելի է  կանխատեսել նաև նախորդ տարիների շահառուների թվի և փաստացի միտումներից ելնելով:</w:t>
            </w:r>
          </w:p>
          <w:tbl>
            <w:tblPr>
              <w:tblW w:w="4316" w:type="dxa"/>
              <w:tblLook w:val="04A0" w:firstRow="1" w:lastRow="0" w:firstColumn="1" w:lastColumn="0" w:noHBand="0" w:noVBand="1"/>
            </w:tblPr>
            <w:tblGrid>
              <w:gridCol w:w="960"/>
              <w:gridCol w:w="956"/>
              <w:gridCol w:w="1006"/>
              <w:gridCol w:w="1006"/>
              <w:gridCol w:w="1006"/>
            </w:tblGrid>
            <w:tr w:rsidR="00CE199F" w:rsidRPr="000F761C" w:rsidTr="00ED664B">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99F" w:rsidRPr="006C5D7C" w:rsidRDefault="00CE199F" w:rsidP="00ED664B">
                  <w:pPr>
                    <w:rPr>
                      <w:rFonts w:ascii="Calibri" w:hAnsi="Calibri"/>
                      <w:color w:val="000000"/>
                      <w:sz w:val="22"/>
                      <w:szCs w:val="22"/>
                      <w:lang w:val="hy-AM" w:eastAsia="en-US"/>
                    </w:rPr>
                  </w:pPr>
                  <w:r w:rsidRPr="006C5D7C">
                    <w:rPr>
                      <w:rFonts w:ascii="Calibri" w:hAnsi="Calibri"/>
                      <w:color w:val="000000"/>
                      <w:sz w:val="22"/>
                      <w:szCs w:val="22"/>
                      <w:lang w:val="hy-AM" w:eastAsia="en-US"/>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CE199F" w:rsidRPr="006C5D7C" w:rsidRDefault="00CE199F" w:rsidP="00ED664B">
                  <w:pPr>
                    <w:jc w:val="center"/>
                    <w:rPr>
                      <w:rFonts w:ascii="Calibri" w:hAnsi="Calibri"/>
                      <w:color w:val="000000"/>
                      <w:sz w:val="22"/>
                      <w:szCs w:val="22"/>
                      <w:lang w:val="hy-AM" w:eastAsia="en-US"/>
                    </w:rPr>
                  </w:pPr>
                  <w:r w:rsidRPr="006C5D7C">
                    <w:rPr>
                      <w:rFonts w:ascii="Calibri" w:hAnsi="Calibri"/>
                      <w:color w:val="000000"/>
                      <w:sz w:val="22"/>
                      <w:szCs w:val="22"/>
                      <w:lang w:val="hy-AM" w:eastAsia="en-US"/>
                    </w:rPr>
                    <w:t>2016</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CE199F" w:rsidRPr="006C5D7C" w:rsidRDefault="00CE199F" w:rsidP="00ED664B">
                  <w:pPr>
                    <w:jc w:val="center"/>
                    <w:rPr>
                      <w:rFonts w:ascii="Calibri" w:hAnsi="Calibri"/>
                      <w:color w:val="000000"/>
                      <w:sz w:val="22"/>
                      <w:szCs w:val="22"/>
                      <w:lang w:val="hy-AM" w:eastAsia="en-US"/>
                    </w:rPr>
                  </w:pPr>
                  <w:r w:rsidRPr="006C5D7C">
                    <w:rPr>
                      <w:rFonts w:ascii="Calibri" w:hAnsi="Calibri"/>
                      <w:color w:val="000000"/>
                      <w:sz w:val="22"/>
                      <w:szCs w:val="22"/>
                      <w:lang w:val="hy-AM" w:eastAsia="en-US"/>
                    </w:rPr>
                    <w:t>2017</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CE199F" w:rsidRPr="006C5D7C" w:rsidRDefault="00CE199F" w:rsidP="00ED664B">
                  <w:pPr>
                    <w:jc w:val="center"/>
                    <w:rPr>
                      <w:rFonts w:ascii="Calibri" w:hAnsi="Calibri"/>
                      <w:color w:val="000000"/>
                      <w:sz w:val="22"/>
                      <w:szCs w:val="22"/>
                      <w:lang w:val="hy-AM" w:eastAsia="en-US"/>
                    </w:rPr>
                  </w:pPr>
                  <w:r w:rsidRPr="006C5D7C">
                    <w:rPr>
                      <w:rFonts w:ascii="Calibri" w:hAnsi="Calibri"/>
                      <w:color w:val="000000"/>
                      <w:sz w:val="22"/>
                      <w:szCs w:val="22"/>
                      <w:lang w:val="hy-AM" w:eastAsia="en-US"/>
                    </w:rPr>
                    <w:t>2018</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CE199F" w:rsidRPr="006C5D7C" w:rsidRDefault="00CE199F" w:rsidP="00ED664B">
                  <w:pPr>
                    <w:jc w:val="center"/>
                    <w:rPr>
                      <w:rFonts w:ascii="Calibri" w:hAnsi="Calibri"/>
                      <w:color w:val="000000"/>
                      <w:sz w:val="22"/>
                      <w:szCs w:val="22"/>
                      <w:lang w:val="hy-AM" w:eastAsia="en-US"/>
                    </w:rPr>
                  </w:pPr>
                  <w:r w:rsidRPr="006C5D7C">
                    <w:rPr>
                      <w:rFonts w:ascii="Calibri" w:hAnsi="Calibri"/>
                      <w:color w:val="000000"/>
                      <w:sz w:val="22"/>
                      <w:szCs w:val="22"/>
                      <w:lang w:val="hy-AM" w:eastAsia="en-US"/>
                    </w:rPr>
                    <w:t>2019</w:t>
                  </w:r>
                </w:p>
              </w:tc>
            </w:tr>
            <w:tr w:rsidR="00CE199F" w:rsidRPr="000F761C" w:rsidTr="00ED664B">
              <w:trPr>
                <w:trHeight w:val="36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199F" w:rsidRPr="006C5D7C" w:rsidRDefault="00CE199F" w:rsidP="00ED664B">
                  <w:pPr>
                    <w:jc w:val="center"/>
                    <w:rPr>
                      <w:rFonts w:ascii="GHEA Grapalat" w:hAnsi="GHEA Grapalat"/>
                      <w:b/>
                      <w:bCs/>
                      <w:sz w:val="18"/>
                      <w:szCs w:val="18"/>
                      <w:lang w:val="hy-AM" w:eastAsia="en-US"/>
                    </w:rPr>
                  </w:pPr>
                  <w:r w:rsidRPr="006C5D7C">
                    <w:rPr>
                      <w:rFonts w:ascii="GHEA Grapalat" w:hAnsi="GHEA Grapalat"/>
                      <w:b/>
                      <w:bCs/>
                      <w:sz w:val="18"/>
                      <w:szCs w:val="18"/>
                      <w:lang w:val="hy-AM" w:eastAsia="en-US"/>
                    </w:rPr>
                    <w:t xml:space="preserve"> 1205-12004</w:t>
                  </w:r>
                </w:p>
              </w:tc>
              <w:tc>
                <w:tcPr>
                  <w:tcW w:w="808" w:type="dxa"/>
                  <w:tcBorders>
                    <w:top w:val="nil"/>
                    <w:left w:val="nil"/>
                    <w:bottom w:val="single" w:sz="4" w:space="0" w:color="auto"/>
                    <w:right w:val="single" w:sz="4" w:space="0" w:color="auto"/>
                  </w:tcBorders>
                  <w:shd w:val="clear" w:color="auto" w:fill="auto"/>
                  <w:noWrap/>
                  <w:vAlign w:val="center"/>
                  <w:hideMark/>
                </w:tcPr>
                <w:p w:rsidR="00CE199F" w:rsidRPr="006C5D7C" w:rsidRDefault="00CE199F" w:rsidP="00ED664B">
                  <w:pPr>
                    <w:ind w:left="-34" w:right="-148"/>
                    <w:jc w:val="right"/>
                    <w:rPr>
                      <w:rFonts w:ascii="Calibri" w:hAnsi="Calibri"/>
                      <w:color w:val="000000"/>
                      <w:sz w:val="22"/>
                      <w:szCs w:val="22"/>
                      <w:lang w:val="hy-AM" w:eastAsia="en-US"/>
                    </w:rPr>
                  </w:pPr>
                  <w:r w:rsidRPr="006C5D7C">
                    <w:rPr>
                      <w:rFonts w:ascii="Calibri" w:hAnsi="Calibri"/>
                      <w:color w:val="000000"/>
                      <w:sz w:val="22"/>
                      <w:szCs w:val="22"/>
                      <w:lang w:val="hy-AM" w:eastAsia="en-US"/>
                    </w:rPr>
                    <w:t>298,266 </w:t>
                  </w:r>
                </w:p>
              </w:tc>
              <w:tc>
                <w:tcPr>
                  <w:tcW w:w="858" w:type="dxa"/>
                  <w:tcBorders>
                    <w:top w:val="nil"/>
                    <w:left w:val="nil"/>
                    <w:bottom w:val="single" w:sz="4" w:space="0" w:color="auto"/>
                    <w:right w:val="single" w:sz="4" w:space="0" w:color="auto"/>
                  </w:tcBorders>
                  <w:shd w:val="clear" w:color="auto" w:fill="auto"/>
                  <w:noWrap/>
                  <w:vAlign w:val="center"/>
                  <w:hideMark/>
                </w:tcPr>
                <w:p w:rsidR="00CE199F" w:rsidRPr="006C5D7C" w:rsidRDefault="00CE199F" w:rsidP="00ED664B">
                  <w:pPr>
                    <w:ind w:left="-34" w:right="-148"/>
                    <w:rPr>
                      <w:rFonts w:ascii="Calibri" w:hAnsi="Calibri"/>
                      <w:color w:val="000000"/>
                      <w:sz w:val="22"/>
                      <w:szCs w:val="22"/>
                      <w:lang w:val="hy-AM" w:eastAsia="en-US"/>
                    </w:rPr>
                  </w:pPr>
                  <w:r w:rsidRPr="006C5D7C">
                    <w:rPr>
                      <w:rFonts w:ascii="Calibri" w:hAnsi="Calibri"/>
                      <w:color w:val="000000"/>
                      <w:sz w:val="22"/>
                      <w:szCs w:val="22"/>
                      <w:lang w:val="hy-AM" w:eastAsia="en-US"/>
                    </w:rPr>
                    <w:t xml:space="preserve">122,420   </w:t>
                  </w:r>
                </w:p>
              </w:tc>
              <w:tc>
                <w:tcPr>
                  <w:tcW w:w="832" w:type="dxa"/>
                  <w:tcBorders>
                    <w:top w:val="nil"/>
                    <w:left w:val="nil"/>
                    <w:bottom w:val="single" w:sz="4" w:space="0" w:color="auto"/>
                    <w:right w:val="single" w:sz="4" w:space="0" w:color="auto"/>
                  </w:tcBorders>
                  <w:shd w:val="clear" w:color="auto" w:fill="auto"/>
                  <w:noWrap/>
                  <w:vAlign w:val="center"/>
                  <w:hideMark/>
                </w:tcPr>
                <w:p w:rsidR="00CE199F" w:rsidRPr="006C5D7C" w:rsidRDefault="00CE199F" w:rsidP="00ED664B">
                  <w:pPr>
                    <w:ind w:left="-34" w:right="-148"/>
                    <w:rPr>
                      <w:rFonts w:ascii="Calibri" w:hAnsi="Calibri"/>
                      <w:color w:val="000000"/>
                      <w:sz w:val="22"/>
                      <w:szCs w:val="22"/>
                      <w:lang w:val="hy-AM" w:eastAsia="en-US"/>
                    </w:rPr>
                  </w:pPr>
                  <w:r w:rsidRPr="006C5D7C">
                    <w:rPr>
                      <w:rFonts w:ascii="Calibri" w:hAnsi="Calibri"/>
                      <w:color w:val="000000"/>
                      <w:sz w:val="22"/>
                      <w:szCs w:val="22"/>
                      <w:lang w:val="hy-AM" w:eastAsia="en-US"/>
                    </w:rPr>
                    <w:t xml:space="preserve">100,755   </w:t>
                  </w:r>
                </w:p>
              </w:tc>
              <w:tc>
                <w:tcPr>
                  <w:tcW w:w="858" w:type="dxa"/>
                  <w:tcBorders>
                    <w:top w:val="nil"/>
                    <w:left w:val="nil"/>
                    <w:bottom w:val="single" w:sz="4" w:space="0" w:color="auto"/>
                    <w:right w:val="single" w:sz="4" w:space="0" w:color="auto"/>
                  </w:tcBorders>
                  <w:shd w:val="clear" w:color="auto" w:fill="auto"/>
                  <w:noWrap/>
                  <w:vAlign w:val="center"/>
                  <w:hideMark/>
                </w:tcPr>
                <w:p w:rsidR="00CE199F" w:rsidRPr="006C5D7C" w:rsidRDefault="00CE199F" w:rsidP="00ED664B">
                  <w:pPr>
                    <w:ind w:left="-34" w:right="-148"/>
                    <w:rPr>
                      <w:rFonts w:ascii="Calibri" w:hAnsi="Calibri"/>
                      <w:color w:val="000000"/>
                      <w:sz w:val="22"/>
                      <w:szCs w:val="22"/>
                      <w:lang w:val="hy-AM" w:eastAsia="en-US"/>
                    </w:rPr>
                  </w:pPr>
                  <w:r w:rsidRPr="006C5D7C">
                    <w:rPr>
                      <w:rFonts w:ascii="Calibri" w:hAnsi="Calibri"/>
                      <w:color w:val="000000"/>
                      <w:sz w:val="22"/>
                      <w:szCs w:val="22"/>
                      <w:lang w:val="hy-AM" w:eastAsia="en-US"/>
                    </w:rPr>
                    <w:t xml:space="preserve">  79,300   </w:t>
                  </w:r>
                </w:p>
              </w:tc>
            </w:tr>
            <w:tr w:rsidR="00CE199F" w:rsidRPr="000F761C" w:rsidTr="00ED664B">
              <w:trPr>
                <w:trHeight w:val="50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E199F" w:rsidRPr="006C5D7C" w:rsidRDefault="00CE199F" w:rsidP="00ED664B">
                  <w:pPr>
                    <w:jc w:val="center"/>
                    <w:rPr>
                      <w:rFonts w:ascii="GHEA Grapalat" w:hAnsi="GHEA Grapalat"/>
                      <w:b/>
                      <w:bCs/>
                      <w:sz w:val="18"/>
                      <w:szCs w:val="18"/>
                      <w:lang w:val="hy-AM" w:eastAsia="en-US"/>
                    </w:rPr>
                  </w:pPr>
                  <w:r w:rsidRPr="006C5D7C">
                    <w:rPr>
                      <w:rFonts w:ascii="GHEA Grapalat" w:hAnsi="GHEA Grapalat"/>
                      <w:b/>
                      <w:bCs/>
                      <w:sz w:val="18"/>
                      <w:szCs w:val="18"/>
                      <w:lang w:val="hy-AM" w:eastAsia="en-US"/>
                    </w:rPr>
                    <w:t xml:space="preserve"> 1205-12005</w:t>
                  </w:r>
                </w:p>
              </w:tc>
              <w:tc>
                <w:tcPr>
                  <w:tcW w:w="808" w:type="dxa"/>
                  <w:tcBorders>
                    <w:top w:val="nil"/>
                    <w:left w:val="nil"/>
                    <w:bottom w:val="single" w:sz="4" w:space="0" w:color="auto"/>
                    <w:right w:val="single" w:sz="4" w:space="0" w:color="auto"/>
                  </w:tcBorders>
                  <w:shd w:val="clear" w:color="auto" w:fill="auto"/>
                  <w:noWrap/>
                  <w:vAlign w:val="center"/>
                  <w:hideMark/>
                </w:tcPr>
                <w:p w:rsidR="00CE199F" w:rsidRPr="006C5D7C" w:rsidRDefault="00CE199F" w:rsidP="00ED664B">
                  <w:pPr>
                    <w:ind w:left="-34" w:right="-148"/>
                    <w:jc w:val="right"/>
                    <w:rPr>
                      <w:rFonts w:ascii="Calibri" w:hAnsi="Calibri"/>
                      <w:color w:val="000000"/>
                      <w:sz w:val="22"/>
                      <w:szCs w:val="22"/>
                      <w:lang w:val="hy-AM" w:eastAsia="en-US"/>
                    </w:rPr>
                  </w:pPr>
                  <w:r w:rsidRPr="006C5D7C">
                    <w:rPr>
                      <w:rFonts w:ascii="Calibri" w:hAnsi="Calibri"/>
                      <w:color w:val="000000"/>
                      <w:sz w:val="22"/>
                      <w:szCs w:val="22"/>
                      <w:lang w:val="hy-AM" w:eastAsia="en-US"/>
                    </w:rPr>
                    <w:t>542,285 </w:t>
                  </w:r>
                </w:p>
              </w:tc>
              <w:tc>
                <w:tcPr>
                  <w:tcW w:w="858" w:type="dxa"/>
                  <w:tcBorders>
                    <w:top w:val="nil"/>
                    <w:left w:val="nil"/>
                    <w:bottom w:val="single" w:sz="4" w:space="0" w:color="auto"/>
                    <w:right w:val="single" w:sz="4" w:space="0" w:color="auto"/>
                  </w:tcBorders>
                  <w:shd w:val="clear" w:color="auto" w:fill="auto"/>
                  <w:noWrap/>
                  <w:vAlign w:val="center"/>
                  <w:hideMark/>
                </w:tcPr>
                <w:p w:rsidR="00CE199F" w:rsidRPr="006C5D7C" w:rsidRDefault="00CE199F" w:rsidP="00ED664B">
                  <w:pPr>
                    <w:ind w:left="-34" w:right="-148"/>
                    <w:rPr>
                      <w:rFonts w:ascii="Calibri" w:hAnsi="Calibri"/>
                      <w:color w:val="000000"/>
                      <w:sz w:val="22"/>
                      <w:szCs w:val="22"/>
                      <w:lang w:val="hy-AM" w:eastAsia="en-US"/>
                    </w:rPr>
                  </w:pPr>
                  <w:r w:rsidRPr="006C5D7C">
                    <w:rPr>
                      <w:rFonts w:ascii="Calibri" w:hAnsi="Calibri"/>
                      <w:color w:val="000000"/>
                      <w:sz w:val="22"/>
                      <w:szCs w:val="22"/>
                      <w:lang w:val="hy-AM" w:eastAsia="en-US"/>
                    </w:rPr>
                    <w:t xml:space="preserve">370,300   </w:t>
                  </w:r>
                </w:p>
              </w:tc>
              <w:tc>
                <w:tcPr>
                  <w:tcW w:w="832" w:type="dxa"/>
                  <w:tcBorders>
                    <w:top w:val="nil"/>
                    <w:left w:val="nil"/>
                    <w:bottom w:val="single" w:sz="4" w:space="0" w:color="auto"/>
                    <w:right w:val="single" w:sz="4" w:space="0" w:color="auto"/>
                  </w:tcBorders>
                  <w:shd w:val="clear" w:color="auto" w:fill="auto"/>
                  <w:noWrap/>
                  <w:vAlign w:val="center"/>
                  <w:hideMark/>
                </w:tcPr>
                <w:p w:rsidR="00CE199F" w:rsidRPr="006C5D7C" w:rsidRDefault="00CE199F" w:rsidP="00ED664B">
                  <w:pPr>
                    <w:ind w:left="-34" w:right="-148"/>
                    <w:rPr>
                      <w:rFonts w:ascii="Calibri" w:hAnsi="Calibri"/>
                      <w:color w:val="000000"/>
                      <w:sz w:val="22"/>
                      <w:szCs w:val="22"/>
                      <w:lang w:val="hy-AM" w:eastAsia="en-US"/>
                    </w:rPr>
                  </w:pPr>
                  <w:r w:rsidRPr="006C5D7C">
                    <w:rPr>
                      <w:rFonts w:ascii="Calibri" w:hAnsi="Calibri"/>
                      <w:color w:val="000000"/>
                      <w:sz w:val="22"/>
                      <w:szCs w:val="22"/>
                      <w:lang w:val="hy-AM" w:eastAsia="en-US"/>
                    </w:rPr>
                    <w:t xml:space="preserve">314,300   </w:t>
                  </w:r>
                </w:p>
              </w:tc>
              <w:tc>
                <w:tcPr>
                  <w:tcW w:w="858" w:type="dxa"/>
                  <w:tcBorders>
                    <w:top w:val="nil"/>
                    <w:left w:val="nil"/>
                    <w:bottom w:val="single" w:sz="4" w:space="0" w:color="auto"/>
                    <w:right w:val="single" w:sz="4" w:space="0" w:color="auto"/>
                  </w:tcBorders>
                  <w:shd w:val="clear" w:color="auto" w:fill="auto"/>
                  <w:noWrap/>
                  <w:vAlign w:val="center"/>
                  <w:hideMark/>
                </w:tcPr>
                <w:p w:rsidR="00CE199F" w:rsidRPr="006C5D7C" w:rsidRDefault="00CE199F" w:rsidP="00ED664B">
                  <w:pPr>
                    <w:ind w:left="-34" w:right="-148"/>
                    <w:rPr>
                      <w:rFonts w:ascii="Calibri" w:hAnsi="Calibri"/>
                      <w:color w:val="000000"/>
                      <w:sz w:val="22"/>
                      <w:szCs w:val="22"/>
                      <w:lang w:val="hy-AM" w:eastAsia="en-US"/>
                    </w:rPr>
                  </w:pPr>
                  <w:r w:rsidRPr="006C5D7C">
                    <w:rPr>
                      <w:rFonts w:ascii="Calibri" w:hAnsi="Calibri"/>
                      <w:color w:val="000000"/>
                      <w:sz w:val="22"/>
                      <w:szCs w:val="22"/>
                      <w:lang w:val="hy-AM" w:eastAsia="en-US"/>
                    </w:rPr>
                    <w:t xml:space="preserve">270,900   </w:t>
                  </w:r>
                </w:p>
              </w:tc>
            </w:tr>
          </w:tbl>
          <w:p w:rsidR="00CE199F" w:rsidRPr="006C5D7C" w:rsidRDefault="00CE199F" w:rsidP="00CE199F">
            <w:pPr>
              <w:spacing w:line="360" w:lineRule="auto"/>
              <w:ind w:left="60" w:right="165" w:firstLine="180"/>
              <w:jc w:val="both"/>
              <w:rPr>
                <w:rFonts w:ascii="GHEA Grapalat" w:eastAsia="Calibri" w:hAnsi="GHEA Grapalat"/>
                <w:lang w:val="hy-AM"/>
              </w:rPr>
            </w:pPr>
          </w:p>
          <w:p w:rsidR="009C3D40" w:rsidRPr="006C5D7C" w:rsidRDefault="00CE199F" w:rsidP="00CE199F">
            <w:pPr>
              <w:spacing w:line="360" w:lineRule="auto"/>
              <w:ind w:left="60" w:right="165" w:firstLine="180"/>
              <w:jc w:val="both"/>
              <w:rPr>
                <w:rFonts w:ascii="GHEA Grapalat" w:eastAsia="Calibri" w:hAnsi="GHEA Grapalat"/>
                <w:lang w:val="hy-AM"/>
              </w:rPr>
            </w:pPr>
            <w:r w:rsidRPr="006C5D7C">
              <w:rPr>
                <w:rFonts w:ascii="GHEA Grapalat" w:eastAsia="Calibri" w:hAnsi="GHEA Grapalat"/>
                <w:lang w:val="hy-AM"/>
              </w:rPr>
              <w:t xml:space="preserve">Ելնելով վերոգրյալից՝ առաջարկվում է անփոփոխ թողնել 1205 ծրագրի 12004 և 12005 միջոցառումների ֆինանսավորման՝ նախորդ տարիներին կիրառված մեխանիզմը </w:t>
            </w:r>
            <w:r w:rsidRPr="006C5D7C">
              <w:rPr>
                <w:rFonts w:ascii="GHEA Grapalat" w:eastAsia="Calibri" w:hAnsi="GHEA Grapalat"/>
                <w:lang w:val="hy-AM"/>
              </w:rPr>
              <w:lastRenderedPageBreak/>
              <w:t>կամ ԲՍԿ սահմանել Ֆինանսների նախարարությանը:</w:t>
            </w:r>
          </w:p>
        </w:tc>
      </w:tr>
      <w:tr w:rsidR="00CE199F" w:rsidRPr="0014642B" w:rsidTr="00AD0D95">
        <w:trPr>
          <w:trHeight w:val="1245"/>
          <w:tblCellSpacing w:w="0" w:type="dxa"/>
          <w:jc w:val="center"/>
        </w:trPr>
        <w:tc>
          <w:tcPr>
            <w:tcW w:w="5302" w:type="dxa"/>
            <w:tcBorders>
              <w:top w:val="outset" w:sz="6" w:space="0" w:color="auto"/>
              <w:left w:val="outset" w:sz="6" w:space="0" w:color="auto"/>
              <w:bottom w:val="outset" w:sz="6" w:space="0" w:color="auto"/>
              <w:right w:val="outset" w:sz="6" w:space="0" w:color="auto"/>
            </w:tcBorders>
            <w:shd w:val="clear" w:color="auto" w:fill="auto"/>
            <w:vAlign w:val="center"/>
          </w:tcPr>
          <w:p w:rsidR="00CE199F" w:rsidRPr="006C5D7C" w:rsidRDefault="00CE199F" w:rsidP="00CE199F">
            <w:pPr>
              <w:spacing w:line="360" w:lineRule="auto"/>
              <w:ind w:left="150" w:right="255" w:firstLine="417"/>
              <w:jc w:val="both"/>
              <w:rPr>
                <w:rFonts w:ascii="GHEA Grapalat" w:hAnsi="GHEA Grapalat" w:cs="Sylfaen"/>
                <w:bCs/>
                <w:lang w:val="hy-AM"/>
              </w:rPr>
            </w:pPr>
            <w:r w:rsidRPr="007B0C35">
              <w:rPr>
                <w:rFonts w:ascii="GHEA Grapalat" w:hAnsi="GHEA Grapalat" w:cs="Sylfaen"/>
                <w:bCs/>
                <w:lang w:val="hy-AM"/>
              </w:rPr>
              <w:lastRenderedPageBreak/>
              <w:t xml:space="preserve">Բացի այդ, առաջարկում ենք Նախագծի 3-րդ կետը խմբագրել հետևյալ կերպ. </w:t>
            </w:r>
            <w:r w:rsidRPr="007B0C35">
              <w:rPr>
                <w:rFonts w:ascii="GHEA Grapalat" w:hAnsi="GHEA Grapalat" w:cs="GHEA Grapalat"/>
                <w:bCs/>
                <w:lang w:val="hy-AM"/>
              </w:rPr>
              <w:t>«</w:t>
            </w:r>
            <w:r w:rsidRPr="007B0C35">
              <w:rPr>
                <w:rFonts w:ascii="GHEA Grapalat" w:hAnsi="GHEA Grapalat" w:cs="Sylfaen"/>
                <w:bCs/>
                <w:lang w:val="hy-AM"/>
              </w:rPr>
              <w:t xml:space="preserve">3. </w:t>
            </w:r>
            <w:r w:rsidRPr="007B0C35">
              <w:rPr>
                <w:rFonts w:ascii="GHEA Grapalat" w:hAnsi="GHEA Grapalat" w:cs="GHEA Grapalat"/>
                <w:bCs/>
                <w:lang w:val="hy-AM"/>
              </w:rPr>
              <w:t>««Հայաստանի</w:t>
            </w:r>
            <w:r w:rsidRPr="007B0C35">
              <w:rPr>
                <w:rFonts w:ascii="GHEA Grapalat" w:hAnsi="GHEA Grapalat" w:cs="Sylfaen"/>
                <w:bCs/>
                <w:lang w:val="hy-AM"/>
              </w:rPr>
              <w:t xml:space="preserve"> </w:t>
            </w:r>
            <w:r w:rsidRPr="007B0C35">
              <w:rPr>
                <w:rFonts w:ascii="GHEA Grapalat" w:hAnsi="GHEA Grapalat" w:cs="GHEA Grapalat"/>
                <w:bCs/>
                <w:lang w:val="hy-AM"/>
              </w:rPr>
              <w:t>Հանրապետության</w:t>
            </w:r>
            <w:r w:rsidRPr="007B0C35">
              <w:rPr>
                <w:rFonts w:ascii="GHEA Grapalat" w:hAnsi="GHEA Grapalat" w:cs="Sylfaen"/>
                <w:bCs/>
                <w:lang w:val="hy-AM"/>
              </w:rPr>
              <w:t xml:space="preserve"> 2021 </w:t>
            </w:r>
            <w:r w:rsidRPr="007B0C35">
              <w:rPr>
                <w:rFonts w:ascii="GHEA Grapalat" w:hAnsi="GHEA Grapalat" w:cs="GHEA Grapalat"/>
                <w:bCs/>
                <w:lang w:val="hy-AM"/>
              </w:rPr>
              <w:t>թվականի</w:t>
            </w:r>
            <w:r w:rsidRPr="007B0C35">
              <w:rPr>
                <w:rFonts w:ascii="GHEA Grapalat" w:hAnsi="GHEA Grapalat" w:cs="Sylfaen"/>
                <w:bCs/>
                <w:lang w:val="hy-AM"/>
              </w:rPr>
              <w:t xml:space="preserve"> </w:t>
            </w:r>
            <w:r w:rsidRPr="007B0C35">
              <w:rPr>
                <w:rFonts w:ascii="GHEA Grapalat" w:hAnsi="GHEA Grapalat" w:cs="GHEA Grapalat"/>
                <w:bCs/>
                <w:lang w:val="hy-AM"/>
              </w:rPr>
              <w:t>պետական</w:t>
            </w:r>
            <w:r w:rsidRPr="007B0C35">
              <w:rPr>
                <w:rFonts w:ascii="GHEA Grapalat" w:hAnsi="GHEA Grapalat" w:cs="Sylfaen"/>
                <w:bCs/>
                <w:lang w:val="hy-AM"/>
              </w:rPr>
              <w:t xml:space="preserve"> </w:t>
            </w:r>
            <w:r w:rsidRPr="007B0C35">
              <w:rPr>
                <w:rFonts w:ascii="GHEA Grapalat" w:hAnsi="GHEA Grapalat" w:cs="GHEA Grapalat"/>
                <w:bCs/>
                <w:lang w:val="hy-AM"/>
              </w:rPr>
              <w:t>բյուջեի</w:t>
            </w:r>
            <w:r w:rsidRPr="007B0C35">
              <w:rPr>
                <w:rFonts w:ascii="GHEA Grapalat" w:hAnsi="GHEA Grapalat" w:cs="Sylfaen"/>
                <w:bCs/>
                <w:lang w:val="hy-AM"/>
              </w:rPr>
              <w:t xml:space="preserve"> </w:t>
            </w:r>
            <w:r w:rsidRPr="007B0C35">
              <w:rPr>
                <w:rFonts w:ascii="GHEA Grapalat" w:hAnsi="GHEA Grapalat" w:cs="GHEA Grapalat"/>
                <w:bCs/>
                <w:lang w:val="hy-AM"/>
              </w:rPr>
              <w:t>մասին</w:t>
            </w:r>
            <w:r w:rsidRPr="007B0C35">
              <w:rPr>
                <w:rFonts w:ascii="GHEA Grapalat" w:hAnsi="GHEA Grapalat" w:cs="Sylfaen"/>
                <w:bCs/>
                <w:lang w:val="hy-AM"/>
              </w:rPr>
              <w:t>» օրենքում վերաբաշխում, լրացում և փոփոխություններ, Հայաստանի Հանրապետության կառավարության մի շարք որոշումներում փոփոխություններ և լրացումներ կատարելու, ինչպես նաև պետական բյուջեի կատարման հետ կապված առանձին հարցերի մասին» 2021 թվականի դեկտեմբերի 23-ի N 2172-Ն որոշման 2-րդ կետի 55)-րդ ենթակետից հանել «՝ ըստ կատարողների տողում «ՀՀ աշխատանքի և սոցիալական հարցերի նախարարություն» բառերը փոխարինել «Այլ մարմիններ» բառերով» բառերը և լրացնել հետևյալ բառերով՝ «համապատասխան տվյալները խմբագրել համաձայն կից ներկայացվող NN</w:t>
            </w:r>
            <w:r w:rsidRPr="007B0C35">
              <w:rPr>
                <w:rFonts w:cs="Calibri"/>
                <w:bCs/>
                <w:lang w:val="hy-AM"/>
              </w:rPr>
              <w:t> </w:t>
            </w:r>
            <w:r w:rsidRPr="007B0C35">
              <w:rPr>
                <w:rFonts w:ascii="GHEA Grapalat" w:hAnsi="GHEA Grapalat" w:cs="Sylfaen"/>
                <w:bCs/>
                <w:lang w:val="hy-AM"/>
              </w:rPr>
              <w:t xml:space="preserve"> 30-32 </w:t>
            </w:r>
            <w:r w:rsidRPr="007B0C35">
              <w:rPr>
                <w:rFonts w:ascii="GHEA Grapalat" w:hAnsi="GHEA Grapalat" w:cs="GHEA Grapalat"/>
                <w:bCs/>
                <w:lang w:val="hy-AM"/>
              </w:rPr>
              <w:t>հավելվածների»</w:t>
            </w:r>
            <w:r w:rsidRPr="007B0C35">
              <w:rPr>
                <w:rFonts w:ascii="GHEA Grapalat" w:hAnsi="GHEA Grapalat" w:cs="Sylfaen"/>
                <w:bCs/>
                <w:lang w:val="hy-AM"/>
              </w:rPr>
              <w:t>:</w:t>
            </w:r>
            <w:r w:rsidR="000F761C" w:rsidRPr="007B0C35">
              <w:rPr>
                <w:rFonts w:ascii="GHEA Grapalat" w:hAnsi="GHEA Grapalat" w:cs="Sylfaen"/>
                <w:bCs/>
                <w:lang w:val="hy-AM"/>
              </w:rPr>
              <w:t xml:space="preserve"> </w:t>
            </w:r>
            <w:r w:rsidR="000F761C" w:rsidRPr="007B0C35">
              <w:rPr>
                <w:rFonts w:ascii="GHEA Grapalat" w:hAnsi="GHEA Grapalat" w:cs="Sylfaen"/>
                <w:bCs/>
                <w:lang w:val="hy-AM"/>
              </w:rPr>
              <w:t xml:space="preserve">Նախագծի հավելվածներում պետք է ներառվեն նաև ՀՀ կառավարության 2021 թվականի դեկտեմբերի 1-ի N 1951-Ն որոշման </w:t>
            </w:r>
            <w:bookmarkStart w:id="0" w:name="_GoBack"/>
            <w:r w:rsidR="000F761C" w:rsidRPr="007B0C35">
              <w:rPr>
                <w:rFonts w:ascii="GHEA Grapalat" w:hAnsi="GHEA Grapalat" w:cs="Sylfaen"/>
                <w:bCs/>
                <w:lang w:val="hy-AM"/>
              </w:rPr>
              <w:t xml:space="preserve">NN 5, 7 և 8 հավելվածների </w:t>
            </w:r>
            <w:bookmarkEnd w:id="0"/>
            <w:r w:rsidR="000F761C" w:rsidRPr="007B0C35">
              <w:rPr>
                <w:rFonts w:ascii="GHEA Grapalat" w:hAnsi="GHEA Grapalat" w:cs="Sylfaen"/>
                <w:bCs/>
                <w:lang w:val="hy-AM"/>
              </w:rPr>
              <w:t>խմբագրման անհրաժեշտ տվյալները:</w:t>
            </w:r>
          </w:p>
        </w:tc>
        <w:tc>
          <w:tcPr>
            <w:tcW w:w="5310" w:type="dxa"/>
            <w:tcBorders>
              <w:top w:val="outset" w:sz="6" w:space="0" w:color="auto"/>
              <w:left w:val="outset" w:sz="6" w:space="0" w:color="auto"/>
              <w:bottom w:val="outset" w:sz="6" w:space="0" w:color="auto"/>
              <w:right w:val="outset" w:sz="6" w:space="0" w:color="auto"/>
            </w:tcBorders>
            <w:shd w:val="clear" w:color="auto" w:fill="auto"/>
          </w:tcPr>
          <w:p w:rsidR="00CE199F" w:rsidRDefault="00CE199F" w:rsidP="00CE199F">
            <w:pPr>
              <w:spacing w:line="360" w:lineRule="auto"/>
              <w:ind w:right="165"/>
              <w:jc w:val="both"/>
              <w:rPr>
                <w:rFonts w:ascii="GHEA Grapalat" w:eastAsia="Calibri" w:hAnsi="GHEA Grapalat"/>
                <w:lang w:val="hy-AM"/>
              </w:rPr>
            </w:pPr>
            <w:r>
              <w:rPr>
                <w:rFonts w:ascii="GHEA Grapalat" w:eastAsia="Calibri" w:hAnsi="GHEA Grapalat"/>
                <w:lang w:val="hy-AM"/>
              </w:rPr>
              <w:t xml:space="preserve">  Ընդունվել է, խմբագրվել է։</w:t>
            </w:r>
          </w:p>
          <w:p w:rsidR="00CE199F" w:rsidRPr="00B64DE6" w:rsidRDefault="00CE199F" w:rsidP="00CE199F">
            <w:pPr>
              <w:spacing w:line="360" w:lineRule="auto"/>
              <w:ind w:right="73"/>
              <w:jc w:val="both"/>
              <w:rPr>
                <w:rFonts w:ascii="GHEA Grapalat" w:eastAsia="Calibri" w:hAnsi="GHEA Grapalat"/>
                <w:lang w:val="hy-AM"/>
              </w:rPr>
            </w:pPr>
          </w:p>
        </w:tc>
      </w:tr>
    </w:tbl>
    <w:p w:rsidR="00BD18E3" w:rsidRPr="00B64DE6" w:rsidRDefault="00BD18E3">
      <w:pPr>
        <w:rPr>
          <w:rFonts w:ascii="GHEA Grapalat" w:hAnsi="GHEA Grapalat"/>
          <w:lang w:val="hy-AM"/>
        </w:rPr>
      </w:pPr>
    </w:p>
    <w:sectPr w:rsidR="00BD18E3" w:rsidRPr="00B64DE6" w:rsidSect="00B6751A">
      <w:pgSz w:w="11907" w:h="16840" w:code="9"/>
      <w:pgMar w:top="630" w:right="562" w:bottom="1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4725"/>
    <w:multiLevelType w:val="hybridMultilevel"/>
    <w:tmpl w:val="BD307014"/>
    <w:lvl w:ilvl="0" w:tplc="0E063D8E">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E660696"/>
    <w:multiLevelType w:val="hybridMultilevel"/>
    <w:tmpl w:val="7E3E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0C"/>
    <w:rsid w:val="0000298A"/>
    <w:rsid w:val="00024539"/>
    <w:rsid w:val="000E123A"/>
    <w:rsid w:val="000F761C"/>
    <w:rsid w:val="0014642B"/>
    <w:rsid w:val="001E1AEB"/>
    <w:rsid w:val="001E799A"/>
    <w:rsid w:val="001F0DE1"/>
    <w:rsid w:val="002C74DF"/>
    <w:rsid w:val="0038193C"/>
    <w:rsid w:val="003B51FD"/>
    <w:rsid w:val="003E4772"/>
    <w:rsid w:val="003F17DB"/>
    <w:rsid w:val="00420FCD"/>
    <w:rsid w:val="004B4FD9"/>
    <w:rsid w:val="00690AAD"/>
    <w:rsid w:val="006C5D7C"/>
    <w:rsid w:val="00720430"/>
    <w:rsid w:val="00753195"/>
    <w:rsid w:val="00770AC4"/>
    <w:rsid w:val="008412E0"/>
    <w:rsid w:val="008A04DF"/>
    <w:rsid w:val="008B4B0C"/>
    <w:rsid w:val="00913768"/>
    <w:rsid w:val="00932EEE"/>
    <w:rsid w:val="00951295"/>
    <w:rsid w:val="009C3D40"/>
    <w:rsid w:val="009E584F"/>
    <w:rsid w:val="00A565CE"/>
    <w:rsid w:val="00AD0D95"/>
    <w:rsid w:val="00B64DE6"/>
    <w:rsid w:val="00B6751A"/>
    <w:rsid w:val="00BC3EBD"/>
    <w:rsid w:val="00BD18E3"/>
    <w:rsid w:val="00C113D6"/>
    <w:rsid w:val="00C53B0C"/>
    <w:rsid w:val="00CE199F"/>
    <w:rsid w:val="00D03607"/>
    <w:rsid w:val="00D05571"/>
    <w:rsid w:val="00D13A9C"/>
    <w:rsid w:val="00D4467A"/>
    <w:rsid w:val="00D71D93"/>
    <w:rsid w:val="00D80CEB"/>
    <w:rsid w:val="00DB0978"/>
    <w:rsid w:val="00E01D18"/>
    <w:rsid w:val="00E55782"/>
    <w:rsid w:val="00E63BE2"/>
    <w:rsid w:val="00E71C88"/>
    <w:rsid w:val="00E96E99"/>
    <w:rsid w:val="00E97EA8"/>
    <w:rsid w:val="00F225A4"/>
    <w:rsid w:val="00F76DF7"/>
    <w:rsid w:val="00F8600F"/>
    <w:rsid w:val="00FC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2168A-3B80-4AED-8504-BF3C24AC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B0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ebb Char"/>
    <w:link w:val="NormalWeb"/>
    <w:uiPriority w:val="99"/>
    <w:locked/>
    <w:rsid w:val="00D05571"/>
    <w:rPr>
      <w:rFonts w:ascii="Times New Roman" w:eastAsia="Times New Roman" w:hAnsi="Times New Roman" w:cs="Times New Roman"/>
      <w:sz w:val="24"/>
      <w:szCs w:val="24"/>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ebb,Обычный (веб)"/>
    <w:basedOn w:val="Normal"/>
    <w:link w:val="NormalWebChar"/>
    <w:uiPriority w:val="99"/>
    <w:unhideWhenUsed/>
    <w:qFormat/>
    <w:rsid w:val="00D05571"/>
    <w:pPr>
      <w:spacing w:before="100" w:beforeAutospacing="1" w:after="100" w:afterAutospacing="1"/>
    </w:pPr>
    <w:rPr>
      <w:lang w:val="en-US"/>
    </w:rPr>
  </w:style>
  <w:style w:type="table" w:styleId="TableGrid">
    <w:name w:val="Table Grid"/>
    <w:basedOn w:val="TableNormal"/>
    <w:rsid w:val="00690A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List Paragraph nowy,Liste 1,Dot pt"/>
    <w:basedOn w:val="Normal"/>
    <w:link w:val="ListParagraphChar"/>
    <w:uiPriority w:val="34"/>
    <w:qFormat/>
    <w:rsid w:val="00690AAD"/>
    <w:pPr>
      <w:spacing w:after="160" w:line="259"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qFormat/>
    <w:locked/>
    <w:rsid w:val="00690AAD"/>
    <w:rPr>
      <w:rFonts w:ascii="Calibri" w:eastAsia="Calibri" w:hAnsi="Calibri" w:cs="Times New Roman"/>
    </w:rPr>
  </w:style>
  <w:style w:type="character" w:styleId="Strong">
    <w:name w:val="Strong"/>
    <w:uiPriority w:val="22"/>
    <w:qFormat/>
    <w:rsid w:val="003E4772"/>
    <w:rPr>
      <w:b/>
      <w:bCs/>
    </w:rPr>
  </w:style>
  <w:style w:type="paragraph" w:styleId="BalloonText">
    <w:name w:val="Balloon Text"/>
    <w:basedOn w:val="Normal"/>
    <w:link w:val="BalloonTextChar"/>
    <w:uiPriority w:val="99"/>
    <w:semiHidden/>
    <w:unhideWhenUsed/>
    <w:qFormat/>
    <w:rsid w:val="00D71D93"/>
    <w:pPr>
      <w:suppressAutoHyphens/>
    </w:pPr>
    <w:rPr>
      <w:rFonts w:ascii="Segoe UI" w:eastAsia="Calibri" w:hAnsi="Segoe UI" w:cs="Segoe UI"/>
      <w:color w:val="00000A"/>
      <w:sz w:val="18"/>
      <w:szCs w:val="18"/>
      <w:lang w:val="en-US" w:eastAsia="en-US"/>
    </w:rPr>
  </w:style>
  <w:style w:type="character" w:customStyle="1" w:styleId="BalloonTextChar">
    <w:name w:val="Balloon Text Char"/>
    <w:basedOn w:val="DefaultParagraphFont"/>
    <w:link w:val="BalloonText"/>
    <w:uiPriority w:val="99"/>
    <w:semiHidden/>
    <w:rsid w:val="00D71D93"/>
    <w:rPr>
      <w:rFonts w:ascii="Segoe UI" w:eastAsia="Calibri" w:hAnsi="Segoe UI" w:cs="Segoe UI"/>
      <w:color w:val="00000A"/>
      <w:sz w:val="18"/>
      <w:szCs w:val="18"/>
    </w:rPr>
  </w:style>
  <w:style w:type="paragraph" w:styleId="BodyText">
    <w:name w:val="Body Text"/>
    <w:basedOn w:val="Normal"/>
    <w:link w:val="BodyTextChar"/>
    <w:semiHidden/>
    <w:unhideWhenUsed/>
    <w:rsid w:val="00D4467A"/>
    <w:pPr>
      <w:suppressAutoHyphens/>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semiHidden/>
    <w:rsid w:val="00D4467A"/>
    <w:rPr>
      <w:rFonts w:ascii="Calibri" w:eastAsia="Calibr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796">
      <w:bodyDiv w:val="1"/>
      <w:marLeft w:val="0"/>
      <w:marRight w:val="0"/>
      <w:marTop w:val="0"/>
      <w:marBottom w:val="0"/>
      <w:divBdr>
        <w:top w:val="none" w:sz="0" w:space="0" w:color="auto"/>
        <w:left w:val="none" w:sz="0" w:space="0" w:color="auto"/>
        <w:bottom w:val="none" w:sz="0" w:space="0" w:color="auto"/>
        <w:right w:val="none" w:sz="0" w:space="0" w:color="auto"/>
      </w:divBdr>
    </w:div>
    <w:div w:id="717239800">
      <w:bodyDiv w:val="1"/>
      <w:marLeft w:val="0"/>
      <w:marRight w:val="0"/>
      <w:marTop w:val="0"/>
      <w:marBottom w:val="0"/>
      <w:divBdr>
        <w:top w:val="none" w:sz="0" w:space="0" w:color="auto"/>
        <w:left w:val="none" w:sz="0" w:space="0" w:color="auto"/>
        <w:bottom w:val="none" w:sz="0" w:space="0" w:color="auto"/>
        <w:right w:val="none" w:sz="0" w:space="0" w:color="auto"/>
      </w:divBdr>
    </w:div>
    <w:div w:id="757554493">
      <w:bodyDiv w:val="1"/>
      <w:marLeft w:val="0"/>
      <w:marRight w:val="0"/>
      <w:marTop w:val="0"/>
      <w:marBottom w:val="0"/>
      <w:divBdr>
        <w:top w:val="none" w:sz="0" w:space="0" w:color="auto"/>
        <w:left w:val="none" w:sz="0" w:space="0" w:color="auto"/>
        <w:bottom w:val="none" w:sz="0" w:space="0" w:color="auto"/>
        <w:right w:val="none" w:sz="0" w:space="0" w:color="auto"/>
      </w:divBdr>
      <w:divsChild>
        <w:div w:id="1862275671">
          <w:marLeft w:val="0"/>
          <w:marRight w:val="0"/>
          <w:marTop w:val="0"/>
          <w:marBottom w:val="0"/>
          <w:divBdr>
            <w:top w:val="none" w:sz="0" w:space="0" w:color="auto"/>
            <w:left w:val="none" w:sz="0" w:space="0" w:color="auto"/>
            <w:bottom w:val="none" w:sz="0" w:space="0" w:color="auto"/>
            <w:right w:val="none" w:sz="0" w:space="0" w:color="auto"/>
          </w:divBdr>
        </w:div>
        <w:div w:id="570120492">
          <w:marLeft w:val="0"/>
          <w:marRight w:val="0"/>
          <w:marTop w:val="0"/>
          <w:marBottom w:val="0"/>
          <w:divBdr>
            <w:top w:val="none" w:sz="0" w:space="0" w:color="auto"/>
            <w:left w:val="none" w:sz="0" w:space="0" w:color="auto"/>
            <w:bottom w:val="none" w:sz="0" w:space="0" w:color="auto"/>
            <w:right w:val="none" w:sz="0" w:space="0" w:color="auto"/>
          </w:divBdr>
        </w:div>
        <w:div w:id="521436104">
          <w:marLeft w:val="0"/>
          <w:marRight w:val="0"/>
          <w:marTop w:val="0"/>
          <w:marBottom w:val="0"/>
          <w:divBdr>
            <w:top w:val="none" w:sz="0" w:space="0" w:color="auto"/>
            <w:left w:val="none" w:sz="0" w:space="0" w:color="auto"/>
            <w:bottom w:val="none" w:sz="0" w:space="0" w:color="auto"/>
            <w:right w:val="none" w:sz="0" w:space="0" w:color="auto"/>
          </w:divBdr>
        </w:div>
        <w:div w:id="1180781869">
          <w:marLeft w:val="0"/>
          <w:marRight w:val="0"/>
          <w:marTop w:val="0"/>
          <w:marBottom w:val="0"/>
          <w:divBdr>
            <w:top w:val="none" w:sz="0" w:space="0" w:color="auto"/>
            <w:left w:val="none" w:sz="0" w:space="0" w:color="auto"/>
            <w:bottom w:val="none" w:sz="0" w:space="0" w:color="auto"/>
            <w:right w:val="none" w:sz="0" w:space="0" w:color="auto"/>
          </w:divBdr>
        </w:div>
        <w:div w:id="1239636205">
          <w:marLeft w:val="0"/>
          <w:marRight w:val="0"/>
          <w:marTop w:val="0"/>
          <w:marBottom w:val="0"/>
          <w:divBdr>
            <w:top w:val="none" w:sz="0" w:space="0" w:color="auto"/>
            <w:left w:val="none" w:sz="0" w:space="0" w:color="auto"/>
            <w:bottom w:val="none" w:sz="0" w:space="0" w:color="auto"/>
            <w:right w:val="none" w:sz="0" w:space="0" w:color="auto"/>
          </w:divBdr>
        </w:div>
      </w:divsChild>
    </w:div>
    <w:div w:id="887766706">
      <w:bodyDiv w:val="1"/>
      <w:marLeft w:val="0"/>
      <w:marRight w:val="0"/>
      <w:marTop w:val="0"/>
      <w:marBottom w:val="0"/>
      <w:divBdr>
        <w:top w:val="none" w:sz="0" w:space="0" w:color="auto"/>
        <w:left w:val="none" w:sz="0" w:space="0" w:color="auto"/>
        <w:bottom w:val="none" w:sz="0" w:space="0" w:color="auto"/>
        <w:right w:val="none" w:sz="0" w:space="0" w:color="auto"/>
      </w:divBdr>
    </w:div>
    <w:div w:id="104707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Hayrapetyan</dc:creator>
  <cp:keywords>https:/mul2-mss.gov.am/tasks/588684/oneclick/Ampopatert 24.02.2022 (3)G.docx?token=d88357f32cc1ff91f48647dc8aa6b32f</cp:keywords>
  <cp:lastModifiedBy>Gohar.Hayrapetyan</cp:lastModifiedBy>
  <cp:revision>5</cp:revision>
  <dcterms:created xsi:type="dcterms:W3CDTF">2022-03-14T07:03:00Z</dcterms:created>
  <dcterms:modified xsi:type="dcterms:W3CDTF">2022-03-16T08:11:00Z</dcterms:modified>
</cp:coreProperties>
</file>