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2C" w:rsidRDefault="005F3C2C" w:rsidP="005F3C2C">
      <w:pPr>
        <w:pStyle w:val="ListParagraph"/>
        <w:tabs>
          <w:tab w:val="left" w:pos="630"/>
          <w:tab w:val="left" w:pos="851"/>
          <w:tab w:val="left" w:pos="993"/>
        </w:tabs>
        <w:spacing w:after="0" w:line="360" w:lineRule="auto"/>
        <w:ind w:left="0" w:right="18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ՀԻՄՆԱՎՈՐՈՒՄ</w:t>
      </w:r>
    </w:p>
    <w:p w:rsidR="005F3C2C" w:rsidRDefault="005F3C2C" w:rsidP="005F3C2C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«ՀԱՅԱՍՏԱՆԻ ՀԱՆՐԱՊԵՏՈՒԹՅԱՆ ԿԱՌԱՎԱՐՈՒԹՅԱՆ ՄԻ ՇԱՐՔ ՈՐՈՇՈՒՄՆԵՐՈՒՄ ՓՈՓՈԽՈՒԹՅՈՒՆՆԵՐ ԿԱՏԱՐԵԼՈՒ ՄԱՍԻՆ» ԿԱՌԱՎԱՐՈՒԹՅԱՆ ՈՐՈՇՄԱՆ ԸՆԴՈՒՆՄԱՆ ԱՆՀՐԱԺԵՇՏՈՒԹՅԱՆ</w:t>
      </w:r>
    </w:p>
    <w:p w:rsidR="005F3C2C" w:rsidRDefault="005F3C2C" w:rsidP="005F3C2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color w:val="000000"/>
          <w:lang w:val="hy-AM"/>
        </w:rPr>
      </w:pPr>
    </w:p>
    <w:p w:rsidR="005F3C2C" w:rsidRDefault="005F3C2C" w:rsidP="005F3C2C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 w:cs="GHEA Grapalat"/>
          <w:b/>
          <w:sz w:val="24"/>
          <w:szCs w:val="24"/>
          <w:bdr w:val="none" w:sz="0" w:space="0" w:color="auto" w:frame="1"/>
          <w:lang w:val="hy-AM"/>
        </w:rPr>
        <w:t>Ընթացիկ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իրավիճակը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և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իրավական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ակտի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ընդունման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անհրաժեշտությունը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hy-AM"/>
        </w:rPr>
        <w:t>․</w:t>
      </w:r>
    </w:p>
    <w:p w:rsidR="005F3C2C" w:rsidRDefault="005F3C2C" w:rsidP="005F3C2C">
      <w:pPr>
        <w:tabs>
          <w:tab w:val="left" w:pos="1418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 թվականի մայիսի 31-ին ուժի մեջ է մտել «Տնտեսական մրցակցության պաշտպանության մասին» օրենքում փոփոխություններ կատարելու մասին» ՀՕ-92-Ն օրենքը (այսուհետ նաև՝ Օրենք), որով Օրենքն ամբողջապես շարադրվել է նոր խմբագրությամբ։</w:t>
      </w:r>
    </w:p>
    <w:p w:rsidR="005F3C2C" w:rsidRDefault="005F3C2C" w:rsidP="005F3C2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Օրենքի 2-րդ հոդվածի 2-րդ մասի համաձայն՝ Օրենքն ուժի մեջ մտնելու օրվանից Տնտեսական մրցակցության պաշտպանության պետական հանձնաժողովը շարունակում է գործել որպես Մրցակցության պաշտպանության հանձնաժողով (այսուհետ նաև՝ Հանձնաժողով), իսկ Տնտեսական մրցակցության պաշտպանության պետական հանձնաժողովի անդամները պաշտոնավարման մնացած ժամկետը շարունակում են պաշտոնավարել որպես Մրցակցության պաշտպանության հանձնաժողովի անդամներ:</w:t>
      </w:r>
    </w:p>
    <w:p w:rsidR="005F3C2C" w:rsidRDefault="005F3C2C" w:rsidP="005F3C2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Վերոգրյալով պայմանավորված՝ անհրաժեշտություն է առաջացել Կառավարության մի շարք որոշումներում կատարել Հանձնաժողովի անվանափոխություն։</w:t>
      </w:r>
    </w:p>
    <w:p w:rsidR="005F3C2C" w:rsidRDefault="005F3C2C" w:rsidP="005F3C2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5F3C2C" w:rsidRDefault="005F3C2C" w:rsidP="005F3C2C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Առաջարկվող կարգավորման բնույթը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y-AM"/>
        </w:rPr>
        <w:t>․</w:t>
      </w:r>
    </w:p>
    <w:p w:rsidR="005F3C2C" w:rsidRDefault="005F3C2C" w:rsidP="005F3C2C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Կառավարության որոշումներում Հանձնաժողովի անվանման փոփոխության կատարումն է։</w:t>
      </w:r>
    </w:p>
    <w:p w:rsidR="005F3C2C" w:rsidRDefault="005F3C2C" w:rsidP="005F3C2C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5F3C2C" w:rsidRDefault="005F3C2C" w:rsidP="005F3C2C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lastRenderedPageBreak/>
        <w:t>Նախագծի մշակման գործընթացում ներգրավված ինստիտուտները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hy-AM"/>
        </w:rPr>
        <w:t>․</w:t>
      </w:r>
    </w:p>
    <w:p w:rsidR="005F3C2C" w:rsidRDefault="005F3C2C" w:rsidP="005F3C2C">
      <w:p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Մրցակցության պաշտպանության հանձնաժողովի կողմից։</w:t>
      </w:r>
    </w:p>
    <w:p w:rsidR="005F3C2C" w:rsidRDefault="005F3C2C" w:rsidP="005F3C2C">
      <w:p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5F3C2C" w:rsidRDefault="005F3C2C" w:rsidP="005F3C2C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>Ակտի նորմատիվ բնույթի հիմնավորվածությունը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5F3C2C" w:rsidRDefault="005F3C2C" w:rsidP="005F3C2C">
      <w:p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նորմատիվ բնույթի հիմնավորվածությունը բխում է «Նորմատիվ իրավական ակտերի մասին» օրենքի 34-րդ հոդվածի 2-րդ մասի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կարգավորումներից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համաձայն որի՝ նորմատիվ իրավական ակտում փոփոխություն կամ լրացում կարող է կատարվել միայն նույն տեսակի և բնույթի նորմատիվ իրավական ակտով: </w:t>
      </w:r>
    </w:p>
    <w:p w:rsidR="005F3C2C" w:rsidRDefault="005F3C2C" w:rsidP="005F3C2C">
      <w:p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5F3C2C" w:rsidRDefault="005F3C2C" w:rsidP="005F3C2C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Ակնկալվող արդյունքը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hy-AM"/>
        </w:rPr>
        <w:t>․</w:t>
      </w:r>
    </w:p>
    <w:p w:rsidR="005F3C2C" w:rsidRDefault="005F3C2C" w:rsidP="005F3C2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Հանձնաժողովի անվանումը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կհամապատասխանեցվի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գործող անվանմանը։</w:t>
      </w:r>
    </w:p>
    <w:p w:rsidR="005F3C2C" w:rsidRDefault="005F3C2C" w:rsidP="005F3C2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F3C2C" w:rsidRDefault="005F3C2C" w:rsidP="005F3C2C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418"/>
          <w:tab w:val="left" w:pos="1701"/>
          <w:tab w:val="left" w:pos="2127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en-GB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Նախագծի ընդունման կապակցությամբ այլ նորմատիվ իրավական ակտերի ընդունման անհրաժեշտությունը, ինչպես նաև լրացուցիչ ֆինանսական միջոցների անհրաժեշտությունը և պետական բյուջեի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և ծախսերում սպասվելիք փոփոխությունները</w:t>
      </w:r>
      <w:r>
        <w:rPr>
          <w:rFonts w:ascii="Times New Roman" w:eastAsia="GHEA Grapalat" w:hAnsi="Times New Roman" w:cs="Times New Roman"/>
          <w:b/>
          <w:sz w:val="24"/>
          <w:szCs w:val="24"/>
          <w:lang w:val="hy-AM"/>
        </w:rPr>
        <w:t>․</w:t>
      </w:r>
    </w:p>
    <w:p w:rsidR="005F3C2C" w:rsidRDefault="005F3C2C" w:rsidP="005F3C2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ընդունման կապակցությամբ այլ նորմատիվ իրավական ակտեր ընդունել անհրաժեշտ չէ,  ինչպես նաև պետական կամ տեղական ինքնակառավարման մարմնի բյուջեում եկամուտների և ծախսերի էական ավելացում կամ նվազեցում չի նախատեսվում:</w:t>
      </w:r>
    </w:p>
    <w:p w:rsidR="005F3C2C" w:rsidRDefault="005F3C2C" w:rsidP="005F3C2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5F3C2C" w:rsidRDefault="005F3C2C" w:rsidP="005F3C2C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ռազմավարություններ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y-AM"/>
        </w:rPr>
        <w:t>․</w:t>
      </w:r>
    </w:p>
    <w:p w:rsidR="005F3C2C" w:rsidRDefault="005F3C2C" w:rsidP="005F3C2C">
      <w:pPr>
        <w:pStyle w:val="ListParagraph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Նախագիծը չի բխում ռազմավարական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փաստաթղթերից՝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ռազմավարություններ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F4EFA" w:rsidRPr="005F3C2C" w:rsidRDefault="001F4EFA">
      <w:pPr>
        <w:rPr>
          <w:lang w:val="hy-AM"/>
        </w:rPr>
      </w:pPr>
    </w:p>
    <w:sectPr w:rsidR="001F4EFA" w:rsidRPr="005F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160E"/>
    <w:multiLevelType w:val="hybridMultilevel"/>
    <w:tmpl w:val="3CB8E7A2"/>
    <w:lvl w:ilvl="0" w:tplc="649AC39E">
      <w:start w:val="1"/>
      <w:numFmt w:val="decimal"/>
      <w:lvlText w:val="%1."/>
      <w:lvlJc w:val="left"/>
      <w:pPr>
        <w:ind w:left="987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39"/>
    <w:rsid w:val="001F4EFA"/>
    <w:rsid w:val="005F3C2C"/>
    <w:rsid w:val="00FC14C8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06900-FF48-4CFE-B934-8381890B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2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F3C2C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5F3C2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Aslanyan</dc:creator>
  <cp:keywords/>
  <dc:description/>
  <cp:lastModifiedBy>Anjela Aslanyan</cp:lastModifiedBy>
  <cp:revision>3</cp:revision>
  <dcterms:created xsi:type="dcterms:W3CDTF">2022-03-15T12:45:00Z</dcterms:created>
  <dcterms:modified xsi:type="dcterms:W3CDTF">2022-03-15T12:47:00Z</dcterms:modified>
</cp:coreProperties>
</file>