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83" w:rsidRPr="002517BB" w:rsidRDefault="00AC7883" w:rsidP="002517BB">
      <w:pPr>
        <w:shd w:val="clear" w:color="auto" w:fill="FFFFFF"/>
        <w:spacing w:line="240" w:lineRule="auto"/>
        <w:ind w:firstLine="567"/>
        <w:jc w:val="center"/>
        <w:rPr>
          <w:rStyle w:val="a4"/>
          <w:rFonts w:ascii="GHEA Grapalat" w:eastAsia="Times New Roman" w:hAnsi="GHEA Grapalat" w:cs="Sylfaen"/>
          <w:sz w:val="24"/>
          <w:szCs w:val="24"/>
          <w:lang w:val="hy-AM" w:eastAsia="ru-RU"/>
        </w:rPr>
      </w:pPr>
      <w:bookmarkStart w:id="0" w:name="_GoBack"/>
      <w:bookmarkEnd w:id="0"/>
      <w:r w:rsidRPr="002517BB">
        <w:rPr>
          <w:rStyle w:val="a4"/>
          <w:rFonts w:ascii="GHEA Grapalat" w:eastAsia="Times New Roman" w:hAnsi="GHEA Grapalat" w:cs="Arial"/>
          <w:sz w:val="24"/>
          <w:szCs w:val="24"/>
          <w:lang w:val="hy-AM" w:eastAsia="ru-RU"/>
        </w:rPr>
        <w:t>ԱՄՓՈՓԱԹԵՐԹ</w:t>
      </w:r>
    </w:p>
    <w:p w:rsidR="0095260D" w:rsidRPr="002517BB" w:rsidRDefault="003B3E4F" w:rsidP="002517BB">
      <w:pPr>
        <w:spacing w:after="0" w:line="240" w:lineRule="auto"/>
        <w:ind w:firstLine="313"/>
        <w:jc w:val="center"/>
        <w:rPr>
          <w:rFonts w:ascii="GHEA Grapalat" w:hAnsi="GHEA Grapalat" w:cs="Arial Unicode"/>
          <w:b/>
          <w:bCs/>
          <w:color w:val="000000"/>
          <w:sz w:val="24"/>
          <w:szCs w:val="24"/>
          <w:lang w:val="hy-AM"/>
        </w:rPr>
      </w:pPr>
      <w:r w:rsidRPr="002517BB">
        <w:rPr>
          <w:rFonts w:ascii="GHEA Grapalat" w:hAnsi="GHEA Grapalat"/>
          <w:b/>
          <w:bCs/>
          <w:color w:val="000000"/>
          <w:sz w:val="24"/>
          <w:szCs w:val="24"/>
          <w:lang w:val="hy-AM"/>
        </w:rPr>
        <w:t>«</w:t>
      </w:r>
      <w:r w:rsidR="009239AD" w:rsidRPr="002517BB">
        <w:rPr>
          <w:rFonts w:ascii="GHEA Grapalat" w:hAnsi="GHEA Grapalat"/>
          <w:b/>
          <w:bCs/>
          <w:color w:val="000000"/>
          <w:sz w:val="24"/>
          <w:szCs w:val="24"/>
          <w:lang w:val="hy-AM"/>
        </w:rPr>
        <w:t>ՀԱՅԱՍՏԱՆԻ ՀԱՆՐԱՊԵՏՈՒԹՅԱՆ ԿԱՌԱՎԱՐՈՒԹՅԱՆ 2021 ԹՎԱԿԱՆԻ ՀՈԿՏԵՄԲԵՐԻ 18-Ի N 1709-Լ ՈՐՈՇՄԱՆ ՄԵՋ</w:t>
      </w:r>
      <w:r w:rsidR="00BC6035" w:rsidRPr="002517BB">
        <w:rPr>
          <w:rFonts w:ascii="GHEA Grapalat" w:hAnsi="GHEA Grapalat"/>
          <w:b/>
          <w:bCs/>
          <w:color w:val="000000"/>
          <w:sz w:val="24"/>
          <w:szCs w:val="24"/>
          <w:lang w:val="hy-AM"/>
        </w:rPr>
        <w:t xml:space="preserve"> </w:t>
      </w:r>
      <w:r w:rsidR="009239AD" w:rsidRPr="002517BB">
        <w:rPr>
          <w:rFonts w:ascii="GHEA Grapalat" w:hAnsi="GHEA Grapalat"/>
          <w:b/>
          <w:bCs/>
          <w:color w:val="000000"/>
          <w:sz w:val="24"/>
          <w:szCs w:val="24"/>
          <w:lang w:val="hy-AM"/>
        </w:rPr>
        <w:t>ՓՈՓՈԽՈՒԹՅՈՒՆ</w:t>
      </w:r>
      <w:r w:rsidR="005119D4" w:rsidRPr="002517BB">
        <w:rPr>
          <w:rFonts w:ascii="GHEA Grapalat" w:hAnsi="GHEA Grapalat"/>
          <w:b/>
          <w:bCs/>
          <w:color w:val="000000"/>
          <w:sz w:val="24"/>
          <w:szCs w:val="24"/>
          <w:lang w:val="hy-AM"/>
        </w:rPr>
        <w:t xml:space="preserve"> ԵՎ</w:t>
      </w:r>
      <w:r w:rsidR="009239AD" w:rsidRPr="002517BB">
        <w:rPr>
          <w:rFonts w:ascii="GHEA Grapalat" w:hAnsi="GHEA Grapalat"/>
          <w:b/>
          <w:bCs/>
          <w:color w:val="000000"/>
          <w:sz w:val="24"/>
          <w:szCs w:val="24"/>
          <w:lang w:val="hy-AM"/>
        </w:rPr>
        <w:t xml:space="preserve"> </w:t>
      </w:r>
      <w:r w:rsidR="005119D4" w:rsidRPr="002517BB">
        <w:rPr>
          <w:rFonts w:ascii="GHEA Grapalat" w:hAnsi="GHEA Grapalat"/>
          <w:b/>
          <w:bCs/>
          <w:color w:val="000000"/>
          <w:sz w:val="24"/>
          <w:szCs w:val="24"/>
          <w:lang w:val="hy-AM"/>
        </w:rPr>
        <w:t xml:space="preserve">ԼՐԱՑՈՒՄՆԵՐ </w:t>
      </w:r>
      <w:r w:rsidR="009239AD" w:rsidRPr="002517BB">
        <w:rPr>
          <w:rFonts w:ascii="GHEA Grapalat" w:hAnsi="GHEA Grapalat"/>
          <w:b/>
          <w:bCs/>
          <w:color w:val="000000"/>
          <w:sz w:val="24"/>
          <w:szCs w:val="24"/>
          <w:lang w:val="hy-AM"/>
        </w:rPr>
        <w:t>ԿԱՏԱՐԵԼՈՒ ՄԱՍԻՆ</w:t>
      </w:r>
      <w:r w:rsidRPr="002517BB">
        <w:rPr>
          <w:rFonts w:ascii="GHEA Grapalat" w:hAnsi="GHEA Grapalat" w:cs="Arial Unicode"/>
          <w:b/>
          <w:bCs/>
          <w:color w:val="000000"/>
          <w:sz w:val="24"/>
          <w:szCs w:val="24"/>
          <w:lang w:val="hy-AM"/>
        </w:rPr>
        <w:t>»</w:t>
      </w:r>
      <w:r w:rsidR="003571C1" w:rsidRPr="002517BB">
        <w:rPr>
          <w:rFonts w:ascii="GHEA Grapalat" w:hAnsi="GHEA Grapalat" w:cs="Arial Unicode"/>
          <w:b/>
          <w:bCs/>
          <w:color w:val="000000"/>
          <w:sz w:val="24"/>
          <w:szCs w:val="24"/>
          <w:lang w:val="hy-AM"/>
        </w:rPr>
        <w:t xml:space="preserve"> </w:t>
      </w:r>
    </w:p>
    <w:p w:rsidR="009239AD" w:rsidRPr="002517BB" w:rsidRDefault="009239AD" w:rsidP="002517BB">
      <w:pPr>
        <w:spacing w:after="0" w:line="240" w:lineRule="auto"/>
        <w:ind w:firstLine="313"/>
        <w:jc w:val="center"/>
        <w:rPr>
          <w:rFonts w:ascii="GHEA Grapalat" w:hAnsi="GHEA Grapalat" w:cs="Arial Unicode"/>
          <w:b/>
          <w:bCs/>
          <w:color w:val="000000"/>
          <w:sz w:val="24"/>
          <w:szCs w:val="24"/>
          <w:lang w:val="hy-AM"/>
        </w:rPr>
      </w:pPr>
    </w:p>
    <w:p w:rsidR="008943E6" w:rsidRPr="002517BB" w:rsidRDefault="008943E6" w:rsidP="002517BB">
      <w:pPr>
        <w:spacing w:after="0" w:line="240" w:lineRule="auto"/>
        <w:ind w:firstLine="313"/>
        <w:jc w:val="center"/>
        <w:rPr>
          <w:rFonts w:ascii="GHEA Grapalat" w:hAnsi="GHEA Grapalat" w:cs="Arial Unicode"/>
          <w:b/>
          <w:bCs/>
          <w:color w:val="000000"/>
          <w:sz w:val="24"/>
          <w:szCs w:val="24"/>
          <w:lang w:val="hy-AM"/>
        </w:rPr>
      </w:pPr>
    </w:p>
    <w:tbl>
      <w:tblPr>
        <w:tblStyle w:val="a3"/>
        <w:tblW w:w="14197" w:type="dxa"/>
        <w:jc w:val="center"/>
        <w:tblLook w:val="04A0" w:firstRow="1" w:lastRow="0" w:firstColumn="1" w:lastColumn="0" w:noHBand="0" w:noVBand="1"/>
      </w:tblPr>
      <w:tblGrid>
        <w:gridCol w:w="9256"/>
        <w:gridCol w:w="1257"/>
        <w:gridCol w:w="3684"/>
      </w:tblGrid>
      <w:tr w:rsidR="00934E1E" w:rsidRPr="002517BB" w:rsidTr="005F4A1B">
        <w:trPr>
          <w:jc w:val="center"/>
        </w:trPr>
        <w:tc>
          <w:tcPr>
            <w:tcW w:w="10513" w:type="dxa"/>
            <w:gridSpan w:val="2"/>
          </w:tcPr>
          <w:p w:rsidR="00934E1E" w:rsidRPr="002517BB" w:rsidRDefault="00934E1E" w:rsidP="002517BB">
            <w:pPr>
              <w:pStyle w:val="a5"/>
              <w:numPr>
                <w:ilvl w:val="0"/>
                <w:numId w:val="2"/>
              </w:numPr>
              <w:jc w:val="center"/>
              <w:rPr>
                <w:rFonts w:ascii="GHEA Grapalat" w:hAnsi="GHEA Grapalat"/>
                <w:b/>
                <w:sz w:val="24"/>
                <w:szCs w:val="24"/>
              </w:rPr>
            </w:pPr>
            <w:r w:rsidRPr="002517BB">
              <w:rPr>
                <w:rFonts w:ascii="GHEA Grapalat" w:hAnsi="GHEA Grapalat"/>
                <w:b/>
                <w:sz w:val="24"/>
                <w:szCs w:val="24"/>
              </w:rPr>
              <w:t xml:space="preserve">ՀՀ </w:t>
            </w:r>
            <w:r w:rsidR="006850C6" w:rsidRPr="002517BB">
              <w:rPr>
                <w:rFonts w:ascii="GHEA Grapalat" w:hAnsi="GHEA Grapalat"/>
                <w:b/>
                <w:sz w:val="24"/>
                <w:szCs w:val="24"/>
              </w:rPr>
              <w:t>Արդարադատության նախարարություն</w:t>
            </w:r>
          </w:p>
        </w:tc>
        <w:tc>
          <w:tcPr>
            <w:tcW w:w="3684" w:type="dxa"/>
          </w:tcPr>
          <w:p w:rsidR="00934E1E" w:rsidRPr="002517BB" w:rsidRDefault="006850C6" w:rsidP="002517BB">
            <w:pPr>
              <w:rPr>
                <w:rFonts w:ascii="GHEA Grapalat" w:hAnsi="GHEA Grapalat"/>
                <w:sz w:val="24"/>
                <w:szCs w:val="24"/>
              </w:rPr>
            </w:pPr>
            <w:r w:rsidRPr="002517BB">
              <w:rPr>
                <w:rFonts w:ascii="GHEA Grapalat" w:hAnsi="GHEA Grapalat"/>
                <w:sz w:val="24"/>
                <w:szCs w:val="24"/>
                <w:lang w:val="hy-AM"/>
              </w:rPr>
              <w:t>0</w:t>
            </w:r>
            <w:r w:rsidR="002517BB" w:rsidRPr="002517BB">
              <w:rPr>
                <w:rFonts w:ascii="GHEA Grapalat" w:hAnsi="GHEA Grapalat"/>
                <w:sz w:val="24"/>
                <w:szCs w:val="24"/>
                <w:lang w:val="hy-AM"/>
              </w:rPr>
              <w:t>9</w:t>
            </w:r>
            <w:r w:rsidRPr="002517BB">
              <w:rPr>
                <w:rFonts w:ascii="GHEA Grapalat" w:hAnsi="GHEA Grapalat"/>
                <w:sz w:val="24"/>
                <w:szCs w:val="24"/>
                <w:lang w:val="hy-AM"/>
              </w:rPr>
              <w:t>.03.2</w:t>
            </w:r>
            <w:r w:rsidR="00934E1E" w:rsidRPr="002517BB">
              <w:rPr>
                <w:rFonts w:ascii="GHEA Grapalat" w:hAnsi="GHEA Grapalat"/>
                <w:sz w:val="24"/>
                <w:szCs w:val="24"/>
              </w:rPr>
              <w:t>022</w:t>
            </w:r>
          </w:p>
          <w:p w:rsidR="00934E1E" w:rsidRPr="002517BB" w:rsidRDefault="00934E1E" w:rsidP="002517BB">
            <w:pPr>
              <w:jc w:val="both"/>
              <w:rPr>
                <w:rFonts w:ascii="GHEA Grapalat" w:hAnsi="GHEA Grapalat"/>
                <w:sz w:val="24"/>
                <w:szCs w:val="24"/>
              </w:rPr>
            </w:pPr>
            <w:r w:rsidRPr="002517BB">
              <w:rPr>
                <w:rFonts w:ascii="GHEA Grapalat" w:hAnsi="GHEA Grapalat"/>
                <w:sz w:val="24"/>
                <w:szCs w:val="24"/>
              </w:rPr>
              <w:t xml:space="preserve">N </w:t>
            </w:r>
            <w:r w:rsidR="002517BB" w:rsidRPr="002517BB">
              <w:rPr>
                <w:rFonts w:ascii="GHEA Grapalat" w:hAnsi="GHEA Grapalat"/>
                <w:color w:val="000000"/>
                <w:sz w:val="24"/>
                <w:szCs w:val="24"/>
                <w:shd w:val="clear" w:color="auto" w:fill="FFFFFF"/>
              </w:rPr>
              <w:t>01/27.2/9772-2022</w:t>
            </w:r>
          </w:p>
        </w:tc>
      </w:tr>
      <w:tr w:rsidR="00934E1E" w:rsidRPr="0072784E" w:rsidTr="005F4A1B">
        <w:trPr>
          <w:jc w:val="center"/>
        </w:trPr>
        <w:tc>
          <w:tcPr>
            <w:tcW w:w="9256" w:type="dxa"/>
          </w:tcPr>
          <w:p w:rsidR="002517BB" w:rsidRPr="002517BB" w:rsidRDefault="002517BB" w:rsidP="002517BB">
            <w:pPr>
              <w:ind w:firstLine="720"/>
              <w:jc w:val="both"/>
              <w:rPr>
                <w:rFonts w:ascii="GHEA Grapalat" w:eastAsia="Calibri" w:hAnsi="GHEA Grapalat" w:cs="GHEA Grapalat"/>
                <w:sz w:val="24"/>
                <w:szCs w:val="24"/>
                <w:lang w:val="hy-AM"/>
              </w:rPr>
            </w:pPr>
            <w:bookmarkStart w:id="1" w:name="_Hlk97549491"/>
            <w:r w:rsidRPr="002517BB">
              <w:rPr>
                <w:rFonts w:ascii="GHEA Grapalat" w:eastAsia="Calibri" w:hAnsi="GHEA Grapalat" w:cs="GHEA Grapalat"/>
                <w:sz w:val="24"/>
                <w:szCs w:val="24"/>
                <w:lang w:val="hy-AM"/>
              </w:rPr>
              <w:t>«</w:t>
            </w:r>
            <w:bookmarkEnd w:id="1"/>
            <w:r w:rsidRPr="002517BB">
              <w:rPr>
                <w:rFonts w:ascii="GHEA Grapalat" w:eastAsia="Calibri" w:hAnsi="GHEA Grapalat" w:cs="GHEA Grapalat"/>
                <w:sz w:val="24"/>
                <w:szCs w:val="24"/>
                <w:lang w:val="hy-AM"/>
              </w:rPr>
              <w:t>Հայաստանի Հանրապետության կառավարության 2021 թվականի հոկտեմբերի 18-ի N 1709-Լ որոշման մեջ փոփոխություններ և լրացումներ կատարելու մասին» Հայաստանի Հանրապետության կառավարության որոշման նախագծի (այսուհետ նաև՝ Նախագիծ) 1-ին կետի 1-ին ենթակետով առաջարկվում է Հայաստանի Հանրապետության կառավարության 2021 թվականի հոկտեմբերի 18-ի N 1709-Լ որոշման (այսուհետ նաև՝ Որոշում) 8-րդ կետից հետո լրացնել նոր 9-րդ կետ՝ առաջարկելով Արցախի Հանրապետության կառավարությանը նույն միջոցառման շրջանակներում Արցախի Հանրապետության 2022 թվականի պետական բյուջեի միջոցների հաշվին 2022 թվականի հունվար և փետրվար ամիսների համար վճարել այն շահառուների դրամական օգնության գումարները, որոնց այդ ամիսների համար չի վճարելու ֆինանսավորողը։</w:t>
            </w:r>
          </w:p>
          <w:p w:rsidR="002517BB" w:rsidRPr="002517BB" w:rsidRDefault="002517BB" w:rsidP="002517BB">
            <w:pPr>
              <w:ind w:firstLine="720"/>
              <w:jc w:val="both"/>
              <w:rPr>
                <w:rFonts w:ascii="GHEA Grapalat" w:eastAsia="Calibri" w:hAnsi="GHEA Grapalat" w:cs="GHEA Grapalat"/>
                <w:sz w:val="24"/>
                <w:szCs w:val="24"/>
                <w:lang w:val="hy-AM"/>
              </w:rPr>
            </w:pPr>
            <w:r w:rsidRPr="002517BB">
              <w:rPr>
                <w:rFonts w:ascii="GHEA Grapalat" w:eastAsia="Calibri" w:hAnsi="GHEA Grapalat" w:cs="GHEA Grapalat"/>
                <w:sz w:val="24"/>
                <w:szCs w:val="24"/>
                <w:lang w:val="hy-AM"/>
              </w:rPr>
              <w:t>Այս առումով հարկ ենք համարում անդրադառնալ Հայաստանի Հանրապետության կառավարության 2021 թվականի հոկտեմբերի 18-ի N 1709-Լ որոշման 8-րդ կետի 2-րդ ենթակետում ամրագրված կարգավորմանը, որով նախատեսվում է նույն որոշման 7-րդ կետով նախատեսված դրամական օգնության գումարները վճարելու հետ կապված գործողություններ իրականացնելու նպատակով Հայաստանի Հանրապետության աշխատանքի և սոցիալական հարցերի նախարարության միասնական սոցիալական ծառայությանը թույլատրել՝</w:t>
            </w:r>
          </w:p>
          <w:p w:rsidR="002517BB" w:rsidRPr="002517BB" w:rsidRDefault="002517BB" w:rsidP="002517BB">
            <w:pPr>
              <w:ind w:firstLine="720"/>
              <w:jc w:val="both"/>
              <w:rPr>
                <w:rFonts w:ascii="GHEA Grapalat" w:eastAsia="Calibri" w:hAnsi="GHEA Grapalat" w:cs="GHEA Grapalat"/>
                <w:i/>
                <w:iCs/>
                <w:sz w:val="24"/>
                <w:szCs w:val="24"/>
                <w:lang w:val="hy-AM"/>
              </w:rPr>
            </w:pPr>
            <w:r w:rsidRPr="002517BB">
              <w:rPr>
                <w:rFonts w:ascii="GHEA Grapalat" w:eastAsia="Calibri" w:hAnsi="GHEA Grapalat" w:cs="GHEA Grapalat"/>
                <w:i/>
                <w:iCs/>
                <w:sz w:val="24"/>
                <w:szCs w:val="24"/>
                <w:lang w:val="hy-AM"/>
              </w:rPr>
              <w:t xml:space="preserve">1) ֆինանսավորողի և (կամ) իր նախընտրած բանկի հետ, Հայաստանի Հանրապետության աշխատանքի և սոցիալական հարցերի նախարարության դրական եզրակացության առկայության դեպքում, կնքել համապատասխան </w:t>
            </w:r>
            <w:r w:rsidRPr="002517BB">
              <w:rPr>
                <w:rFonts w:ascii="GHEA Grapalat" w:eastAsia="Calibri" w:hAnsi="GHEA Grapalat" w:cs="GHEA Grapalat"/>
                <w:i/>
                <w:iCs/>
                <w:sz w:val="24"/>
                <w:szCs w:val="24"/>
                <w:lang w:val="hy-AM"/>
              </w:rPr>
              <w:lastRenderedPageBreak/>
              <w:t>պայմանագիր՝ անձնական տվյալների գաղտնիությունը երաշխավորող պայմանների ընդգրկմամբ</w:t>
            </w:r>
            <w:r w:rsidRPr="002517BB">
              <w:rPr>
                <w:rFonts w:ascii="Cambria Math" w:eastAsia="Calibri" w:hAnsi="Cambria Math" w:cs="Cambria Math"/>
                <w:i/>
                <w:iCs/>
                <w:sz w:val="24"/>
                <w:szCs w:val="24"/>
                <w:lang w:val="hy-AM"/>
              </w:rPr>
              <w:t>․</w:t>
            </w:r>
          </w:p>
          <w:p w:rsidR="002517BB" w:rsidRPr="002517BB" w:rsidRDefault="002517BB" w:rsidP="002517BB">
            <w:pPr>
              <w:ind w:firstLine="720"/>
              <w:jc w:val="both"/>
              <w:rPr>
                <w:rFonts w:ascii="GHEA Grapalat" w:eastAsia="Calibri" w:hAnsi="GHEA Grapalat" w:cs="GHEA Grapalat"/>
                <w:i/>
                <w:iCs/>
                <w:sz w:val="24"/>
                <w:szCs w:val="24"/>
                <w:lang w:val="hy-AM"/>
              </w:rPr>
            </w:pPr>
            <w:r w:rsidRPr="002517BB">
              <w:rPr>
                <w:rFonts w:ascii="GHEA Grapalat" w:eastAsia="Calibri" w:hAnsi="GHEA Grapalat" w:cs="GHEA Grapalat"/>
                <w:i/>
                <w:iCs/>
                <w:sz w:val="24"/>
                <w:szCs w:val="24"/>
                <w:lang w:val="hy-AM"/>
              </w:rPr>
              <w:t xml:space="preserve">2) ֆինանսավորողին և (կամ) իր նախընտրած բանկին տրամադրել շահառուների էլեկտրոնային վճարման ցուցակներ՝ պայմանագրով սահմանված կարգով։ Ընդ որում, պայմանագրով սահմանված պայմաններով շահառուին դրամական աջակցությունը վճարվում է նույն որոշմամբ սահմանված այլ ֆինանսական միջոցներից, իսկ դրանց բացակայության կամ անբավարարության </w:t>
            </w:r>
            <w:bookmarkStart w:id="2" w:name="_Hlk97545776"/>
            <w:r w:rsidRPr="002517BB">
              <w:rPr>
                <w:rFonts w:ascii="GHEA Grapalat" w:eastAsia="Calibri" w:hAnsi="GHEA Grapalat" w:cs="GHEA Grapalat"/>
                <w:i/>
                <w:iCs/>
                <w:sz w:val="24"/>
                <w:szCs w:val="24"/>
                <w:lang w:val="hy-AM"/>
              </w:rPr>
              <w:t>(մասնակի վճարման) դեպքում՝</w:t>
            </w:r>
            <w:bookmarkEnd w:id="2"/>
            <w:r w:rsidRPr="002517BB">
              <w:rPr>
                <w:rFonts w:ascii="GHEA Grapalat" w:eastAsia="Calibri" w:hAnsi="GHEA Grapalat" w:cs="GHEA Grapalat"/>
                <w:i/>
                <w:iCs/>
                <w:sz w:val="24"/>
                <w:szCs w:val="24"/>
                <w:lang w:val="hy-AM"/>
              </w:rPr>
              <w:t xml:space="preserve"> Հայաստանի Հանրապետության կառավարության որոշմամբ հաստատված պետական բյուջեի միջոցների հաշվին։</w:t>
            </w:r>
          </w:p>
          <w:p w:rsidR="002517BB" w:rsidRPr="002517BB" w:rsidRDefault="002517BB" w:rsidP="002517BB">
            <w:pPr>
              <w:ind w:firstLine="720"/>
              <w:jc w:val="both"/>
              <w:rPr>
                <w:rFonts w:ascii="GHEA Grapalat" w:eastAsia="Calibri" w:hAnsi="GHEA Grapalat" w:cs="GHEA Grapalat"/>
                <w:sz w:val="24"/>
                <w:szCs w:val="24"/>
                <w:lang w:val="hy-AM"/>
              </w:rPr>
            </w:pPr>
            <w:r w:rsidRPr="002517BB">
              <w:rPr>
                <w:rFonts w:ascii="GHEA Grapalat" w:eastAsia="Calibri" w:hAnsi="GHEA Grapalat" w:cs="GHEA Grapalat"/>
                <w:sz w:val="24"/>
                <w:szCs w:val="24"/>
                <w:lang w:val="hy-AM"/>
              </w:rPr>
              <w:t xml:space="preserve">Վերոգրյալ կարգավորումից պարզ է դառնում, որ </w:t>
            </w:r>
            <w:r w:rsidRPr="002517BB">
              <w:rPr>
                <w:rFonts w:ascii="GHEA Grapalat" w:eastAsia="Calibri" w:hAnsi="GHEA Grapalat" w:cs="GHEA Grapalat"/>
                <w:i/>
                <w:iCs/>
                <w:sz w:val="24"/>
                <w:szCs w:val="24"/>
                <w:lang w:val="hy-AM"/>
              </w:rPr>
              <w:t>այլ ֆինանսական միջոցների բացակայության կամ անբավարարության դեպքում՝ շահառուին դրամական աջակցությունը պետք է վճարվի Հայաստանի Հանրապետության պետական բյուջեի միջոցների հաշվին</w:t>
            </w:r>
            <w:r w:rsidRPr="002517BB">
              <w:rPr>
                <w:rFonts w:ascii="GHEA Grapalat" w:eastAsia="Calibri" w:hAnsi="GHEA Grapalat" w:cs="GHEA Grapalat"/>
                <w:sz w:val="24"/>
                <w:szCs w:val="24"/>
                <w:lang w:val="hy-AM"/>
              </w:rPr>
              <w:t>, մինչդեռ, տվյալ պարագայում Նախագծով առաջարկվում է որոշման մեջ լրացնել նոր կետ, հնարավորություն տալով դրամական աջակցությունը վճարել նաև Արցախի Հանրապետության 2022 թվականի պետական բյուջեի միջոցների հաշվին:</w:t>
            </w:r>
          </w:p>
          <w:p w:rsidR="00934E1E" w:rsidRPr="002517BB" w:rsidRDefault="002517BB" w:rsidP="002517BB">
            <w:pPr>
              <w:ind w:firstLine="720"/>
              <w:jc w:val="both"/>
              <w:rPr>
                <w:rFonts w:ascii="GHEA Grapalat" w:eastAsia="Calibri" w:hAnsi="GHEA Grapalat" w:cs="GHEA Grapalat"/>
                <w:sz w:val="24"/>
                <w:szCs w:val="24"/>
                <w:lang w:val="hy-AM"/>
              </w:rPr>
            </w:pPr>
            <w:r w:rsidRPr="002517BB">
              <w:rPr>
                <w:rFonts w:ascii="GHEA Grapalat" w:eastAsia="Calibri" w:hAnsi="GHEA Grapalat" w:cs="GHEA Grapalat"/>
                <w:sz w:val="24"/>
                <w:szCs w:val="24"/>
                <w:lang w:val="hy-AM"/>
              </w:rPr>
              <w:t>Այս առումով, նկատի ունենալով վերոգրյալը՝ հարկ ենք համարում նշել, որ Նախագծով առաջարկվող կարգավորումներն անհրաժեշտ է դիտարկել Հայաստանի Հանրապետության կառավարության 2021 թվականի հոկտեմբերի 18-ի N 1709-Լ որոշման 8-րդ կետի 2-րդ ենթակետում նախատեսված կարգավորման համատեքստում՝ անհրաժեշտության դեպքում այդ մասով համապատասխան փոփոխություն կատարելով նաև Հայաստանի Հանրապետության կառավարության 2021 թվականի հոկտեմբերի 18-ի N 1709-Լ որոշման կարգավորումներում:</w:t>
            </w:r>
          </w:p>
        </w:tc>
        <w:tc>
          <w:tcPr>
            <w:tcW w:w="4941" w:type="dxa"/>
            <w:gridSpan w:val="2"/>
          </w:tcPr>
          <w:p w:rsidR="00934E1E" w:rsidRPr="007F1C9E" w:rsidRDefault="007F1C9E" w:rsidP="002517BB">
            <w:pPr>
              <w:ind w:firstLine="339"/>
              <w:jc w:val="both"/>
              <w:rPr>
                <w:rFonts w:ascii="GHEA Grapalat" w:hAnsi="GHEA Grapalat"/>
                <w:sz w:val="24"/>
                <w:szCs w:val="24"/>
                <w:lang w:val="hy-AM"/>
              </w:rPr>
            </w:pPr>
            <w:r w:rsidRPr="007F1C9E">
              <w:rPr>
                <w:rFonts w:ascii="GHEA Grapalat" w:hAnsi="GHEA Grapalat"/>
                <w:sz w:val="24"/>
                <w:szCs w:val="24"/>
                <w:lang w:val="hy-AM"/>
              </w:rPr>
              <w:lastRenderedPageBreak/>
              <w:t>Ընդունվել է։</w:t>
            </w:r>
          </w:p>
          <w:p w:rsidR="007F1C9E" w:rsidRPr="007F1C9E" w:rsidRDefault="007F1C9E" w:rsidP="0072784E">
            <w:pPr>
              <w:ind w:firstLine="339"/>
              <w:jc w:val="both"/>
              <w:rPr>
                <w:rFonts w:ascii="GHEA Grapalat" w:hAnsi="GHEA Grapalat"/>
                <w:sz w:val="24"/>
                <w:szCs w:val="24"/>
                <w:lang w:val="hy-AM"/>
              </w:rPr>
            </w:pPr>
            <w:r w:rsidRPr="007F1C9E">
              <w:rPr>
                <w:rFonts w:ascii="GHEA Grapalat" w:hAnsi="GHEA Grapalat"/>
                <w:sz w:val="24"/>
                <w:szCs w:val="24"/>
                <w:lang w:val="hy-AM"/>
              </w:rPr>
              <w:t>Նախագծով լրաց</w:t>
            </w:r>
            <w:r w:rsidR="004442FE">
              <w:rPr>
                <w:rFonts w:ascii="GHEA Grapalat" w:hAnsi="GHEA Grapalat"/>
                <w:sz w:val="24"/>
                <w:szCs w:val="24"/>
                <w:lang w:val="hy-AM"/>
              </w:rPr>
              <w:t>ում է կատարվել</w:t>
            </w:r>
            <w:r w:rsidRPr="007F1C9E">
              <w:rPr>
                <w:rFonts w:ascii="GHEA Grapalat" w:hAnsi="GHEA Grapalat"/>
                <w:sz w:val="24"/>
                <w:szCs w:val="24"/>
                <w:lang w:val="hy-AM"/>
              </w:rPr>
              <w:t xml:space="preserve"> </w:t>
            </w:r>
            <w:r w:rsidRPr="007F1C9E">
              <w:rPr>
                <w:rFonts w:ascii="GHEA Grapalat" w:eastAsia="Calibri" w:hAnsi="GHEA Grapalat" w:cs="GHEA Grapalat"/>
                <w:sz w:val="24"/>
                <w:szCs w:val="24"/>
                <w:lang w:val="hy-AM"/>
              </w:rPr>
              <w:t>ՀՀ կառավարության 2021 թվականի հոկտեմբերի 18-ի N 1709-Լ որոշման 7-րդ կետ</w:t>
            </w:r>
            <w:r w:rsidR="004442FE">
              <w:rPr>
                <w:rFonts w:ascii="GHEA Grapalat" w:eastAsia="Calibri" w:hAnsi="GHEA Grapalat" w:cs="GHEA Grapalat"/>
                <w:sz w:val="24"/>
                <w:szCs w:val="24"/>
                <w:lang w:val="hy-AM"/>
              </w:rPr>
              <w:t>ում՝</w:t>
            </w:r>
            <w:r w:rsidRPr="007F1C9E">
              <w:rPr>
                <w:rFonts w:ascii="GHEA Grapalat" w:eastAsia="Calibri" w:hAnsi="GHEA Grapalat" w:cs="GHEA Grapalat"/>
                <w:sz w:val="24"/>
                <w:szCs w:val="24"/>
                <w:lang w:val="hy-AM"/>
              </w:rPr>
              <w:t xml:space="preserve"> </w:t>
            </w:r>
            <w:r w:rsidR="0072784E">
              <w:rPr>
                <w:rFonts w:ascii="GHEA Grapalat" w:eastAsia="Calibri" w:hAnsi="GHEA Grapalat" w:cs="GHEA Grapalat"/>
                <w:sz w:val="24"/>
                <w:szCs w:val="24"/>
                <w:lang w:val="hy-AM"/>
              </w:rPr>
              <w:t xml:space="preserve">նախատեսելով, որ </w:t>
            </w:r>
            <w:r w:rsidRPr="007F1C9E">
              <w:rPr>
                <w:rFonts w:ascii="GHEA Grapalat" w:eastAsia="Calibri" w:hAnsi="GHEA Grapalat" w:cs="GHEA Grapalat"/>
                <w:sz w:val="24"/>
                <w:szCs w:val="24"/>
                <w:lang w:val="hy-AM"/>
              </w:rPr>
              <w:t>խնդրո առարկա</w:t>
            </w:r>
            <w:r w:rsidRPr="007F1C9E">
              <w:rPr>
                <w:rFonts w:ascii="GHEA Grapalat" w:eastAsia="Times New Roman" w:hAnsi="GHEA Grapalat" w:cs="Times New Roman"/>
                <w:color w:val="000000"/>
                <w:sz w:val="24"/>
                <w:szCs w:val="24"/>
                <w:lang w:val="hy-AM"/>
              </w:rPr>
              <w:t xml:space="preserve"> միջոցառման շրջանակներում դրամակ</w:t>
            </w:r>
            <w:r w:rsidR="004442FE">
              <w:rPr>
                <w:rFonts w:ascii="GHEA Grapalat" w:eastAsia="Times New Roman" w:hAnsi="GHEA Grapalat" w:cs="Times New Roman"/>
                <w:color w:val="000000"/>
                <w:sz w:val="24"/>
                <w:szCs w:val="24"/>
                <w:lang w:val="hy-AM"/>
              </w:rPr>
              <w:t>ան օգնության գումարների վճարում</w:t>
            </w:r>
            <w:r w:rsidR="0072784E">
              <w:rPr>
                <w:rFonts w:ascii="GHEA Grapalat" w:eastAsia="Times New Roman" w:hAnsi="GHEA Grapalat" w:cs="Times New Roman"/>
                <w:color w:val="000000"/>
                <w:sz w:val="24"/>
                <w:szCs w:val="24"/>
                <w:lang w:val="hy-AM"/>
              </w:rPr>
              <w:t xml:space="preserve">ը կարող է իրականացվել նաև </w:t>
            </w:r>
            <w:r w:rsidRPr="007F1C9E">
              <w:rPr>
                <w:rFonts w:ascii="GHEA Grapalat" w:eastAsia="Times New Roman" w:hAnsi="GHEA Grapalat" w:cs="Times New Roman"/>
                <w:color w:val="000000"/>
                <w:sz w:val="24"/>
                <w:szCs w:val="24"/>
                <w:lang w:val="hy-AM"/>
              </w:rPr>
              <w:t>Արցախի Հանրապետության կողմից։</w:t>
            </w:r>
          </w:p>
        </w:tc>
      </w:tr>
      <w:tr w:rsidR="002517BB" w:rsidRPr="0072784E" w:rsidTr="005F4A1B">
        <w:trPr>
          <w:jc w:val="center"/>
        </w:trPr>
        <w:tc>
          <w:tcPr>
            <w:tcW w:w="9256" w:type="dxa"/>
          </w:tcPr>
          <w:p w:rsidR="002517BB" w:rsidRPr="002517BB" w:rsidRDefault="002517BB" w:rsidP="002517BB">
            <w:pPr>
              <w:ind w:firstLine="720"/>
              <w:jc w:val="both"/>
              <w:rPr>
                <w:rFonts w:ascii="GHEA Grapalat" w:eastAsia="Calibri" w:hAnsi="GHEA Grapalat" w:cs="GHEA Grapalat"/>
                <w:sz w:val="24"/>
                <w:szCs w:val="24"/>
                <w:lang w:val="hy-AM"/>
              </w:rPr>
            </w:pPr>
            <w:r w:rsidRPr="002517BB">
              <w:rPr>
                <w:rFonts w:ascii="GHEA Grapalat" w:eastAsia="Calibri" w:hAnsi="GHEA Grapalat" w:cs="GHEA Grapalat"/>
                <w:sz w:val="24"/>
                <w:szCs w:val="24"/>
                <w:lang w:val="hy-AM"/>
              </w:rPr>
              <w:lastRenderedPageBreak/>
              <w:t>Միևնույն ժամանակ, Նախագծի վերաբերյալ հարկ ենք համարում նշել հետևյալը.</w:t>
            </w:r>
          </w:p>
          <w:p w:rsidR="002517BB" w:rsidRPr="002517BB" w:rsidRDefault="002517BB" w:rsidP="002517BB">
            <w:pPr>
              <w:ind w:firstLine="720"/>
              <w:jc w:val="both"/>
              <w:rPr>
                <w:rFonts w:ascii="GHEA Grapalat" w:eastAsia="Calibri" w:hAnsi="GHEA Grapalat" w:cs="GHEA Grapalat"/>
                <w:sz w:val="24"/>
                <w:szCs w:val="24"/>
                <w:lang w:val="hy-AM"/>
              </w:rPr>
            </w:pPr>
            <w:r w:rsidRPr="002517BB">
              <w:rPr>
                <w:rFonts w:ascii="GHEA Grapalat" w:eastAsia="Calibri" w:hAnsi="GHEA Grapalat" w:cs="GHEA Grapalat"/>
                <w:sz w:val="24"/>
                <w:szCs w:val="24"/>
                <w:lang w:val="hy-AM"/>
              </w:rPr>
              <w:t xml:space="preserve">1. Հիմք ընդունելով «Նորմատիվ իրավական ակտերի մասին» օրենքի 12-րդ հոդվածի 1-ին մասի պահանջները, համաձայն որոնց՝ </w:t>
            </w:r>
            <w:r w:rsidRPr="002517BB">
              <w:rPr>
                <w:rFonts w:ascii="GHEA Grapalat" w:eastAsia="Calibri" w:hAnsi="GHEA Grapalat" w:cs="GHEA Grapalat"/>
                <w:i/>
                <w:iCs/>
                <w:sz w:val="24"/>
                <w:szCs w:val="24"/>
                <w:lang w:val="hy-AM"/>
              </w:rPr>
              <w:t xml:space="preserve">նորմատիվ իրավական ակտը ունենում է վերնագիր, որը համապատասխանում է նորմատիվ իրավական ակտի բովանդակությանը, </w:t>
            </w:r>
            <w:r w:rsidRPr="002517BB">
              <w:rPr>
                <w:rFonts w:ascii="GHEA Grapalat" w:eastAsia="Calibri" w:hAnsi="GHEA Grapalat" w:cs="GHEA Grapalat"/>
                <w:sz w:val="24"/>
                <w:szCs w:val="24"/>
                <w:lang w:val="hy-AM"/>
              </w:rPr>
              <w:t xml:space="preserve">և նկատի ունենալով Նախագծով առաջարկվող կարգավորումները՝ հարկ ենք համարում նշել, որ Նախագծի վերնագրում </w:t>
            </w:r>
            <w:r w:rsidRPr="002517BB">
              <w:rPr>
                <w:rFonts w:ascii="GHEA Grapalat" w:eastAsia="Calibri" w:hAnsi="GHEA Grapalat" w:cs="GHEA Grapalat"/>
                <w:sz w:val="24"/>
                <w:szCs w:val="24"/>
                <w:lang w:val="hy-AM"/>
              </w:rPr>
              <w:lastRenderedPageBreak/>
              <w:t>«փոփոխություններ» բառն անհրաժեշտ է փոխարինել «փոփոխություն» բառով:</w:t>
            </w:r>
          </w:p>
        </w:tc>
        <w:tc>
          <w:tcPr>
            <w:tcW w:w="4941" w:type="dxa"/>
            <w:gridSpan w:val="2"/>
          </w:tcPr>
          <w:p w:rsidR="002517BB" w:rsidRDefault="002517BB" w:rsidP="002517BB">
            <w:pPr>
              <w:ind w:firstLine="339"/>
              <w:jc w:val="both"/>
              <w:rPr>
                <w:rFonts w:ascii="GHEA Grapalat" w:hAnsi="GHEA Grapalat"/>
                <w:sz w:val="24"/>
                <w:szCs w:val="24"/>
                <w:lang w:val="hy-AM"/>
              </w:rPr>
            </w:pPr>
            <w:r>
              <w:rPr>
                <w:rFonts w:ascii="GHEA Grapalat" w:hAnsi="GHEA Grapalat"/>
                <w:sz w:val="24"/>
                <w:szCs w:val="24"/>
                <w:lang w:val="hy-AM"/>
              </w:rPr>
              <w:lastRenderedPageBreak/>
              <w:t>Ընդունվել է։</w:t>
            </w:r>
          </w:p>
          <w:p w:rsidR="00B235A0" w:rsidRPr="002517BB" w:rsidRDefault="00B235A0" w:rsidP="00DC2EEF">
            <w:pPr>
              <w:ind w:firstLine="339"/>
              <w:jc w:val="both"/>
              <w:rPr>
                <w:rFonts w:ascii="GHEA Grapalat" w:hAnsi="GHEA Grapalat"/>
                <w:sz w:val="24"/>
                <w:szCs w:val="24"/>
                <w:lang w:val="hy-AM"/>
              </w:rPr>
            </w:pPr>
            <w:r>
              <w:rPr>
                <w:rFonts w:ascii="GHEA Grapalat" w:hAnsi="GHEA Grapalat"/>
                <w:sz w:val="24"/>
                <w:szCs w:val="24"/>
                <w:lang w:val="hy-AM"/>
              </w:rPr>
              <w:t>Նախագծի վերնագիրը խմբագրվել է</w:t>
            </w:r>
            <w:r w:rsidR="0072784E">
              <w:rPr>
                <w:rFonts w:ascii="GHEA Grapalat" w:hAnsi="GHEA Grapalat"/>
                <w:sz w:val="24"/>
                <w:szCs w:val="24"/>
                <w:lang w:val="hy-AM"/>
              </w:rPr>
              <w:t>՝</w:t>
            </w:r>
            <w:r>
              <w:rPr>
                <w:rFonts w:ascii="GHEA Grapalat" w:hAnsi="GHEA Grapalat"/>
                <w:sz w:val="24"/>
                <w:szCs w:val="24"/>
                <w:lang w:val="hy-AM"/>
              </w:rPr>
              <w:t xml:space="preserve"> «ՓՈՓՈԽՈՒԹՅՈՒՆՆԵՐ» բառ</w:t>
            </w:r>
            <w:r w:rsidR="0072784E">
              <w:rPr>
                <w:rFonts w:ascii="GHEA Grapalat" w:hAnsi="GHEA Grapalat"/>
                <w:sz w:val="24"/>
                <w:szCs w:val="24"/>
                <w:lang w:val="hy-AM"/>
              </w:rPr>
              <w:t xml:space="preserve">ը </w:t>
            </w:r>
            <w:r>
              <w:rPr>
                <w:rFonts w:ascii="GHEA Grapalat" w:hAnsi="GHEA Grapalat"/>
                <w:sz w:val="24"/>
                <w:szCs w:val="24"/>
                <w:lang w:val="hy-AM"/>
              </w:rPr>
              <w:t xml:space="preserve"> փոխար</w:t>
            </w:r>
            <w:r w:rsidR="00DC2EEF">
              <w:rPr>
                <w:rFonts w:ascii="GHEA Grapalat" w:hAnsi="GHEA Grapalat"/>
                <w:sz w:val="24"/>
                <w:szCs w:val="24"/>
                <w:lang w:val="hy-AM"/>
              </w:rPr>
              <w:t>ինվել է</w:t>
            </w:r>
            <w:r>
              <w:rPr>
                <w:rFonts w:ascii="GHEA Grapalat" w:hAnsi="GHEA Grapalat"/>
                <w:sz w:val="24"/>
                <w:szCs w:val="24"/>
                <w:lang w:val="hy-AM"/>
              </w:rPr>
              <w:t xml:space="preserve"> «ՓՈՓՈԽՈՒԹՅՈՒՆ» բառով։</w:t>
            </w:r>
          </w:p>
        </w:tc>
      </w:tr>
      <w:tr w:rsidR="002517BB" w:rsidRPr="0072784E" w:rsidTr="005F4A1B">
        <w:trPr>
          <w:jc w:val="center"/>
        </w:trPr>
        <w:tc>
          <w:tcPr>
            <w:tcW w:w="9256" w:type="dxa"/>
          </w:tcPr>
          <w:p w:rsidR="002517BB" w:rsidRPr="002517BB" w:rsidRDefault="002517BB" w:rsidP="002517BB">
            <w:pPr>
              <w:ind w:firstLine="720"/>
              <w:jc w:val="both"/>
              <w:rPr>
                <w:rFonts w:ascii="GHEA Grapalat" w:eastAsia="Calibri" w:hAnsi="GHEA Grapalat" w:cs="GHEA Grapalat"/>
                <w:sz w:val="24"/>
                <w:szCs w:val="24"/>
                <w:lang w:val="hy-AM"/>
              </w:rPr>
            </w:pPr>
            <w:r w:rsidRPr="002517BB">
              <w:rPr>
                <w:rFonts w:ascii="GHEA Grapalat" w:eastAsia="Calibri" w:hAnsi="GHEA Grapalat" w:cs="GHEA Grapalat"/>
                <w:sz w:val="24"/>
                <w:szCs w:val="24"/>
                <w:lang w:val="hy-AM"/>
              </w:rPr>
              <w:lastRenderedPageBreak/>
              <w:t xml:space="preserve">2. Հիմք ընդունելով «Նորմատիվ իրավական ակտերի մասին» օրենքի 18-րդ հոդվածի 3-րդ մասի պահանջները, համաձայն որոնց՝ </w:t>
            </w:r>
            <w:r w:rsidRPr="002517BB">
              <w:rPr>
                <w:rFonts w:ascii="GHEA Grapalat" w:eastAsia="Calibri" w:hAnsi="GHEA Grapalat" w:cs="GHEA Grapalat"/>
                <w:i/>
                <w:iCs/>
                <w:sz w:val="24"/>
                <w:szCs w:val="24"/>
                <w:lang w:val="hy-AM"/>
              </w:rPr>
              <w:t>օրենքի կրճատ անվանումը հիշատակելիս դրանում նշվում է օրենքի վերնագիրը՝</w:t>
            </w:r>
            <w:r w:rsidRPr="002517BB">
              <w:rPr>
                <w:rFonts w:ascii="GHEA Grapalat" w:eastAsia="Calibri" w:hAnsi="GHEA Grapalat" w:cs="GHEA Grapalat"/>
                <w:sz w:val="24"/>
                <w:szCs w:val="24"/>
                <w:lang w:val="hy-AM"/>
              </w:rPr>
              <w:t xml:space="preserve"> Նախագծի նախաբանում «Նորմատիվ իրավական ակտերի մասին» բառերից հետո նշված «Հայաստանի Հանրապետության» բառերն անհրաժեշտ է հանել:</w:t>
            </w:r>
          </w:p>
        </w:tc>
        <w:tc>
          <w:tcPr>
            <w:tcW w:w="4941" w:type="dxa"/>
            <w:gridSpan w:val="2"/>
          </w:tcPr>
          <w:p w:rsidR="002517BB" w:rsidRDefault="00B235A0" w:rsidP="002517BB">
            <w:pPr>
              <w:ind w:firstLine="339"/>
              <w:jc w:val="both"/>
              <w:rPr>
                <w:rFonts w:ascii="GHEA Grapalat" w:hAnsi="GHEA Grapalat"/>
                <w:sz w:val="24"/>
                <w:szCs w:val="24"/>
                <w:lang w:val="hy-AM"/>
              </w:rPr>
            </w:pPr>
            <w:r>
              <w:rPr>
                <w:rFonts w:ascii="GHEA Grapalat" w:hAnsi="GHEA Grapalat"/>
                <w:sz w:val="24"/>
                <w:szCs w:val="24"/>
                <w:lang w:val="hy-AM"/>
              </w:rPr>
              <w:t>Ընդունվել է։</w:t>
            </w:r>
          </w:p>
          <w:p w:rsidR="00B235A0" w:rsidRPr="002517BB" w:rsidRDefault="00B235A0" w:rsidP="002517BB">
            <w:pPr>
              <w:ind w:firstLine="339"/>
              <w:jc w:val="both"/>
              <w:rPr>
                <w:rFonts w:ascii="GHEA Grapalat" w:hAnsi="GHEA Grapalat"/>
                <w:sz w:val="24"/>
                <w:szCs w:val="24"/>
                <w:lang w:val="hy-AM"/>
              </w:rPr>
            </w:pPr>
            <w:r>
              <w:rPr>
                <w:rFonts w:ascii="GHEA Grapalat" w:eastAsia="Calibri" w:hAnsi="GHEA Grapalat" w:cs="GHEA Grapalat"/>
                <w:sz w:val="24"/>
                <w:szCs w:val="24"/>
                <w:lang w:val="hy-AM"/>
              </w:rPr>
              <w:t xml:space="preserve">Նախագծում </w:t>
            </w:r>
            <w:r w:rsidRPr="002517BB">
              <w:rPr>
                <w:rFonts w:ascii="GHEA Grapalat" w:eastAsia="Calibri" w:hAnsi="GHEA Grapalat" w:cs="GHEA Grapalat"/>
                <w:sz w:val="24"/>
                <w:szCs w:val="24"/>
                <w:lang w:val="hy-AM"/>
              </w:rPr>
              <w:t xml:space="preserve">«Նորմատիվ իրավական ակտերի մասին» բառերից հետո նշված «Հայաստանի Հանրապետության» </w:t>
            </w:r>
            <w:r>
              <w:rPr>
                <w:rFonts w:ascii="GHEA Grapalat" w:eastAsia="Calibri" w:hAnsi="GHEA Grapalat" w:cs="GHEA Grapalat"/>
                <w:sz w:val="24"/>
                <w:szCs w:val="24"/>
                <w:lang w:val="hy-AM"/>
              </w:rPr>
              <w:t>բառերը հանվել են։</w:t>
            </w:r>
          </w:p>
        </w:tc>
      </w:tr>
      <w:tr w:rsidR="002517BB" w:rsidRPr="0072784E" w:rsidTr="005F4A1B">
        <w:trPr>
          <w:jc w:val="center"/>
        </w:trPr>
        <w:tc>
          <w:tcPr>
            <w:tcW w:w="9256" w:type="dxa"/>
          </w:tcPr>
          <w:p w:rsidR="002517BB" w:rsidRPr="002517BB" w:rsidRDefault="002517BB" w:rsidP="002517BB">
            <w:pPr>
              <w:ind w:firstLine="720"/>
              <w:jc w:val="both"/>
              <w:rPr>
                <w:rFonts w:ascii="GHEA Grapalat" w:eastAsia="Calibri" w:hAnsi="GHEA Grapalat" w:cs="GHEA Grapalat"/>
                <w:sz w:val="24"/>
                <w:szCs w:val="24"/>
                <w:lang w:val="hy-AM"/>
              </w:rPr>
            </w:pPr>
            <w:r w:rsidRPr="002517BB">
              <w:rPr>
                <w:rFonts w:ascii="GHEA Grapalat" w:eastAsia="Calibri" w:hAnsi="GHEA Grapalat" w:cs="GHEA Grapalat"/>
                <w:sz w:val="24"/>
                <w:szCs w:val="24"/>
                <w:lang w:val="hy-AM"/>
              </w:rPr>
              <w:t>3. Նախագծի 1-ին կետի 1-ին ենթակետում «կետերով</w:t>
            </w:r>
            <w:bookmarkStart w:id="3" w:name="_Hlk97548191"/>
            <w:r w:rsidRPr="002517BB">
              <w:rPr>
                <w:rFonts w:ascii="GHEA Grapalat" w:eastAsia="Calibri" w:hAnsi="GHEA Grapalat" w:cs="GHEA Grapalat"/>
                <w:sz w:val="24"/>
                <w:szCs w:val="24"/>
                <w:lang w:val="hy-AM"/>
              </w:rPr>
              <w:t>»</w:t>
            </w:r>
            <w:bookmarkEnd w:id="3"/>
            <w:r w:rsidRPr="002517BB">
              <w:rPr>
                <w:rFonts w:ascii="GHEA Grapalat" w:eastAsia="Calibri" w:hAnsi="GHEA Grapalat" w:cs="GHEA Grapalat"/>
                <w:sz w:val="24"/>
                <w:szCs w:val="24"/>
                <w:lang w:val="hy-AM"/>
              </w:rPr>
              <w:t xml:space="preserve"> բառն անհրաժեշտ է փոխարինել «կետեր» բառով: </w:t>
            </w:r>
          </w:p>
        </w:tc>
        <w:tc>
          <w:tcPr>
            <w:tcW w:w="4941" w:type="dxa"/>
            <w:gridSpan w:val="2"/>
          </w:tcPr>
          <w:p w:rsidR="00B235A0" w:rsidRDefault="00B235A0" w:rsidP="002517BB">
            <w:pPr>
              <w:ind w:firstLine="339"/>
              <w:jc w:val="both"/>
              <w:rPr>
                <w:rFonts w:ascii="GHEA Grapalat" w:hAnsi="GHEA Grapalat"/>
                <w:sz w:val="24"/>
                <w:szCs w:val="24"/>
                <w:lang w:val="hy-AM"/>
              </w:rPr>
            </w:pPr>
            <w:r>
              <w:rPr>
                <w:rFonts w:ascii="GHEA Grapalat" w:hAnsi="GHEA Grapalat"/>
                <w:sz w:val="24"/>
                <w:szCs w:val="24"/>
                <w:lang w:val="hy-AM"/>
              </w:rPr>
              <w:t>Ընդունվել է։</w:t>
            </w:r>
          </w:p>
          <w:p w:rsidR="002517BB" w:rsidRPr="002517BB" w:rsidRDefault="00B235A0" w:rsidP="00B235A0">
            <w:pPr>
              <w:ind w:firstLine="339"/>
              <w:jc w:val="both"/>
              <w:rPr>
                <w:rFonts w:ascii="GHEA Grapalat" w:hAnsi="GHEA Grapalat"/>
                <w:sz w:val="24"/>
                <w:szCs w:val="24"/>
                <w:lang w:val="hy-AM"/>
              </w:rPr>
            </w:pPr>
            <w:r>
              <w:rPr>
                <w:rFonts w:ascii="GHEA Grapalat" w:hAnsi="GHEA Grapalat"/>
                <w:sz w:val="24"/>
                <w:szCs w:val="24"/>
                <w:lang w:val="hy-AM"/>
              </w:rPr>
              <w:t xml:space="preserve"> </w:t>
            </w:r>
            <w:r w:rsidRPr="002517BB">
              <w:rPr>
                <w:rFonts w:ascii="GHEA Grapalat" w:eastAsia="Calibri" w:hAnsi="GHEA Grapalat" w:cs="GHEA Grapalat"/>
                <w:sz w:val="24"/>
                <w:szCs w:val="24"/>
                <w:lang w:val="hy-AM"/>
              </w:rPr>
              <w:t xml:space="preserve">Նախագծի 1-ին կետի 1-ին ենթակետում «կետերով» </w:t>
            </w:r>
            <w:r>
              <w:rPr>
                <w:rFonts w:ascii="GHEA Grapalat" w:eastAsia="Calibri" w:hAnsi="GHEA Grapalat" w:cs="GHEA Grapalat"/>
                <w:sz w:val="24"/>
                <w:szCs w:val="24"/>
                <w:lang w:val="hy-AM"/>
              </w:rPr>
              <w:t>բառը</w:t>
            </w:r>
            <w:r w:rsidRPr="002517BB">
              <w:rPr>
                <w:rFonts w:ascii="GHEA Grapalat" w:eastAsia="Calibri" w:hAnsi="GHEA Grapalat" w:cs="GHEA Grapalat"/>
                <w:sz w:val="24"/>
                <w:szCs w:val="24"/>
                <w:lang w:val="hy-AM"/>
              </w:rPr>
              <w:t xml:space="preserve"> </w:t>
            </w:r>
            <w:r>
              <w:rPr>
                <w:rFonts w:ascii="GHEA Grapalat" w:eastAsia="Calibri" w:hAnsi="GHEA Grapalat" w:cs="GHEA Grapalat"/>
                <w:sz w:val="24"/>
                <w:szCs w:val="24"/>
                <w:lang w:val="hy-AM"/>
              </w:rPr>
              <w:t>փոխարինվել է</w:t>
            </w:r>
            <w:r w:rsidRPr="002517BB">
              <w:rPr>
                <w:rFonts w:ascii="GHEA Grapalat" w:eastAsia="Calibri" w:hAnsi="GHEA Grapalat" w:cs="GHEA Grapalat"/>
                <w:sz w:val="24"/>
                <w:szCs w:val="24"/>
                <w:lang w:val="hy-AM"/>
              </w:rPr>
              <w:t xml:space="preserve"> «կետեր» բառով</w:t>
            </w:r>
            <w:r>
              <w:rPr>
                <w:rFonts w:ascii="GHEA Grapalat" w:eastAsia="Calibri" w:hAnsi="GHEA Grapalat" w:cs="GHEA Grapalat"/>
                <w:sz w:val="24"/>
                <w:szCs w:val="24"/>
                <w:lang w:val="hy-AM"/>
              </w:rPr>
              <w:t>։</w:t>
            </w:r>
          </w:p>
        </w:tc>
      </w:tr>
      <w:tr w:rsidR="002517BB" w:rsidRPr="0072784E" w:rsidTr="005F4A1B">
        <w:trPr>
          <w:jc w:val="center"/>
        </w:trPr>
        <w:tc>
          <w:tcPr>
            <w:tcW w:w="9256" w:type="dxa"/>
          </w:tcPr>
          <w:p w:rsidR="002517BB" w:rsidRPr="002517BB" w:rsidRDefault="002517BB" w:rsidP="002517BB">
            <w:pPr>
              <w:ind w:firstLine="720"/>
              <w:jc w:val="both"/>
              <w:rPr>
                <w:rFonts w:ascii="GHEA Grapalat" w:eastAsia="Calibri" w:hAnsi="GHEA Grapalat" w:cs="GHEA Grapalat"/>
                <w:sz w:val="24"/>
                <w:szCs w:val="24"/>
                <w:lang w:val="hy-AM"/>
              </w:rPr>
            </w:pPr>
            <w:r w:rsidRPr="002517BB">
              <w:rPr>
                <w:rFonts w:ascii="GHEA Grapalat" w:eastAsia="Calibri" w:hAnsi="GHEA Grapalat" w:cs="GHEA Grapalat"/>
                <w:sz w:val="24"/>
                <w:szCs w:val="24"/>
                <w:lang w:val="hy-AM"/>
              </w:rPr>
              <w:t>4. Նախագծի 1-ին կետի 1-ին ենթակետով Հայաստանի Հանրապետության կառավարության 2021 թվականի հոկտեմբերի 18-ի N 1709-Լ որոշման մեջ լրացվող նոր 10-րդ կետում անհրաժեշտ է վերանայել «սույն որոշումն ուժի մեջ մտնելուց հետո» բառերը՝ նկատի ունենալով այն հանգամանքը, որ տվյալ պարագայում խոսքը Նախագծի, այլ ոչ թե Հայաստանի Հանրապետության կառավարության 2021 թվականի հոկտեմբերի 18-ի N 1709-Լ որոշման ուժի մեջ մտնելու մասին է:</w:t>
            </w:r>
          </w:p>
        </w:tc>
        <w:tc>
          <w:tcPr>
            <w:tcW w:w="4941" w:type="dxa"/>
            <w:gridSpan w:val="2"/>
          </w:tcPr>
          <w:p w:rsidR="002517BB" w:rsidRPr="009C74F2" w:rsidRDefault="00790EE7" w:rsidP="002517BB">
            <w:pPr>
              <w:ind w:firstLine="339"/>
              <w:jc w:val="both"/>
              <w:rPr>
                <w:rFonts w:ascii="GHEA Grapalat" w:hAnsi="GHEA Grapalat"/>
                <w:color w:val="000000" w:themeColor="text1"/>
                <w:sz w:val="24"/>
                <w:szCs w:val="24"/>
                <w:lang w:val="hy-AM"/>
              </w:rPr>
            </w:pPr>
            <w:r w:rsidRPr="009C74F2">
              <w:rPr>
                <w:rFonts w:ascii="GHEA Grapalat" w:hAnsi="GHEA Grapalat"/>
                <w:color w:val="000000" w:themeColor="text1"/>
                <w:sz w:val="24"/>
                <w:szCs w:val="24"/>
                <w:lang w:val="hy-AM"/>
              </w:rPr>
              <w:t>Ընդունվել է։</w:t>
            </w:r>
          </w:p>
          <w:p w:rsidR="00790EE7" w:rsidRPr="009C74F2" w:rsidRDefault="00790EE7" w:rsidP="00EB39DB">
            <w:pPr>
              <w:ind w:firstLine="339"/>
              <w:jc w:val="both"/>
              <w:rPr>
                <w:rFonts w:ascii="GHEA Grapalat" w:hAnsi="GHEA Grapalat"/>
                <w:color w:val="000000" w:themeColor="text1"/>
                <w:sz w:val="24"/>
                <w:szCs w:val="24"/>
                <w:lang w:val="hy-AM"/>
              </w:rPr>
            </w:pPr>
            <w:r w:rsidRPr="009C74F2">
              <w:rPr>
                <w:rFonts w:ascii="GHEA Grapalat" w:eastAsia="Calibri" w:hAnsi="GHEA Grapalat" w:cs="GHEA Grapalat"/>
                <w:color w:val="000000" w:themeColor="text1"/>
                <w:sz w:val="24"/>
                <w:szCs w:val="24"/>
                <w:lang w:val="hy-AM"/>
              </w:rPr>
              <w:t>Նախագծի 1-ին կետի 1-ին ենթակետով ՀՀ կառավարության 2021 թվականի հոկտեմբերի 18-ի N 1709-Լ որոշման մեջ լրացվող նոր</w:t>
            </w:r>
            <w:r w:rsidR="00EB39DB">
              <w:rPr>
                <w:rFonts w:ascii="GHEA Grapalat" w:eastAsia="Calibri" w:hAnsi="GHEA Grapalat" w:cs="GHEA Grapalat"/>
                <w:color w:val="000000" w:themeColor="text1"/>
                <w:sz w:val="24"/>
                <w:szCs w:val="24"/>
                <w:lang w:val="hy-AM"/>
              </w:rPr>
              <w:t>՝</w:t>
            </w:r>
            <w:r w:rsidRPr="009C74F2">
              <w:rPr>
                <w:rFonts w:ascii="GHEA Grapalat" w:eastAsia="Calibri" w:hAnsi="GHEA Grapalat" w:cs="GHEA Grapalat"/>
                <w:color w:val="000000" w:themeColor="text1"/>
                <w:sz w:val="24"/>
                <w:szCs w:val="24"/>
                <w:lang w:val="hy-AM"/>
              </w:rPr>
              <w:t xml:space="preserve"> 10-րդ կետ</w:t>
            </w:r>
            <w:r w:rsidR="00EB39DB">
              <w:rPr>
                <w:rFonts w:ascii="GHEA Grapalat" w:eastAsia="Calibri" w:hAnsi="GHEA Grapalat" w:cs="GHEA Grapalat"/>
                <w:color w:val="000000" w:themeColor="text1"/>
                <w:sz w:val="24"/>
                <w:szCs w:val="24"/>
                <w:lang w:val="hy-AM"/>
              </w:rPr>
              <w:t xml:space="preserve">ը խմբագրվել է։ </w:t>
            </w:r>
          </w:p>
        </w:tc>
      </w:tr>
      <w:tr w:rsidR="002517BB" w:rsidRPr="0072784E" w:rsidTr="005F4A1B">
        <w:trPr>
          <w:jc w:val="center"/>
        </w:trPr>
        <w:tc>
          <w:tcPr>
            <w:tcW w:w="9256" w:type="dxa"/>
          </w:tcPr>
          <w:p w:rsidR="002517BB" w:rsidRPr="002517BB" w:rsidRDefault="002517BB" w:rsidP="002517BB">
            <w:pPr>
              <w:ind w:firstLine="720"/>
              <w:jc w:val="both"/>
              <w:rPr>
                <w:rFonts w:ascii="GHEA Grapalat" w:eastAsia="Calibri" w:hAnsi="GHEA Grapalat" w:cs="GHEA Grapalat"/>
                <w:sz w:val="24"/>
                <w:szCs w:val="24"/>
                <w:lang w:val="hy-AM"/>
              </w:rPr>
            </w:pPr>
            <w:r w:rsidRPr="002517BB">
              <w:rPr>
                <w:rFonts w:ascii="GHEA Grapalat" w:eastAsia="Calibri" w:hAnsi="GHEA Grapalat" w:cs="GHEA Grapalat"/>
                <w:sz w:val="24"/>
                <w:szCs w:val="24"/>
                <w:lang w:val="hy-AM"/>
              </w:rPr>
              <w:t>5. Նախագծի 1-ին կետի 2-րդ ենթակետով առաջարկվում է փոփոխություն կատարել Հայաստանի Հանրապետության կառավարության 2021 թվականի հոկտեմբերի 18-ի N 1709-Լ որոշման N 2 հավելվածի 22-րդ կետում, արդյունքում նախատեսելով, որ նույն կարգի 21-րդ կետում նշված դեպքում, բացառությամբ, երբ ամսական դրամական օգնության գումարները ֆինանսավորվել են այլ ֆինանսական միջոցների հաշվին, եթե մինչև 2022 թվականի հուլիսի 29-ը շահառուն (երեխայի օրինական ներկայացուցիչը) բանկին չի ներկայացնում դրամական օգնության գումարն ստանալու պահանջ, ապա գումարը մինչև 2022 թվականի օգոստոսի 5-ը բանկի կողմից վերադարձվում է պետական բյուջե, եթե այդ գումարը բանկ է փոխանցվել Հայաստանի Հանրապետության 2021 թվականի պետական բյուջեից և Արցախի Հանրապետության 2022 թվականի պետական բյուջե, եթե այն բանկ է փոխանցվել Արցախի Հանրապետության 2022 թվականի պետական բյուջեից:</w:t>
            </w:r>
          </w:p>
          <w:p w:rsidR="002517BB" w:rsidRPr="002517BB" w:rsidRDefault="002517BB" w:rsidP="002517BB">
            <w:pPr>
              <w:ind w:firstLine="720"/>
              <w:jc w:val="both"/>
              <w:rPr>
                <w:rFonts w:ascii="GHEA Grapalat" w:eastAsia="Calibri" w:hAnsi="GHEA Grapalat" w:cs="GHEA Grapalat"/>
                <w:sz w:val="24"/>
                <w:szCs w:val="24"/>
                <w:lang w:val="hy-AM"/>
              </w:rPr>
            </w:pPr>
            <w:r w:rsidRPr="002517BB">
              <w:rPr>
                <w:rFonts w:ascii="GHEA Grapalat" w:eastAsia="Calibri" w:hAnsi="GHEA Grapalat" w:cs="GHEA Grapalat"/>
                <w:sz w:val="24"/>
                <w:szCs w:val="24"/>
                <w:lang w:val="hy-AM"/>
              </w:rPr>
              <w:t xml:space="preserve">Այս առումով նկատի ունենալով այն հանգամանքը, որ Հայաստանի </w:t>
            </w:r>
            <w:r w:rsidRPr="002517BB">
              <w:rPr>
                <w:rFonts w:ascii="GHEA Grapalat" w:eastAsia="Calibri" w:hAnsi="GHEA Grapalat" w:cs="GHEA Grapalat"/>
                <w:sz w:val="24"/>
                <w:szCs w:val="24"/>
                <w:lang w:val="hy-AM"/>
              </w:rPr>
              <w:lastRenderedPageBreak/>
              <w:t>Հանրապետության կառավարության 2021 թվականի հոկտեմբերի 18-ի N 1709-Լ որոշման N 2 հավելվածում ամրագրված կարգավորումները վերաբերվում են ՀՀ աշխատանքի և սոցիալական հարցերի նախարարության միասնական սոցիալական ծառայության կողմից դրամական աջակցության գումարները վճարելուն (բանկին փոխանցելուն)՝ հարկ ենք համարում նշել, որ տվյալ պարագայում պարզ չէ թե Արցախի Հանրապետության պետական բյուջեի միջոցների հաշվին դրամական աջակցության գումարների վճարումն ինչ ընթացակարգով է իրականացվելու:</w:t>
            </w:r>
          </w:p>
          <w:p w:rsidR="002517BB" w:rsidRPr="002517BB" w:rsidRDefault="002517BB" w:rsidP="002517BB">
            <w:pPr>
              <w:ind w:firstLine="720"/>
              <w:jc w:val="both"/>
              <w:rPr>
                <w:rFonts w:ascii="GHEA Grapalat" w:eastAsia="Calibri" w:hAnsi="GHEA Grapalat" w:cs="GHEA Grapalat"/>
                <w:sz w:val="24"/>
                <w:szCs w:val="24"/>
                <w:lang w:val="hy-AM"/>
              </w:rPr>
            </w:pPr>
            <w:r w:rsidRPr="002517BB">
              <w:rPr>
                <w:rFonts w:ascii="GHEA Grapalat" w:eastAsia="Calibri" w:hAnsi="GHEA Grapalat" w:cs="GHEA Grapalat"/>
                <w:sz w:val="24"/>
                <w:szCs w:val="24"/>
                <w:lang w:val="hy-AM"/>
              </w:rPr>
              <w:t>Ուստի նկատի ունենալով վերոգրյալը՝ Նախագծով կարգավորման կարիք ունի նաև հիշյալ հարցը:</w:t>
            </w:r>
          </w:p>
          <w:p w:rsidR="002517BB" w:rsidRPr="002517BB" w:rsidRDefault="002517BB" w:rsidP="002517BB">
            <w:pPr>
              <w:ind w:firstLine="720"/>
              <w:jc w:val="both"/>
              <w:rPr>
                <w:rFonts w:ascii="GHEA Grapalat" w:eastAsia="Calibri" w:hAnsi="GHEA Grapalat" w:cs="GHEA Grapalat"/>
                <w:sz w:val="24"/>
                <w:szCs w:val="24"/>
                <w:lang w:val="hy-AM"/>
              </w:rPr>
            </w:pPr>
            <w:r w:rsidRPr="002517BB">
              <w:rPr>
                <w:rFonts w:ascii="GHEA Grapalat" w:eastAsia="Calibri" w:hAnsi="GHEA Grapalat" w:cs="GHEA Grapalat"/>
                <w:sz w:val="24"/>
                <w:szCs w:val="24"/>
                <w:lang w:val="hy-AM"/>
              </w:rPr>
              <w:t>Բացի այդ, Նախագծի 1-ին կետի 2-րդ ենթակետում «Արցախի Հանրապետության 2022 թվականի պետական բյուջե» բառերն առաջարկում ենք փոխարինել «Արցախի Հանրապետության պետական բյուջե» բառերով:</w:t>
            </w:r>
          </w:p>
        </w:tc>
        <w:tc>
          <w:tcPr>
            <w:tcW w:w="4941" w:type="dxa"/>
            <w:gridSpan w:val="2"/>
          </w:tcPr>
          <w:p w:rsidR="002517BB" w:rsidRDefault="003A2127" w:rsidP="002517BB">
            <w:pPr>
              <w:ind w:firstLine="339"/>
              <w:jc w:val="both"/>
              <w:rPr>
                <w:rFonts w:ascii="GHEA Grapalat" w:hAnsi="GHEA Grapalat"/>
                <w:sz w:val="24"/>
                <w:szCs w:val="24"/>
                <w:lang w:val="hy-AM"/>
              </w:rPr>
            </w:pPr>
            <w:r>
              <w:rPr>
                <w:rFonts w:ascii="GHEA Grapalat" w:hAnsi="GHEA Grapalat"/>
                <w:sz w:val="24"/>
                <w:szCs w:val="24"/>
                <w:lang w:val="hy-AM"/>
              </w:rPr>
              <w:lastRenderedPageBreak/>
              <w:t>Չի ընդունվել։</w:t>
            </w:r>
          </w:p>
          <w:p w:rsidR="003A2127" w:rsidRDefault="003A2127" w:rsidP="003A2127">
            <w:pPr>
              <w:ind w:firstLine="339"/>
              <w:jc w:val="both"/>
              <w:rPr>
                <w:rFonts w:ascii="GHEA Grapalat" w:eastAsia="Calibri" w:hAnsi="GHEA Grapalat" w:cs="GHEA Grapalat"/>
                <w:sz w:val="24"/>
                <w:szCs w:val="24"/>
                <w:lang w:val="hy-AM"/>
              </w:rPr>
            </w:pPr>
            <w:r>
              <w:rPr>
                <w:rFonts w:ascii="GHEA Grapalat" w:eastAsia="Calibri" w:hAnsi="GHEA Grapalat" w:cs="GHEA Grapalat"/>
                <w:sz w:val="24"/>
                <w:szCs w:val="24"/>
                <w:lang w:val="hy-AM"/>
              </w:rPr>
              <w:t xml:space="preserve">Խնդրո առարկա միջոցառման շրջանակներում շահառուի կողմից </w:t>
            </w:r>
            <w:r w:rsidRPr="002517BB">
              <w:rPr>
                <w:rFonts w:ascii="GHEA Grapalat" w:eastAsia="Calibri" w:hAnsi="GHEA Grapalat" w:cs="GHEA Grapalat"/>
                <w:sz w:val="24"/>
                <w:szCs w:val="24"/>
                <w:lang w:val="hy-AM"/>
              </w:rPr>
              <w:t xml:space="preserve"> բանկին դրամական օգնության գումարն ստանալու պահանջ </w:t>
            </w:r>
            <w:r>
              <w:rPr>
                <w:rFonts w:ascii="GHEA Grapalat" w:eastAsia="Calibri" w:hAnsi="GHEA Grapalat" w:cs="GHEA Grapalat"/>
                <w:sz w:val="24"/>
                <w:szCs w:val="24"/>
                <w:lang w:val="hy-AM"/>
              </w:rPr>
              <w:t>չ</w:t>
            </w:r>
            <w:r w:rsidRPr="002517BB">
              <w:rPr>
                <w:rFonts w:ascii="GHEA Grapalat" w:eastAsia="Calibri" w:hAnsi="GHEA Grapalat" w:cs="GHEA Grapalat"/>
                <w:sz w:val="24"/>
                <w:szCs w:val="24"/>
                <w:lang w:val="hy-AM"/>
              </w:rPr>
              <w:t>ներկայաց</w:t>
            </w:r>
            <w:r>
              <w:rPr>
                <w:rFonts w:ascii="GHEA Grapalat" w:eastAsia="Calibri" w:hAnsi="GHEA Grapalat" w:cs="GHEA Grapalat"/>
                <w:sz w:val="24"/>
                <w:szCs w:val="24"/>
                <w:lang w:val="hy-AM"/>
              </w:rPr>
              <w:t xml:space="preserve">վելու դեպքում գումարների՝ ՀՀ պետական բյուջե հետ վերադարձման հետ կապված կարգավորումները վերաբերում են </w:t>
            </w:r>
            <w:r w:rsidRPr="002517BB">
              <w:rPr>
                <w:rFonts w:ascii="GHEA Grapalat" w:eastAsia="Calibri" w:hAnsi="GHEA Grapalat" w:cs="GHEA Grapalat"/>
                <w:sz w:val="24"/>
                <w:szCs w:val="24"/>
                <w:lang w:val="hy-AM"/>
              </w:rPr>
              <w:t>ՀՀ աշխատանքի և սոցիալական հարցերի նախարարության միասնական սոցիալական ծառայության</w:t>
            </w:r>
            <w:r>
              <w:rPr>
                <w:rFonts w:ascii="GHEA Grapalat" w:eastAsia="Calibri" w:hAnsi="GHEA Grapalat" w:cs="GHEA Grapalat"/>
                <w:sz w:val="24"/>
                <w:szCs w:val="24"/>
                <w:lang w:val="hy-AM"/>
              </w:rPr>
              <w:t xml:space="preserve"> կողմից իրականացվող գործընթացներին, եթե դրամական օգնության գումարները ֆինանսավորվել են ՀՀ 2021թ․պետական </w:t>
            </w:r>
            <w:r>
              <w:rPr>
                <w:rFonts w:ascii="GHEA Grapalat" w:eastAsia="Calibri" w:hAnsi="GHEA Grapalat" w:cs="GHEA Grapalat"/>
                <w:sz w:val="24"/>
                <w:szCs w:val="24"/>
                <w:lang w:val="hy-AM"/>
              </w:rPr>
              <w:lastRenderedPageBreak/>
              <w:t xml:space="preserve">բյուջեից։ Իսկ 2022թ․ հունվար և փետրվար ամիսների դրամական օգնության գումարների վճարումը նախագծով նախատեսվում է </w:t>
            </w:r>
            <w:r w:rsidRPr="003A2127">
              <w:rPr>
                <w:rFonts w:ascii="GHEA Grapalat" w:eastAsia="Calibri" w:hAnsi="GHEA Grapalat" w:cs="GHEA Grapalat"/>
                <w:b/>
                <w:sz w:val="24"/>
                <w:szCs w:val="24"/>
                <w:lang w:val="hy-AM"/>
              </w:rPr>
              <w:t>Արցախի Հանրապետության 2022 թվականի պետական բյուջեի միջոցներից,</w:t>
            </w:r>
            <w:r>
              <w:rPr>
                <w:rFonts w:ascii="GHEA Grapalat" w:eastAsia="Calibri" w:hAnsi="GHEA Grapalat" w:cs="GHEA Grapalat"/>
                <w:sz w:val="24"/>
                <w:szCs w:val="24"/>
                <w:lang w:val="hy-AM"/>
              </w:rPr>
              <w:t xml:space="preserve"> որի համար անհրաժեշտ ընթացակարգերը պետք է սահմանվեն Արցախի Հանրապետության կողմից։</w:t>
            </w:r>
          </w:p>
          <w:p w:rsidR="003A2127" w:rsidRPr="002517BB" w:rsidRDefault="003A2127" w:rsidP="003A2127">
            <w:pPr>
              <w:ind w:firstLine="339"/>
              <w:jc w:val="both"/>
              <w:rPr>
                <w:rFonts w:ascii="GHEA Grapalat" w:hAnsi="GHEA Grapalat"/>
                <w:sz w:val="24"/>
                <w:szCs w:val="24"/>
                <w:lang w:val="hy-AM"/>
              </w:rPr>
            </w:pPr>
            <w:r>
              <w:rPr>
                <w:rFonts w:ascii="GHEA Grapalat" w:hAnsi="GHEA Grapalat"/>
                <w:sz w:val="24"/>
                <w:szCs w:val="24"/>
                <w:lang w:val="hy-AM"/>
              </w:rPr>
              <w:t xml:space="preserve">Ըստ այդմ </w:t>
            </w:r>
            <w:r w:rsidRPr="002517BB">
              <w:rPr>
                <w:rFonts w:ascii="GHEA Grapalat" w:eastAsia="Calibri" w:hAnsi="GHEA Grapalat" w:cs="GHEA Grapalat"/>
                <w:sz w:val="24"/>
                <w:szCs w:val="24"/>
                <w:lang w:val="hy-AM"/>
              </w:rPr>
              <w:t>Նախագծի 1-ին կետի 2-րդ ենթակետում «Արցախի Հանրապետության 2022 թվականի պետական բյուջե» բառեր</w:t>
            </w:r>
            <w:r>
              <w:rPr>
                <w:rFonts w:ascii="GHEA Grapalat" w:eastAsia="Calibri" w:hAnsi="GHEA Grapalat" w:cs="GHEA Grapalat"/>
                <w:sz w:val="24"/>
                <w:szCs w:val="24"/>
                <w:lang w:val="hy-AM"/>
              </w:rPr>
              <w:t xml:space="preserve">ը </w:t>
            </w:r>
            <w:r w:rsidRPr="002517BB">
              <w:rPr>
                <w:rFonts w:ascii="GHEA Grapalat" w:eastAsia="Calibri" w:hAnsi="GHEA Grapalat" w:cs="GHEA Grapalat"/>
                <w:sz w:val="24"/>
                <w:szCs w:val="24"/>
                <w:lang w:val="hy-AM"/>
              </w:rPr>
              <w:t>«Արցախի Հանրապետության պետական բյուջե»</w:t>
            </w:r>
            <w:r>
              <w:rPr>
                <w:rFonts w:ascii="GHEA Grapalat" w:eastAsia="Calibri" w:hAnsi="GHEA Grapalat" w:cs="GHEA Grapalat"/>
                <w:sz w:val="24"/>
                <w:szCs w:val="24"/>
                <w:lang w:val="hy-AM"/>
              </w:rPr>
              <w:t xml:space="preserve"> բառերով փոխարինելու անհրաժեշտություն ևս չկա։</w:t>
            </w:r>
          </w:p>
        </w:tc>
      </w:tr>
      <w:tr w:rsidR="002517BB" w:rsidRPr="002517BB" w:rsidTr="005F4A1B">
        <w:trPr>
          <w:jc w:val="center"/>
        </w:trPr>
        <w:tc>
          <w:tcPr>
            <w:tcW w:w="9256" w:type="dxa"/>
          </w:tcPr>
          <w:p w:rsidR="002517BB" w:rsidRPr="002517BB" w:rsidRDefault="002517BB" w:rsidP="002517BB">
            <w:pPr>
              <w:ind w:firstLine="720"/>
              <w:jc w:val="both"/>
              <w:rPr>
                <w:rFonts w:ascii="GHEA Grapalat" w:eastAsia="Calibri" w:hAnsi="GHEA Grapalat" w:cs="GHEA Grapalat"/>
                <w:sz w:val="24"/>
                <w:szCs w:val="24"/>
                <w:lang w:val="hy-AM"/>
              </w:rPr>
            </w:pPr>
            <w:r w:rsidRPr="002517BB">
              <w:rPr>
                <w:rFonts w:ascii="GHEA Grapalat" w:eastAsia="Calibri" w:hAnsi="GHEA Grapalat" w:cs="GHEA Grapalat"/>
                <w:sz w:val="24"/>
                <w:szCs w:val="24"/>
                <w:lang w:val="hy-AM"/>
              </w:rPr>
              <w:lastRenderedPageBreak/>
              <w:t>6. Նախագծի 1-ին կետի 3-րդ ենթակետով Հայաստանի Հանրապետության կառավարության 2021 թվականի հոկտեմբերի 18-ի N 1709-Լ որոշման N 2 հավելվածում լրացվող նոր 22.1-ին կետում անհրաժեշտ է վերանայել «Սույն կետում նշված գումարները» բառերը՝ նկատի ունենալով այն հանգամանքը, որ տվյալ դեպքում խոսքը ոչ թե 22.1-ին, այլ 22-րդ կետի մասին է:</w:t>
            </w:r>
          </w:p>
        </w:tc>
        <w:tc>
          <w:tcPr>
            <w:tcW w:w="4941" w:type="dxa"/>
            <w:gridSpan w:val="2"/>
          </w:tcPr>
          <w:p w:rsidR="002517BB" w:rsidRDefault="00DB3278" w:rsidP="00DB3278">
            <w:pPr>
              <w:ind w:firstLine="436"/>
              <w:jc w:val="both"/>
              <w:rPr>
                <w:rFonts w:ascii="GHEA Grapalat" w:hAnsi="GHEA Grapalat"/>
                <w:sz w:val="24"/>
                <w:szCs w:val="24"/>
                <w:lang w:val="hy-AM"/>
              </w:rPr>
            </w:pPr>
            <w:r>
              <w:rPr>
                <w:rFonts w:ascii="GHEA Grapalat" w:hAnsi="GHEA Grapalat"/>
                <w:sz w:val="24"/>
                <w:szCs w:val="24"/>
                <w:lang w:val="hy-AM"/>
              </w:rPr>
              <w:t>Ընդունվել է։</w:t>
            </w:r>
          </w:p>
          <w:p w:rsidR="00DB3278" w:rsidRPr="00DB3278" w:rsidRDefault="00DB3278" w:rsidP="00DB3278">
            <w:pPr>
              <w:ind w:firstLine="436"/>
              <w:jc w:val="both"/>
              <w:rPr>
                <w:rFonts w:ascii="GHEA Grapalat" w:hAnsi="GHEA Grapalat"/>
                <w:sz w:val="24"/>
                <w:szCs w:val="24"/>
                <w:lang w:val="hy-AM"/>
              </w:rPr>
            </w:pPr>
            <w:r w:rsidRPr="002517BB">
              <w:rPr>
                <w:rFonts w:ascii="GHEA Grapalat" w:eastAsia="Calibri" w:hAnsi="GHEA Grapalat" w:cs="GHEA Grapalat"/>
                <w:sz w:val="24"/>
                <w:szCs w:val="24"/>
                <w:lang w:val="hy-AM"/>
              </w:rPr>
              <w:t>Նախագծի 1-ին կետի 3-րդ ենթակետ</w:t>
            </w:r>
            <w:r>
              <w:rPr>
                <w:rFonts w:ascii="GHEA Grapalat" w:eastAsia="Calibri" w:hAnsi="GHEA Grapalat" w:cs="GHEA Grapalat"/>
                <w:sz w:val="24"/>
                <w:szCs w:val="24"/>
                <w:lang w:val="hy-AM"/>
              </w:rPr>
              <w:t xml:space="preserve">ում՝ </w:t>
            </w:r>
            <w:r>
              <w:rPr>
                <w:rFonts w:ascii="GHEA Grapalat" w:eastAsia="Times New Roman" w:hAnsi="GHEA Grapalat" w:cs="Times New Roman"/>
                <w:color w:val="000000" w:themeColor="text1"/>
                <w:sz w:val="24"/>
                <w:szCs w:val="24"/>
                <w:lang w:val="hy-AM"/>
              </w:rPr>
              <w:t>«</w:t>
            </w:r>
            <w:r w:rsidRPr="002245FA">
              <w:rPr>
                <w:rFonts w:ascii="GHEA Grapalat" w:eastAsia="Times New Roman" w:hAnsi="GHEA Grapalat" w:cs="Times New Roman"/>
                <w:color w:val="000000" w:themeColor="text1"/>
                <w:sz w:val="24"/>
                <w:szCs w:val="24"/>
                <w:lang w:val="hy-AM"/>
              </w:rPr>
              <w:t>22.1. Սույն կետում</w:t>
            </w:r>
            <w:r w:rsidRPr="002517BB">
              <w:rPr>
                <w:rFonts w:ascii="GHEA Grapalat" w:eastAsia="Calibri" w:hAnsi="GHEA Grapalat" w:cs="GHEA Grapalat"/>
                <w:sz w:val="24"/>
                <w:szCs w:val="24"/>
                <w:lang w:val="hy-AM"/>
              </w:rPr>
              <w:t>» բառերը</w:t>
            </w:r>
            <w:r>
              <w:rPr>
                <w:rFonts w:ascii="GHEA Grapalat" w:eastAsia="Calibri" w:hAnsi="GHEA Grapalat" w:cs="GHEA Grapalat"/>
                <w:sz w:val="24"/>
                <w:szCs w:val="24"/>
                <w:lang w:val="hy-AM"/>
              </w:rPr>
              <w:t xml:space="preserve"> փոխարինվել են </w:t>
            </w:r>
            <w:r>
              <w:rPr>
                <w:rFonts w:ascii="GHEA Grapalat" w:eastAsia="Times New Roman" w:hAnsi="GHEA Grapalat" w:cs="Times New Roman"/>
                <w:color w:val="000000" w:themeColor="text1"/>
                <w:sz w:val="24"/>
                <w:szCs w:val="24"/>
                <w:lang w:val="hy-AM"/>
              </w:rPr>
              <w:t>«</w:t>
            </w:r>
            <w:r w:rsidRPr="002245FA">
              <w:rPr>
                <w:rFonts w:ascii="GHEA Grapalat" w:eastAsia="Times New Roman" w:hAnsi="GHEA Grapalat" w:cs="Times New Roman"/>
                <w:color w:val="000000" w:themeColor="text1"/>
                <w:sz w:val="24"/>
                <w:szCs w:val="24"/>
                <w:lang w:val="hy-AM"/>
              </w:rPr>
              <w:t xml:space="preserve">22.1. Սույն </w:t>
            </w:r>
            <w:r>
              <w:rPr>
                <w:rFonts w:ascii="GHEA Grapalat" w:eastAsia="Times New Roman" w:hAnsi="GHEA Grapalat" w:cs="Times New Roman"/>
                <w:color w:val="000000" w:themeColor="text1"/>
                <w:sz w:val="24"/>
                <w:szCs w:val="24"/>
                <w:lang w:val="hy-AM"/>
              </w:rPr>
              <w:t xml:space="preserve">կարգի 22-րդ </w:t>
            </w:r>
            <w:r w:rsidRPr="002245FA">
              <w:rPr>
                <w:rFonts w:ascii="GHEA Grapalat" w:eastAsia="Times New Roman" w:hAnsi="GHEA Grapalat" w:cs="Times New Roman"/>
                <w:color w:val="000000" w:themeColor="text1"/>
                <w:sz w:val="24"/>
                <w:szCs w:val="24"/>
                <w:lang w:val="hy-AM"/>
              </w:rPr>
              <w:t>կետում</w:t>
            </w:r>
            <w:r>
              <w:rPr>
                <w:rFonts w:ascii="GHEA Grapalat" w:eastAsia="Times New Roman" w:hAnsi="GHEA Grapalat" w:cs="Times New Roman"/>
                <w:color w:val="000000" w:themeColor="text1"/>
                <w:sz w:val="24"/>
                <w:szCs w:val="24"/>
                <w:lang w:val="hy-AM"/>
              </w:rPr>
              <w:t>» բառերով։</w:t>
            </w:r>
          </w:p>
        </w:tc>
      </w:tr>
      <w:tr w:rsidR="002517BB" w:rsidRPr="0072784E" w:rsidTr="005F4A1B">
        <w:trPr>
          <w:jc w:val="center"/>
        </w:trPr>
        <w:tc>
          <w:tcPr>
            <w:tcW w:w="9256" w:type="dxa"/>
          </w:tcPr>
          <w:p w:rsidR="002517BB" w:rsidRPr="002517BB" w:rsidRDefault="002517BB" w:rsidP="002517BB">
            <w:pPr>
              <w:ind w:firstLine="720"/>
              <w:jc w:val="both"/>
              <w:rPr>
                <w:rFonts w:ascii="GHEA Grapalat" w:eastAsia="Calibri" w:hAnsi="GHEA Grapalat" w:cs="GHEA Grapalat"/>
                <w:sz w:val="24"/>
                <w:szCs w:val="24"/>
                <w:lang w:val="hy-AM"/>
              </w:rPr>
            </w:pPr>
            <w:r w:rsidRPr="002517BB">
              <w:rPr>
                <w:rFonts w:ascii="GHEA Grapalat" w:eastAsia="Calibri" w:hAnsi="GHEA Grapalat" w:cs="GHEA Grapalat"/>
                <w:sz w:val="24"/>
                <w:szCs w:val="24"/>
                <w:lang w:val="hy-AM"/>
              </w:rPr>
              <w:t>7. Նախագծի 1-ին կետի 3-րդ ենթակետով Հայաստանի Հանրապետության կառավարության 2021 թվականի հոկտեմբերի 18-ի N 1709-Լ որոշման N 2 հավելվածում լրացվող նոր 22.2-րդ կետում անհրաժեշտ է վերանայել նույն կարգի 22-րդ կետին կատարված հղումը՝ նկատի ունենալով այն հանգամանքը, որ տվյալ պարագայում խոսքը 22.1-ին կետում նշված տեղեկությունների մասին է:</w:t>
            </w:r>
          </w:p>
          <w:p w:rsidR="002517BB" w:rsidRPr="002517BB" w:rsidRDefault="002517BB" w:rsidP="002517BB">
            <w:pPr>
              <w:ind w:firstLine="720"/>
              <w:jc w:val="both"/>
              <w:rPr>
                <w:rFonts w:ascii="GHEA Grapalat" w:eastAsia="Calibri" w:hAnsi="GHEA Grapalat" w:cs="GHEA Grapalat"/>
                <w:sz w:val="24"/>
                <w:szCs w:val="24"/>
                <w:lang w:val="hy-AM"/>
              </w:rPr>
            </w:pPr>
            <w:r w:rsidRPr="002517BB">
              <w:rPr>
                <w:rFonts w:ascii="GHEA Grapalat" w:eastAsia="Calibri" w:hAnsi="GHEA Grapalat" w:cs="GHEA Grapalat"/>
                <w:sz w:val="24"/>
                <w:szCs w:val="24"/>
                <w:lang w:val="hy-AM"/>
              </w:rPr>
              <w:t>Միևնույն ժամանակ, Նախագծի 1-ին կետի 3-րդ ենթակետով Հայաստանի Հանրապետության կառավարության 2021 թվականի հոկտեմբերի 18-ի N 1709-Լ որոշման N 2 հավելվածում լրացվող նոր 22.2-րդ կետում անհրաժեշտ է պարզաբանել այն հարցը, թե բանկին տրամադրվող ինչ վճարման ցուցակների մասին է խոսքը:</w:t>
            </w:r>
          </w:p>
        </w:tc>
        <w:tc>
          <w:tcPr>
            <w:tcW w:w="4941" w:type="dxa"/>
            <w:gridSpan w:val="2"/>
          </w:tcPr>
          <w:p w:rsidR="002517BB" w:rsidRDefault="005C2DD7" w:rsidP="002517BB">
            <w:pPr>
              <w:ind w:firstLine="339"/>
              <w:jc w:val="both"/>
              <w:rPr>
                <w:rFonts w:ascii="GHEA Grapalat" w:hAnsi="GHEA Grapalat"/>
                <w:sz w:val="24"/>
                <w:szCs w:val="24"/>
                <w:lang w:val="hy-AM"/>
              </w:rPr>
            </w:pPr>
            <w:r>
              <w:rPr>
                <w:rFonts w:ascii="GHEA Grapalat" w:hAnsi="GHEA Grapalat"/>
                <w:sz w:val="24"/>
                <w:szCs w:val="24"/>
                <w:lang w:val="hy-AM"/>
              </w:rPr>
              <w:t>Ընդունվել է։</w:t>
            </w:r>
          </w:p>
          <w:p w:rsidR="005C2DD7" w:rsidRDefault="005C2DD7" w:rsidP="002517BB">
            <w:pPr>
              <w:ind w:firstLine="339"/>
              <w:jc w:val="both"/>
              <w:rPr>
                <w:rFonts w:ascii="GHEA Grapalat" w:hAnsi="GHEA Grapalat"/>
                <w:sz w:val="24"/>
                <w:szCs w:val="24"/>
                <w:lang w:val="hy-AM"/>
              </w:rPr>
            </w:pPr>
            <w:r w:rsidRPr="002517BB">
              <w:rPr>
                <w:rFonts w:ascii="GHEA Grapalat" w:eastAsia="Calibri" w:hAnsi="GHEA Grapalat" w:cs="GHEA Grapalat"/>
                <w:sz w:val="24"/>
                <w:szCs w:val="24"/>
                <w:lang w:val="hy-AM"/>
              </w:rPr>
              <w:t>Նախագծի 1-ին կետի 3-րդ ենթակետ</w:t>
            </w:r>
            <w:r>
              <w:rPr>
                <w:rFonts w:ascii="GHEA Grapalat" w:eastAsia="Calibri" w:hAnsi="GHEA Grapalat" w:cs="GHEA Grapalat"/>
                <w:sz w:val="24"/>
                <w:szCs w:val="24"/>
                <w:lang w:val="hy-AM"/>
              </w:rPr>
              <w:t>ո</w:t>
            </w:r>
            <w:r w:rsidR="00E57441">
              <w:rPr>
                <w:rFonts w:ascii="GHEA Grapalat" w:eastAsia="Calibri" w:hAnsi="GHEA Grapalat" w:cs="GHEA Grapalat"/>
                <w:sz w:val="24"/>
                <w:szCs w:val="24"/>
                <w:lang w:val="hy-AM"/>
              </w:rPr>
              <w:t>վ լրացվող նոր՝ 22.2-րդ կետում</w:t>
            </w:r>
            <w:r>
              <w:rPr>
                <w:rFonts w:ascii="GHEA Grapalat" w:eastAsia="Calibri" w:hAnsi="GHEA Grapalat" w:cs="GHEA Grapalat"/>
                <w:sz w:val="24"/>
                <w:szCs w:val="24"/>
                <w:lang w:val="hy-AM"/>
              </w:rPr>
              <w:t xml:space="preserve"> «</w:t>
            </w:r>
            <w:r w:rsidR="00E16523">
              <w:rPr>
                <w:rFonts w:ascii="GHEA Grapalat" w:eastAsia="Times New Roman" w:hAnsi="GHEA Grapalat" w:cs="Times New Roman"/>
                <w:color w:val="000000" w:themeColor="text1"/>
                <w:sz w:val="24"/>
                <w:szCs w:val="24"/>
                <w:lang w:val="hy-AM"/>
              </w:rPr>
              <w:t>Սույն կարգի 22-րդ կետում</w:t>
            </w:r>
            <w:r>
              <w:rPr>
                <w:rFonts w:ascii="GHEA Grapalat" w:eastAsia="Times New Roman" w:hAnsi="GHEA Grapalat" w:cs="Times New Roman"/>
                <w:color w:val="000000" w:themeColor="text1"/>
                <w:sz w:val="24"/>
                <w:szCs w:val="24"/>
                <w:lang w:val="hy-AM"/>
              </w:rPr>
              <w:t>»</w:t>
            </w:r>
            <w:r w:rsidR="00E16523">
              <w:rPr>
                <w:rFonts w:ascii="GHEA Grapalat" w:eastAsia="Times New Roman" w:hAnsi="GHEA Grapalat" w:cs="Times New Roman"/>
                <w:color w:val="000000" w:themeColor="text1"/>
                <w:sz w:val="24"/>
                <w:szCs w:val="24"/>
                <w:lang w:val="hy-AM"/>
              </w:rPr>
              <w:t xml:space="preserve"> բառերը </w:t>
            </w:r>
            <w:r>
              <w:rPr>
                <w:rFonts w:ascii="GHEA Grapalat" w:eastAsia="Calibri" w:hAnsi="GHEA Grapalat" w:cs="GHEA Grapalat"/>
                <w:sz w:val="24"/>
                <w:szCs w:val="24"/>
                <w:lang w:val="hy-AM"/>
              </w:rPr>
              <w:t xml:space="preserve">փոխարինվել են </w:t>
            </w:r>
            <w:r>
              <w:rPr>
                <w:rFonts w:ascii="GHEA Grapalat" w:eastAsia="Times New Roman" w:hAnsi="GHEA Grapalat" w:cs="Times New Roman"/>
                <w:color w:val="000000" w:themeColor="text1"/>
                <w:sz w:val="24"/>
                <w:szCs w:val="24"/>
                <w:lang w:val="hy-AM"/>
              </w:rPr>
              <w:t>«</w:t>
            </w:r>
            <w:r w:rsidRPr="002245FA">
              <w:rPr>
                <w:rFonts w:ascii="GHEA Grapalat" w:eastAsia="Times New Roman" w:hAnsi="GHEA Grapalat" w:cs="Times New Roman"/>
                <w:color w:val="000000" w:themeColor="text1"/>
                <w:sz w:val="24"/>
                <w:szCs w:val="24"/>
                <w:lang w:val="hy-AM"/>
              </w:rPr>
              <w:t xml:space="preserve">Սույն </w:t>
            </w:r>
            <w:r>
              <w:rPr>
                <w:rFonts w:ascii="GHEA Grapalat" w:eastAsia="Times New Roman" w:hAnsi="GHEA Grapalat" w:cs="Times New Roman"/>
                <w:color w:val="000000" w:themeColor="text1"/>
                <w:sz w:val="24"/>
                <w:szCs w:val="24"/>
                <w:lang w:val="hy-AM"/>
              </w:rPr>
              <w:t>կարգի 22</w:t>
            </w:r>
            <w:r w:rsidR="00E16523">
              <w:rPr>
                <w:rFonts w:ascii="GHEA Grapalat" w:eastAsia="Times New Roman" w:hAnsi="GHEA Grapalat" w:cs="Times New Roman"/>
                <w:color w:val="000000" w:themeColor="text1"/>
                <w:sz w:val="24"/>
                <w:szCs w:val="24"/>
                <w:lang w:val="hy-AM"/>
              </w:rPr>
              <w:t>.1</w:t>
            </w:r>
            <w:r>
              <w:rPr>
                <w:rFonts w:ascii="GHEA Grapalat" w:eastAsia="Times New Roman" w:hAnsi="GHEA Grapalat" w:cs="Times New Roman"/>
                <w:color w:val="000000" w:themeColor="text1"/>
                <w:sz w:val="24"/>
                <w:szCs w:val="24"/>
                <w:lang w:val="hy-AM"/>
              </w:rPr>
              <w:t>-</w:t>
            </w:r>
            <w:r w:rsidR="001262FE">
              <w:rPr>
                <w:rFonts w:ascii="GHEA Grapalat" w:eastAsia="Times New Roman" w:hAnsi="GHEA Grapalat" w:cs="Times New Roman"/>
                <w:color w:val="000000" w:themeColor="text1"/>
                <w:sz w:val="24"/>
                <w:szCs w:val="24"/>
                <w:lang w:val="hy-AM"/>
              </w:rPr>
              <w:t>ին</w:t>
            </w:r>
            <w:r>
              <w:rPr>
                <w:rFonts w:ascii="GHEA Grapalat" w:eastAsia="Times New Roman" w:hAnsi="GHEA Grapalat" w:cs="Times New Roman"/>
                <w:color w:val="000000" w:themeColor="text1"/>
                <w:sz w:val="24"/>
                <w:szCs w:val="24"/>
                <w:lang w:val="hy-AM"/>
              </w:rPr>
              <w:t xml:space="preserve"> </w:t>
            </w:r>
            <w:r w:rsidRPr="002245FA">
              <w:rPr>
                <w:rFonts w:ascii="GHEA Grapalat" w:eastAsia="Times New Roman" w:hAnsi="GHEA Grapalat" w:cs="Times New Roman"/>
                <w:color w:val="000000" w:themeColor="text1"/>
                <w:sz w:val="24"/>
                <w:szCs w:val="24"/>
                <w:lang w:val="hy-AM"/>
              </w:rPr>
              <w:t>կետում</w:t>
            </w:r>
            <w:r>
              <w:rPr>
                <w:rFonts w:ascii="GHEA Grapalat" w:eastAsia="Times New Roman" w:hAnsi="GHEA Grapalat" w:cs="Times New Roman"/>
                <w:color w:val="000000" w:themeColor="text1"/>
                <w:sz w:val="24"/>
                <w:szCs w:val="24"/>
                <w:lang w:val="hy-AM"/>
              </w:rPr>
              <w:t>» բառերով։</w:t>
            </w:r>
          </w:p>
          <w:p w:rsidR="00DA7161" w:rsidRDefault="00E16523" w:rsidP="003A2127">
            <w:pPr>
              <w:ind w:firstLine="339"/>
              <w:jc w:val="both"/>
              <w:rPr>
                <w:rFonts w:ascii="GHEA Grapalat" w:eastAsia="Calibri" w:hAnsi="GHEA Grapalat" w:cs="GHEA Grapalat"/>
                <w:sz w:val="24"/>
                <w:szCs w:val="24"/>
                <w:lang w:val="hy-AM"/>
              </w:rPr>
            </w:pPr>
            <w:r>
              <w:rPr>
                <w:rFonts w:ascii="GHEA Grapalat" w:eastAsia="Calibri" w:hAnsi="GHEA Grapalat" w:cs="GHEA Grapalat"/>
                <w:sz w:val="24"/>
                <w:szCs w:val="24"/>
                <w:lang w:val="hy-AM"/>
              </w:rPr>
              <w:t>Միաժամանակ,</w:t>
            </w:r>
            <w:r w:rsidRPr="002517BB">
              <w:rPr>
                <w:rFonts w:ascii="GHEA Grapalat" w:eastAsia="Calibri" w:hAnsi="GHEA Grapalat" w:cs="GHEA Grapalat"/>
                <w:sz w:val="24"/>
                <w:szCs w:val="24"/>
                <w:lang w:val="hy-AM"/>
              </w:rPr>
              <w:t xml:space="preserve"> Նախագծի 1-ին կետի 3-րդ ենթակետ</w:t>
            </w:r>
            <w:r>
              <w:rPr>
                <w:rFonts w:ascii="GHEA Grapalat" w:eastAsia="Calibri" w:hAnsi="GHEA Grapalat" w:cs="GHEA Grapalat"/>
                <w:sz w:val="24"/>
                <w:szCs w:val="24"/>
                <w:lang w:val="hy-AM"/>
              </w:rPr>
              <w:t xml:space="preserve">ով </w:t>
            </w:r>
            <w:r w:rsidRPr="002517BB">
              <w:rPr>
                <w:rFonts w:ascii="GHEA Grapalat" w:eastAsia="Calibri" w:hAnsi="GHEA Grapalat" w:cs="GHEA Grapalat"/>
                <w:sz w:val="24"/>
                <w:szCs w:val="24"/>
                <w:lang w:val="hy-AM"/>
              </w:rPr>
              <w:t>լրացվող նոր</w:t>
            </w:r>
            <w:r>
              <w:rPr>
                <w:rFonts w:ascii="GHEA Grapalat" w:eastAsia="Calibri" w:hAnsi="GHEA Grapalat" w:cs="GHEA Grapalat"/>
                <w:sz w:val="24"/>
                <w:szCs w:val="24"/>
                <w:lang w:val="hy-AM"/>
              </w:rPr>
              <w:t>՝</w:t>
            </w:r>
            <w:r w:rsidRPr="002517BB">
              <w:rPr>
                <w:rFonts w:ascii="GHEA Grapalat" w:eastAsia="Calibri" w:hAnsi="GHEA Grapalat" w:cs="GHEA Grapalat"/>
                <w:sz w:val="24"/>
                <w:szCs w:val="24"/>
                <w:lang w:val="hy-AM"/>
              </w:rPr>
              <w:t xml:space="preserve"> 22.2-րդ կետում բանկին տրամադրվող վճարման ցուցակների</w:t>
            </w:r>
            <w:r>
              <w:rPr>
                <w:rFonts w:ascii="GHEA Grapalat" w:eastAsia="Calibri" w:hAnsi="GHEA Grapalat" w:cs="GHEA Grapalat"/>
                <w:sz w:val="24"/>
                <w:szCs w:val="24"/>
                <w:lang w:val="hy-AM"/>
              </w:rPr>
              <w:t xml:space="preserve"> հստակեցման </w:t>
            </w:r>
            <w:r>
              <w:rPr>
                <w:rFonts w:ascii="GHEA Grapalat" w:eastAsia="Calibri" w:hAnsi="GHEA Grapalat" w:cs="GHEA Grapalat"/>
                <w:sz w:val="24"/>
                <w:szCs w:val="24"/>
                <w:lang w:val="hy-AM"/>
              </w:rPr>
              <w:lastRenderedPageBreak/>
              <w:t>անհրաժեշտություն չկա, քանի որ</w:t>
            </w:r>
            <w:r w:rsidRPr="002517BB">
              <w:rPr>
                <w:rFonts w:ascii="GHEA Grapalat" w:eastAsia="Calibri" w:hAnsi="GHEA Grapalat" w:cs="GHEA Grapalat"/>
                <w:sz w:val="24"/>
                <w:szCs w:val="24"/>
                <w:lang w:val="hy-AM"/>
              </w:rPr>
              <w:t xml:space="preserve"> </w:t>
            </w:r>
            <w:r w:rsidR="00DA7161">
              <w:rPr>
                <w:rFonts w:ascii="GHEA Grapalat" w:eastAsia="Calibri" w:hAnsi="GHEA Grapalat" w:cs="GHEA Grapalat"/>
                <w:sz w:val="24"/>
                <w:szCs w:val="24"/>
                <w:lang w:val="hy-AM"/>
              </w:rPr>
              <w:t>ՀՀ</w:t>
            </w:r>
            <w:r w:rsidR="00DA7161" w:rsidRPr="002517BB">
              <w:rPr>
                <w:rFonts w:ascii="GHEA Grapalat" w:eastAsia="Calibri" w:hAnsi="GHEA Grapalat" w:cs="GHEA Grapalat"/>
                <w:sz w:val="24"/>
                <w:szCs w:val="24"/>
                <w:lang w:val="hy-AM"/>
              </w:rPr>
              <w:t xml:space="preserve"> կառավարության 2021 թվականի հոկտեմբերի 18-ի N 1709-Լ որոշման</w:t>
            </w:r>
            <w:r w:rsidR="00DA7161">
              <w:rPr>
                <w:rFonts w:ascii="GHEA Grapalat" w:eastAsia="Calibri" w:hAnsi="GHEA Grapalat" w:cs="GHEA Grapalat"/>
                <w:sz w:val="24"/>
                <w:szCs w:val="24"/>
                <w:lang w:val="hy-AM"/>
              </w:rPr>
              <w:t xml:space="preserve"> 2-րդ հավելվածի 12-րդ կետով սահմանված է վճարման ցուցակի ձևավորման ընթացակարգը</w:t>
            </w:r>
            <w:r w:rsidR="003356C7">
              <w:rPr>
                <w:rFonts w:ascii="GHEA Grapalat" w:eastAsia="Calibri" w:hAnsi="GHEA Grapalat" w:cs="GHEA Grapalat"/>
                <w:sz w:val="24"/>
                <w:szCs w:val="24"/>
                <w:lang w:val="hy-AM"/>
              </w:rPr>
              <w:t>։</w:t>
            </w:r>
            <w:r w:rsidR="0080018C">
              <w:rPr>
                <w:rFonts w:ascii="GHEA Grapalat" w:eastAsia="Calibri" w:hAnsi="GHEA Grapalat" w:cs="GHEA Grapalat"/>
                <w:sz w:val="24"/>
                <w:szCs w:val="24"/>
                <w:lang w:val="hy-AM"/>
              </w:rPr>
              <w:t xml:space="preserve"> </w:t>
            </w:r>
          </w:p>
          <w:p w:rsidR="001262FE" w:rsidRPr="00E57441" w:rsidRDefault="001262FE" w:rsidP="001262FE">
            <w:pPr>
              <w:ind w:firstLine="339"/>
              <w:jc w:val="both"/>
              <w:rPr>
                <w:rFonts w:ascii="GHEA Grapalat" w:hAnsi="GHEA Grapalat"/>
                <w:sz w:val="24"/>
                <w:szCs w:val="24"/>
                <w:lang w:val="hy-AM"/>
              </w:rPr>
            </w:pPr>
            <w:r>
              <w:rPr>
                <w:rFonts w:ascii="GHEA Grapalat" w:eastAsia="Calibri" w:hAnsi="GHEA Grapalat" w:cs="GHEA Grapalat"/>
                <w:sz w:val="24"/>
                <w:szCs w:val="24"/>
                <w:lang w:val="hy-AM"/>
              </w:rPr>
              <w:t xml:space="preserve">Նշված ընթացակարգով բանկերին տրամադրվել են վճարման ցուցակները, երբ </w:t>
            </w:r>
            <w:r w:rsidR="00B91B67">
              <w:rPr>
                <w:rFonts w:ascii="GHEA Grapalat" w:eastAsia="Calibri" w:hAnsi="GHEA Grapalat" w:cs="GHEA Grapalat"/>
                <w:sz w:val="24"/>
                <w:szCs w:val="24"/>
                <w:lang w:val="hy-AM"/>
              </w:rPr>
              <w:t>տվյալ ամսվա դրամական օգնություն մի մասը ֆինանսավորվել է դոնորի կողմից, իսկ մնացածը՝ ՀՀ 2021թ․ պետական բյուջեի։</w:t>
            </w:r>
          </w:p>
        </w:tc>
      </w:tr>
      <w:tr w:rsidR="006850C6" w:rsidRPr="00E57441" w:rsidTr="005F4A1B">
        <w:trPr>
          <w:jc w:val="center"/>
        </w:trPr>
        <w:tc>
          <w:tcPr>
            <w:tcW w:w="10513" w:type="dxa"/>
            <w:gridSpan w:val="2"/>
          </w:tcPr>
          <w:p w:rsidR="006850C6" w:rsidRPr="00E57441" w:rsidRDefault="006850C6" w:rsidP="002517BB">
            <w:pPr>
              <w:pStyle w:val="a5"/>
              <w:rPr>
                <w:rFonts w:ascii="GHEA Grapalat" w:hAnsi="GHEA Grapalat"/>
                <w:b/>
                <w:sz w:val="24"/>
                <w:szCs w:val="24"/>
                <w:lang w:val="hy-AM"/>
              </w:rPr>
            </w:pPr>
            <w:r w:rsidRPr="002517BB">
              <w:rPr>
                <w:rFonts w:ascii="GHEA Grapalat" w:hAnsi="GHEA Grapalat"/>
                <w:b/>
                <w:sz w:val="24"/>
                <w:szCs w:val="24"/>
                <w:lang w:val="hy-AM"/>
              </w:rPr>
              <w:lastRenderedPageBreak/>
              <w:t xml:space="preserve">                         2.  </w:t>
            </w:r>
            <w:r w:rsidRPr="00E57441">
              <w:rPr>
                <w:rFonts w:ascii="GHEA Grapalat" w:hAnsi="GHEA Grapalat"/>
                <w:b/>
                <w:sz w:val="24"/>
                <w:szCs w:val="24"/>
                <w:lang w:val="hy-AM"/>
              </w:rPr>
              <w:t>ՀՀ ֆ</w:t>
            </w:r>
            <w:r w:rsidRPr="002517BB">
              <w:rPr>
                <w:rFonts w:ascii="GHEA Grapalat" w:hAnsi="GHEA Grapalat"/>
                <w:b/>
                <w:sz w:val="24"/>
                <w:szCs w:val="24"/>
                <w:lang w:val="hy-AM"/>
              </w:rPr>
              <w:t>ինանսների նախարարություն</w:t>
            </w:r>
          </w:p>
        </w:tc>
        <w:tc>
          <w:tcPr>
            <w:tcW w:w="3684" w:type="dxa"/>
          </w:tcPr>
          <w:p w:rsidR="006850C6" w:rsidRPr="00E57441" w:rsidRDefault="006850C6" w:rsidP="002517BB">
            <w:pPr>
              <w:rPr>
                <w:rFonts w:ascii="GHEA Grapalat" w:hAnsi="GHEA Grapalat"/>
                <w:sz w:val="24"/>
                <w:szCs w:val="24"/>
                <w:lang w:val="hy-AM"/>
              </w:rPr>
            </w:pPr>
            <w:r w:rsidRPr="003356C7">
              <w:rPr>
                <w:rFonts w:ascii="GHEA Grapalat" w:hAnsi="GHEA Grapalat"/>
                <w:sz w:val="24"/>
                <w:szCs w:val="24"/>
                <w:lang w:val="hy-AM"/>
              </w:rPr>
              <w:t>0</w:t>
            </w:r>
            <w:r w:rsidR="003356C7" w:rsidRPr="003356C7">
              <w:rPr>
                <w:rFonts w:ascii="GHEA Grapalat" w:hAnsi="GHEA Grapalat"/>
                <w:sz w:val="24"/>
                <w:szCs w:val="24"/>
                <w:lang w:val="hy-AM"/>
              </w:rPr>
              <w:t>7</w:t>
            </w:r>
            <w:r w:rsidRPr="003356C7">
              <w:rPr>
                <w:rFonts w:ascii="GHEA Grapalat" w:hAnsi="GHEA Grapalat"/>
                <w:sz w:val="24"/>
                <w:szCs w:val="24"/>
                <w:lang w:val="hy-AM"/>
              </w:rPr>
              <w:t>.03.2</w:t>
            </w:r>
            <w:r w:rsidRPr="00E57441">
              <w:rPr>
                <w:rFonts w:ascii="GHEA Grapalat" w:hAnsi="GHEA Grapalat"/>
                <w:sz w:val="24"/>
                <w:szCs w:val="24"/>
                <w:lang w:val="hy-AM"/>
              </w:rPr>
              <w:t>022</w:t>
            </w:r>
          </w:p>
          <w:p w:rsidR="006850C6" w:rsidRPr="00E57441" w:rsidRDefault="006850C6" w:rsidP="002517BB">
            <w:pPr>
              <w:jc w:val="both"/>
              <w:rPr>
                <w:rFonts w:ascii="GHEA Grapalat" w:hAnsi="GHEA Grapalat"/>
                <w:sz w:val="24"/>
                <w:szCs w:val="24"/>
                <w:lang w:val="hy-AM"/>
              </w:rPr>
            </w:pPr>
            <w:r w:rsidRPr="00E57441">
              <w:rPr>
                <w:rFonts w:ascii="GHEA Grapalat" w:hAnsi="GHEA Grapalat"/>
                <w:sz w:val="24"/>
                <w:szCs w:val="24"/>
                <w:lang w:val="hy-AM"/>
              </w:rPr>
              <w:t xml:space="preserve">N </w:t>
            </w:r>
            <w:r w:rsidR="003356C7" w:rsidRPr="00E57441">
              <w:rPr>
                <w:rFonts w:ascii="GHEA Grapalat" w:hAnsi="GHEA Grapalat"/>
                <w:color w:val="000000"/>
                <w:sz w:val="24"/>
                <w:szCs w:val="24"/>
                <w:shd w:val="clear" w:color="auto" w:fill="FFFFFF"/>
                <w:lang w:val="hy-AM"/>
              </w:rPr>
              <w:t>01/8-3/3887-2022</w:t>
            </w:r>
          </w:p>
        </w:tc>
      </w:tr>
      <w:tr w:rsidR="00934E1E" w:rsidRPr="002517BB" w:rsidTr="005F4A1B">
        <w:trPr>
          <w:jc w:val="center"/>
        </w:trPr>
        <w:tc>
          <w:tcPr>
            <w:tcW w:w="9256" w:type="dxa"/>
          </w:tcPr>
          <w:p w:rsidR="00934E1E" w:rsidRPr="003356C7" w:rsidRDefault="003356C7" w:rsidP="003356C7">
            <w:pPr>
              <w:spacing w:line="264" w:lineRule="auto"/>
              <w:ind w:firstLine="567"/>
              <w:jc w:val="both"/>
              <w:rPr>
                <w:rFonts w:ascii="GHEA Grapalat" w:hAnsi="GHEA Grapalat" w:cs="Sylfaen"/>
                <w:sz w:val="24"/>
                <w:szCs w:val="24"/>
                <w:lang w:val="hy-AM"/>
              </w:rPr>
            </w:pPr>
            <w:r w:rsidRPr="00EF4132">
              <w:rPr>
                <w:rFonts w:ascii="GHEA Grapalat" w:hAnsi="GHEA Grapalat" w:cs="Sylfaen"/>
                <w:sz w:val="24"/>
                <w:szCs w:val="24"/>
                <w:lang w:val="hy-AM"/>
              </w:rPr>
              <w:t xml:space="preserve">Ի կատարումն ՀՀ վարչապետի ս.թ. մարտի 4-ի N 02/11.8/6919-2022 հանձնարարականի՝ ուսումնասիրելով «Հայաստանի Հանրապետության կառավարության 2021 թվականի հոկտեմբերի 18-ի N 1709-L որոշման մեջ փոփոխություններ և լրացումներ կատարելու մասին» ՀՀ կառավարության որոշման նախագիծը (Այսուհետ՝ Նախագիծ), որով նախատեսվում է Արցախի Հանրապետության աշխատանքի, սոցիալական և միգրացիայի հարցերի նախարարության կողմից </w:t>
            </w:r>
            <w:r w:rsidRPr="00EF4132">
              <w:rPr>
                <w:rFonts w:ascii="GHEA Grapalat" w:eastAsia="Times New Roman" w:hAnsi="GHEA Grapalat" w:cs="Sylfaen"/>
                <w:sz w:val="24"/>
                <w:szCs w:val="24"/>
                <w:lang w:val="hy-AM"/>
              </w:rPr>
              <w:t>վերոնշյալ որոշման շրջանակներում աջակցության իրավունք ձեռք բերած անձանց 2022 թվականի հունվար և փետրվար ամիսների համար հատկացնել դրամական օգնություն՝</w:t>
            </w:r>
            <w:r w:rsidRPr="00EF4132">
              <w:rPr>
                <w:rFonts w:ascii="GHEA Grapalat" w:hAnsi="GHEA Grapalat" w:cs="Sylfaen"/>
                <w:sz w:val="24"/>
                <w:szCs w:val="24"/>
                <w:lang w:val="hy-AM"/>
              </w:rPr>
              <w:t xml:space="preserve"> </w:t>
            </w:r>
            <w:r w:rsidRPr="00EF4132">
              <w:rPr>
                <w:rFonts w:ascii="GHEA Grapalat" w:eastAsia="Times New Roman" w:hAnsi="GHEA Grapalat" w:cs="Sylfaen"/>
                <w:sz w:val="24"/>
                <w:szCs w:val="24"/>
                <w:lang w:val="hy-AM"/>
              </w:rPr>
              <w:t>Արցախի Հանրապետության 2022 թվականի պետական բյուջեի միջոցների հաշվին, հայտնում ենք, որ դիտողություններ և առաջարկություններ չունենք:</w:t>
            </w:r>
          </w:p>
        </w:tc>
        <w:tc>
          <w:tcPr>
            <w:tcW w:w="4941" w:type="dxa"/>
            <w:gridSpan w:val="2"/>
          </w:tcPr>
          <w:p w:rsidR="00934E1E" w:rsidRPr="003356C7" w:rsidRDefault="003356C7" w:rsidP="003356C7">
            <w:pPr>
              <w:shd w:val="clear" w:color="auto" w:fill="FFFFFF"/>
              <w:tabs>
                <w:tab w:val="left" w:pos="567"/>
              </w:tabs>
              <w:ind w:firstLine="43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Ընդունվել է։</w:t>
            </w:r>
          </w:p>
        </w:tc>
      </w:tr>
    </w:tbl>
    <w:p w:rsidR="00982392" w:rsidRPr="002517BB" w:rsidRDefault="00982392" w:rsidP="002517BB">
      <w:pPr>
        <w:spacing w:line="240" w:lineRule="auto"/>
        <w:rPr>
          <w:rFonts w:ascii="GHEA Grapalat" w:hAnsi="GHEA Grapalat"/>
          <w:sz w:val="24"/>
          <w:szCs w:val="24"/>
        </w:rPr>
      </w:pPr>
    </w:p>
    <w:sectPr w:rsidR="00982392" w:rsidRPr="002517BB" w:rsidSect="00371AB0">
      <w:headerReference w:type="default" r:id="rId9"/>
      <w:pgSz w:w="15840" w:h="12240" w:orient="landscape"/>
      <w:pgMar w:top="1080" w:right="70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B3" w:rsidRDefault="00515AB3" w:rsidP="003D30E3">
      <w:pPr>
        <w:spacing w:after="0" w:line="240" w:lineRule="auto"/>
      </w:pPr>
      <w:r>
        <w:separator/>
      </w:r>
    </w:p>
  </w:endnote>
  <w:endnote w:type="continuationSeparator" w:id="0">
    <w:p w:rsidR="00515AB3" w:rsidRDefault="00515AB3" w:rsidP="003D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B3" w:rsidRDefault="00515AB3" w:rsidP="003D30E3">
      <w:pPr>
        <w:spacing w:after="0" w:line="240" w:lineRule="auto"/>
      </w:pPr>
      <w:r>
        <w:separator/>
      </w:r>
    </w:p>
  </w:footnote>
  <w:footnote w:type="continuationSeparator" w:id="0">
    <w:p w:rsidR="00515AB3" w:rsidRDefault="00515AB3" w:rsidP="003D3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92" w:rsidRDefault="00982392" w:rsidP="00982392">
    <w:pPr>
      <w:pStyle w:val="a7"/>
      <w:tabs>
        <w:tab w:val="clear" w:pos="4680"/>
        <w:tab w:val="clear" w:pos="9360"/>
        <w:tab w:val="left" w:pos="21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3A1"/>
    <w:multiLevelType w:val="hybridMultilevel"/>
    <w:tmpl w:val="2002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66F5A"/>
    <w:multiLevelType w:val="hybridMultilevel"/>
    <w:tmpl w:val="8CF05B64"/>
    <w:lvl w:ilvl="0" w:tplc="CF02289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15D9652C"/>
    <w:multiLevelType w:val="hybridMultilevel"/>
    <w:tmpl w:val="6F80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B6AD3"/>
    <w:multiLevelType w:val="hybridMultilevel"/>
    <w:tmpl w:val="CD88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E1BFF"/>
    <w:multiLevelType w:val="hybridMultilevel"/>
    <w:tmpl w:val="4BB0FA54"/>
    <w:lvl w:ilvl="0" w:tplc="04090011">
      <w:start w:val="1"/>
      <w:numFmt w:val="decimal"/>
      <w:lvlText w:val="%1)"/>
      <w:lvlJc w:val="left"/>
      <w:pPr>
        <w:ind w:left="1264" w:hanging="360"/>
      </w:pPr>
    </w:lvl>
    <w:lvl w:ilvl="1" w:tplc="04090019">
      <w:start w:val="1"/>
      <w:numFmt w:val="lowerLetter"/>
      <w:lvlText w:val="%2."/>
      <w:lvlJc w:val="left"/>
      <w:pPr>
        <w:ind w:left="1984" w:hanging="360"/>
      </w:pPr>
    </w:lvl>
    <w:lvl w:ilvl="2" w:tplc="0409001B">
      <w:start w:val="1"/>
      <w:numFmt w:val="lowerRoman"/>
      <w:lvlText w:val="%3."/>
      <w:lvlJc w:val="right"/>
      <w:pPr>
        <w:ind w:left="2704" w:hanging="180"/>
      </w:pPr>
    </w:lvl>
    <w:lvl w:ilvl="3" w:tplc="0409000F">
      <w:start w:val="1"/>
      <w:numFmt w:val="decimal"/>
      <w:lvlText w:val="%4."/>
      <w:lvlJc w:val="left"/>
      <w:pPr>
        <w:ind w:left="3424" w:hanging="360"/>
      </w:pPr>
    </w:lvl>
    <w:lvl w:ilvl="4" w:tplc="04090019">
      <w:start w:val="1"/>
      <w:numFmt w:val="lowerLetter"/>
      <w:lvlText w:val="%5."/>
      <w:lvlJc w:val="left"/>
      <w:pPr>
        <w:ind w:left="4144" w:hanging="360"/>
      </w:pPr>
    </w:lvl>
    <w:lvl w:ilvl="5" w:tplc="0409001B">
      <w:start w:val="1"/>
      <w:numFmt w:val="lowerRoman"/>
      <w:lvlText w:val="%6."/>
      <w:lvlJc w:val="right"/>
      <w:pPr>
        <w:ind w:left="4864" w:hanging="180"/>
      </w:pPr>
    </w:lvl>
    <w:lvl w:ilvl="6" w:tplc="0409000F">
      <w:start w:val="1"/>
      <w:numFmt w:val="decimal"/>
      <w:lvlText w:val="%7."/>
      <w:lvlJc w:val="left"/>
      <w:pPr>
        <w:ind w:left="5584" w:hanging="360"/>
      </w:pPr>
    </w:lvl>
    <w:lvl w:ilvl="7" w:tplc="04090019">
      <w:start w:val="1"/>
      <w:numFmt w:val="lowerLetter"/>
      <w:lvlText w:val="%8."/>
      <w:lvlJc w:val="left"/>
      <w:pPr>
        <w:ind w:left="6304" w:hanging="360"/>
      </w:pPr>
    </w:lvl>
    <w:lvl w:ilvl="8" w:tplc="0409001B">
      <w:start w:val="1"/>
      <w:numFmt w:val="lowerRoman"/>
      <w:lvlText w:val="%9."/>
      <w:lvlJc w:val="right"/>
      <w:pPr>
        <w:ind w:left="7024" w:hanging="180"/>
      </w:pPr>
    </w:lvl>
  </w:abstractNum>
  <w:abstractNum w:abstractNumId="5">
    <w:nsid w:val="3FEA39CE"/>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80A2A"/>
    <w:multiLevelType w:val="hybridMultilevel"/>
    <w:tmpl w:val="96BAE4D2"/>
    <w:lvl w:ilvl="0" w:tplc="CF6276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733797E"/>
    <w:multiLevelType w:val="hybridMultilevel"/>
    <w:tmpl w:val="CF2C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A290E"/>
    <w:multiLevelType w:val="hybridMultilevel"/>
    <w:tmpl w:val="B5AE623E"/>
    <w:lvl w:ilvl="0" w:tplc="38FEB2A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5FAD2C22"/>
    <w:multiLevelType w:val="hybridMultilevel"/>
    <w:tmpl w:val="4EA4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667BBB"/>
    <w:multiLevelType w:val="hybridMultilevel"/>
    <w:tmpl w:val="992A46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086DEB"/>
    <w:multiLevelType w:val="hybridMultilevel"/>
    <w:tmpl w:val="285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DA535A"/>
    <w:multiLevelType w:val="hybridMultilevel"/>
    <w:tmpl w:val="7AF6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9"/>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5C"/>
    <w:rsid w:val="0002233E"/>
    <w:rsid w:val="0002456B"/>
    <w:rsid w:val="0003025A"/>
    <w:rsid w:val="000406FC"/>
    <w:rsid w:val="00042D0E"/>
    <w:rsid w:val="00061345"/>
    <w:rsid w:val="00077908"/>
    <w:rsid w:val="0008005B"/>
    <w:rsid w:val="00095AAE"/>
    <w:rsid w:val="000A0FC6"/>
    <w:rsid w:val="000B1C96"/>
    <w:rsid w:val="000C06EB"/>
    <w:rsid w:val="000E6ADE"/>
    <w:rsid w:val="000F00A2"/>
    <w:rsid w:val="000F4BE8"/>
    <w:rsid w:val="001262FE"/>
    <w:rsid w:val="00145D5A"/>
    <w:rsid w:val="001F4F7D"/>
    <w:rsid w:val="002372DA"/>
    <w:rsid w:val="00242597"/>
    <w:rsid w:val="00243551"/>
    <w:rsid w:val="002472FA"/>
    <w:rsid w:val="00250C8A"/>
    <w:rsid w:val="002517BB"/>
    <w:rsid w:val="00286401"/>
    <w:rsid w:val="00307B5D"/>
    <w:rsid w:val="003356C7"/>
    <w:rsid w:val="003437F5"/>
    <w:rsid w:val="003571C1"/>
    <w:rsid w:val="00371AB0"/>
    <w:rsid w:val="003A2127"/>
    <w:rsid w:val="003B3E4F"/>
    <w:rsid w:val="003D05DC"/>
    <w:rsid w:val="003D0A3C"/>
    <w:rsid w:val="003D30E3"/>
    <w:rsid w:val="004442FE"/>
    <w:rsid w:val="00450C3A"/>
    <w:rsid w:val="00461A17"/>
    <w:rsid w:val="00465B5C"/>
    <w:rsid w:val="004B61D5"/>
    <w:rsid w:val="004D0B27"/>
    <w:rsid w:val="004D6D03"/>
    <w:rsid w:val="004E015A"/>
    <w:rsid w:val="00507CF9"/>
    <w:rsid w:val="005119D4"/>
    <w:rsid w:val="00515AB3"/>
    <w:rsid w:val="00535FDC"/>
    <w:rsid w:val="00564D38"/>
    <w:rsid w:val="00564F11"/>
    <w:rsid w:val="005754CC"/>
    <w:rsid w:val="00590B8A"/>
    <w:rsid w:val="005C2DD7"/>
    <w:rsid w:val="005F5D6F"/>
    <w:rsid w:val="00607627"/>
    <w:rsid w:val="006850C6"/>
    <w:rsid w:val="006A5FC5"/>
    <w:rsid w:val="006B6E91"/>
    <w:rsid w:val="006E4094"/>
    <w:rsid w:val="0072784E"/>
    <w:rsid w:val="0075323D"/>
    <w:rsid w:val="00776CF9"/>
    <w:rsid w:val="00790EE7"/>
    <w:rsid w:val="007F1C9E"/>
    <w:rsid w:val="0080018C"/>
    <w:rsid w:val="00806660"/>
    <w:rsid w:val="0088288E"/>
    <w:rsid w:val="00885010"/>
    <w:rsid w:val="00886404"/>
    <w:rsid w:val="008943E6"/>
    <w:rsid w:val="008B30D0"/>
    <w:rsid w:val="008D2B23"/>
    <w:rsid w:val="008E2C8D"/>
    <w:rsid w:val="008E6F97"/>
    <w:rsid w:val="009239AD"/>
    <w:rsid w:val="00924ACA"/>
    <w:rsid w:val="00934E1E"/>
    <w:rsid w:val="00940AEB"/>
    <w:rsid w:val="0095260D"/>
    <w:rsid w:val="00954ED1"/>
    <w:rsid w:val="0096329A"/>
    <w:rsid w:val="00981F15"/>
    <w:rsid w:val="00982392"/>
    <w:rsid w:val="00995501"/>
    <w:rsid w:val="009B1862"/>
    <w:rsid w:val="009C4A2C"/>
    <w:rsid w:val="009C74F2"/>
    <w:rsid w:val="009D0E37"/>
    <w:rsid w:val="009D6417"/>
    <w:rsid w:val="00AA2BAB"/>
    <w:rsid w:val="00AC5E7F"/>
    <w:rsid w:val="00AC7883"/>
    <w:rsid w:val="00B235A0"/>
    <w:rsid w:val="00B91B67"/>
    <w:rsid w:val="00B929DA"/>
    <w:rsid w:val="00B92AD6"/>
    <w:rsid w:val="00BC6035"/>
    <w:rsid w:val="00BD7DDA"/>
    <w:rsid w:val="00C071BD"/>
    <w:rsid w:val="00C345F1"/>
    <w:rsid w:val="00C42469"/>
    <w:rsid w:val="00C46155"/>
    <w:rsid w:val="00C80310"/>
    <w:rsid w:val="00CA0609"/>
    <w:rsid w:val="00CA4165"/>
    <w:rsid w:val="00CB4FAA"/>
    <w:rsid w:val="00CC4905"/>
    <w:rsid w:val="00CD2371"/>
    <w:rsid w:val="00CE561A"/>
    <w:rsid w:val="00D43DCD"/>
    <w:rsid w:val="00D56F7A"/>
    <w:rsid w:val="00D84F97"/>
    <w:rsid w:val="00DA22A7"/>
    <w:rsid w:val="00DA7161"/>
    <w:rsid w:val="00DB3278"/>
    <w:rsid w:val="00DC2EEF"/>
    <w:rsid w:val="00DE1014"/>
    <w:rsid w:val="00E0558E"/>
    <w:rsid w:val="00E16523"/>
    <w:rsid w:val="00E174FD"/>
    <w:rsid w:val="00E54D93"/>
    <w:rsid w:val="00E57441"/>
    <w:rsid w:val="00E701AF"/>
    <w:rsid w:val="00EB39DB"/>
    <w:rsid w:val="00ED43EE"/>
    <w:rsid w:val="00F21472"/>
    <w:rsid w:val="00F33EF8"/>
    <w:rsid w:val="00F514D5"/>
    <w:rsid w:val="00FF0B30"/>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AC7883"/>
    <w:rPr>
      <w:b/>
      <w:bCs/>
    </w:rPr>
  </w:style>
  <w:style w:type="paragraph" w:styleId="a5">
    <w:name w:val="List Paragraph"/>
    <w:aliases w:val="Akapit z listą BS,List Paragraph 1,List_Paragraph,Multilevel para_II,List Paragraph (numbered (a)),OBC Bullet,List Paragraph11,Normal numbered,Абзац списка1,Paragraphe de liste PBLH,Bullets,List Paragraph1,References,ECDC AF Paragraph"/>
    <w:basedOn w:val="a"/>
    <w:link w:val="a6"/>
    <w:uiPriority w:val="34"/>
    <w:qFormat/>
    <w:rsid w:val="00AC7883"/>
    <w:pPr>
      <w:ind w:left="720"/>
      <w:contextualSpacing/>
    </w:pPr>
  </w:style>
  <w:style w:type="character" w:customStyle="1" w:styleId="a6">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5"/>
    <w:uiPriority w:val="34"/>
    <w:locked/>
    <w:rsid w:val="00450C3A"/>
  </w:style>
  <w:style w:type="paragraph" w:styleId="a7">
    <w:name w:val="header"/>
    <w:basedOn w:val="a"/>
    <w:link w:val="a8"/>
    <w:uiPriority w:val="99"/>
    <w:unhideWhenUsed/>
    <w:rsid w:val="003D30E3"/>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3D30E3"/>
  </w:style>
  <w:style w:type="paragraph" w:styleId="a9">
    <w:name w:val="footer"/>
    <w:basedOn w:val="a"/>
    <w:link w:val="aa"/>
    <w:uiPriority w:val="99"/>
    <w:unhideWhenUsed/>
    <w:rsid w:val="003D30E3"/>
    <w:pPr>
      <w:tabs>
        <w:tab w:val="center" w:pos="4680"/>
        <w:tab w:val="right" w:pos="9360"/>
      </w:tabs>
      <w:spacing w:after="0" w:line="240" w:lineRule="auto"/>
    </w:pPr>
  </w:style>
  <w:style w:type="character" w:customStyle="1" w:styleId="aa">
    <w:name w:val="Нижний колонтитул Знак"/>
    <w:basedOn w:val="a0"/>
    <w:link w:val="a9"/>
    <w:uiPriority w:val="99"/>
    <w:rsid w:val="003D30E3"/>
  </w:style>
  <w:style w:type="character" w:styleId="ab">
    <w:name w:val="annotation reference"/>
    <w:basedOn w:val="a0"/>
    <w:uiPriority w:val="99"/>
    <w:semiHidden/>
    <w:unhideWhenUsed/>
    <w:rsid w:val="00507CF9"/>
    <w:rPr>
      <w:sz w:val="16"/>
      <w:szCs w:val="16"/>
    </w:rPr>
  </w:style>
  <w:style w:type="paragraph" w:styleId="ac">
    <w:name w:val="annotation text"/>
    <w:basedOn w:val="a"/>
    <w:link w:val="ad"/>
    <w:uiPriority w:val="99"/>
    <w:semiHidden/>
    <w:unhideWhenUsed/>
    <w:rsid w:val="00507CF9"/>
    <w:pPr>
      <w:spacing w:line="240" w:lineRule="auto"/>
    </w:pPr>
    <w:rPr>
      <w:sz w:val="20"/>
      <w:szCs w:val="20"/>
    </w:rPr>
  </w:style>
  <w:style w:type="character" w:customStyle="1" w:styleId="ad">
    <w:name w:val="Текст примечания Знак"/>
    <w:basedOn w:val="a0"/>
    <w:link w:val="ac"/>
    <w:uiPriority w:val="99"/>
    <w:semiHidden/>
    <w:rsid w:val="00507CF9"/>
    <w:rPr>
      <w:sz w:val="20"/>
      <w:szCs w:val="20"/>
    </w:rPr>
  </w:style>
  <w:style w:type="paragraph" w:styleId="ae">
    <w:name w:val="annotation subject"/>
    <w:basedOn w:val="ac"/>
    <w:next w:val="ac"/>
    <w:link w:val="af"/>
    <w:uiPriority w:val="99"/>
    <w:semiHidden/>
    <w:unhideWhenUsed/>
    <w:rsid w:val="00507CF9"/>
    <w:rPr>
      <w:b/>
      <w:bCs/>
    </w:rPr>
  </w:style>
  <w:style w:type="character" w:customStyle="1" w:styleId="af">
    <w:name w:val="Тема примечания Знак"/>
    <w:basedOn w:val="ad"/>
    <w:link w:val="ae"/>
    <w:uiPriority w:val="99"/>
    <w:semiHidden/>
    <w:rsid w:val="00507CF9"/>
    <w:rPr>
      <w:b/>
      <w:bCs/>
      <w:sz w:val="20"/>
      <w:szCs w:val="20"/>
    </w:rPr>
  </w:style>
  <w:style w:type="paragraph" w:styleId="af0">
    <w:name w:val="Balloon Text"/>
    <w:basedOn w:val="a"/>
    <w:link w:val="af1"/>
    <w:uiPriority w:val="99"/>
    <w:semiHidden/>
    <w:unhideWhenUsed/>
    <w:rsid w:val="00507CF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07CF9"/>
    <w:rPr>
      <w:rFonts w:ascii="Segoe UI" w:hAnsi="Segoe UI" w:cs="Segoe UI"/>
      <w:sz w:val="18"/>
      <w:szCs w:val="18"/>
    </w:rPr>
  </w:style>
  <w:style w:type="character" w:customStyle="1" w:styleId="af2">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ebb Знак"/>
    <w:link w:val="af3"/>
    <w:uiPriority w:val="99"/>
    <w:locked/>
    <w:rsid w:val="00B929DA"/>
    <w:rPr>
      <w:rFonts w:ascii="Times New Roman" w:eastAsia="Times New Roman" w:hAnsi="Times New Roman" w:cs="Times New Roman"/>
      <w:sz w:val="24"/>
      <w:szCs w:val="24"/>
    </w:rPr>
  </w:style>
  <w:style w:type="paragraph" w:styleId="af3">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 webb"/>
    <w:basedOn w:val="a"/>
    <w:link w:val="af2"/>
    <w:uiPriority w:val="99"/>
    <w:unhideWhenUsed/>
    <w:qFormat/>
    <w:rsid w:val="00B929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AC7883"/>
    <w:rPr>
      <w:b/>
      <w:bCs/>
    </w:rPr>
  </w:style>
  <w:style w:type="paragraph" w:styleId="a5">
    <w:name w:val="List Paragraph"/>
    <w:aliases w:val="Akapit z listą BS,List Paragraph 1,List_Paragraph,Multilevel para_II,List Paragraph (numbered (a)),OBC Bullet,List Paragraph11,Normal numbered,Абзац списка1,Paragraphe de liste PBLH,Bullets,List Paragraph1,References,ECDC AF Paragraph"/>
    <w:basedOn w:val="a"/>
    <w:link w:val="a6"/>
    <w:uiPriority w:val="34"/>
    <w:qFormat/>
    <w:rsid w:val="00AC7883"/>
    <w:pPr>
      <w:ind w:left="720"/>
      <w:contextualSpacing/>
    </w:pPr>
  </w:style>
  <w:style w:type="character" w:customStyle="1" w:styleId="a6">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5"/>
    <w:uiPriority w:val="34"/>
    <w:locked/>
    <w:rsid w:val="00450C3A"/>
  </w:style>
  <w:style w:type="paragraph" w:styleId="a7">
    <w:name w:val="header"/>
    <w:basedOn w:val="a"/>
    <w:link w:val="a8"/>
    <w:uiPriority w:val="99"/>
    <w:unhideWhenUsed/>
    <w:rsid w:val="003D30E3"/>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3D30E3"/>
  </w:style>
  <w:style w:type="paragraph" w:styleId="a9">
    <w:name w:val="footer"/>
    <w:basedOn w:val="a"/>
    <w:link w:val="aa"/>
    <w:uiPriority w:val="99"/>
    <w:unhideWhenUsed/>
    <w:rsid w:val="003D30E3"/>
    <w:pPr>
      <w:tabs>
        <w:tab w:val="center" w:pos="4680"/>
        <w:tab w:val="right" w:pos="9360"/>
      </w:tabs>
      <w:spacing w:after="0" w:line="240" w:lineRule="auto"/>
    </w:pPr>
  </w:style>
  <w:style w:type="character" w:customStyle="1" w:styleId="aa">
    <w:name w:val="Нижний колонтитул Знак"/>
    <w:basedOn w:val="a0"/>
    <w:link w:val="a9"/>
    <w:uiPriority w:val="99"/>
    <w:rsid w:val="003D30E3"/>
  </w:style>
  <w:style w:type="character" w:styleId="ab">
    <w:name w:val="annotation reference"/>
    <w:basedOn w:val="a0"/>
    <w:uiPriority w:val="99"/>
    <w:semiHidden/>
    <w:unhideWhenUsed/>
    <w:rsid w:val="00507CF9"/>
    <w:rPr>
      <w:sz w:val="16"/>
      <w:szCs w:val="16"/>
    </w:rPr>
  </w:style>
  <w:style w:type="paragraph" w:styleId="ac">
    <w:name w:val="annotation text"/>
    <w:basedOn w:val="a"/>
    <w:link w:val="ad"/>
    <w:uiPriority w:val="99"/>
    <w:semiHidden/>
    <w:unhideWhenUsed/>
    <w:rsid w:val="00507CF9"/>
    <w:pPr>
      <w:spacing w:line="240" w:lineRule="auto"/>
    </w:pPr>
    <w:rPr>
      <w:sz w:val="20"/>
      <w:szCs w:val="20"/>
    </w:rPr>
  </w:style>
  <w:style w:type="character" w:customStyle="1" w:styleId="ad">
    <w:name w:val="Текст примечания Знак"/>
    <w:basedOn w:val="a0"/>
    <w:link w:val="ac"/>
    <w:uiPriority w:val="99"/>
    <w:semiHidden/>
    <w:rsid w:val="00507CF9"/>
    <w:rPr>
      <w:sz w:val="20"/>
      <w:szCs w:val="20"/>
    </w:rPr>
  </w:style>
  <w:style w:type="paragraph" w:styleId="ae">
    <w:name w:val="annotation subject"/>
    <w:basedOn w:val="ac"/>
    <w:next w:val="ac"/>
    <w:link w:val="af"/>
    <w:uiPriority w:val="99"/>
    <w:semiHidden/>
    <w:unhideWhenUsed/>
    <w:rsid w:val="00507CF9"/>
    <w:rPr>
      <w:b/>
      <w:bCs/>
    </w:rPr>
  </w:style>
  <w:style w:type="character" w:customStyle="1" w:styleId="af">
    <w:name w:val="Тема примечания Знак"/>
    <w:basedOn w:val="ad"/>
    <w:link w:val="ae"/>
    <w:uiPriority w:val="99"/>
    <w:semiHidden/>
    <w:rsid w:val="00507CF9"/>
    <w:rPr>
      <w:b/>
      <w:bCs/>
      <w:sz w:val="20"/>
      <w:szCs w:val="20"/>
    </w:rPr>
  </w:style>
  <w:style w:type="paragraph" w:styleId="af0">
    <w:name w:val="Balloon Text"/>
    <w:basedOn w:val="a"/>
    <w:link w:val="af1"/>
    <w:uiPriority w:val="99"/>
    <w:semiHidden/>
    <w:unhideWhenUsed/>
    <w:rsid w:val="00507CF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07CF9"/>
    <w:rPr>
      <w:rFonts w:ascii="Segoe UI" w:hAnsi="Segoe UI" w:cs="Segoe UI"/>
      <w:sz w:val="18"/>
      <w:szCs w:val="18"/>
    </w:rPr>
  </w:style>
  <w:style w:type="character" w:customStyle="1" w:styleId="af2">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ebb Знак"/>
    <w:link w:val="af3"/>
    <w:uiPriority w:val="99"/>
    <w:locked/>
    <w:rsid w:val="00B929DA"/>
    <w:rPr>
      <w:rFonts w:ascii="Times New Roman" w:eastAsia="Times New Roman" w:hAnsi="Times New Roman" w:cs="Times New Roman"/>
      <w:sz w:val="24"/>
      <w:szCs w:val="24"/>
    </w:rPr>
  </w:style>
  <w:style w:type="paragraph" w:styleId="af3">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 webb"/>
    <w:basedOn w:val="a"/>
    <w:link w:val="af2"/>
    <w:uiPriority w:val="99"/>
    <w:unhideWhenUsed/>
    <w:qFormat/>
    <w:rsid w:val="00B929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961">
      <w:bodyDiv w:val="1"/>
      <w:marLeft w:val="0"/>
      <w:marRight w:val="0"/>
      <w:marTop w:val="0"/>
      <w:marBottom w:val="0"/>
      <w:divBdr>
        <w:top w:val="none" w:sz="0" w:space="0" w:color="auto"/>
        <w:left w:val="none" w:sz="0" w:space="0" w:color="auto"/>
        <w:bottom w:val="none" w:sz="0" w:space="0" w:color="auto"/>
        <w:right w:val="none" w:sz="0" w:space="0" w:color="auto"/>
      </w:divBdr>
    </w:div>
    <w:div w:id="75981693">
      <w:bodyDiv w:val="1"/>
      <w:marLeft w:val="0"/>
      <w:marRight w:val="0"/>
      <w:marTop w:val="0"/>
      <w:marBottom w:val="0"/>
      <w:divBdr>
        <w:top w:val="none" w:sz="0" w:space="0" w:color="auto"/>
        <w:left w:val="none" w:sz="0" w:space="0" w:color="auto"/>
        <w:bottom w:val="none" w:sz="0" w:space="0" w:color="auto"/>
        <w:right w:val="none" w:sz="0" w:space="0" w:color="auto"/>
      </w:divBdr>
      <w:divsChild>
        <w:div w:id="1599750637">
          <w:marLeft w:val="0"/>
          <w:marRight w:val="0"/>
          <w:marTop w:val="0"/>
          <w:marBottom w:val="0"/>
          <w:divBdr>
            <w:top w:val="none" w:sz="0" w:space="0" w:color="auto"/>
            <w:left w:val="none" w:sz="0" w:space="0" w:color="auto"/>
            <w:bottom w:val="none" w:sz="0" w:space="0" w:color="auto"/>
            <w:right w:val="none" w:sz="0" w:space="0" w:color="auto"/>
          </w:divBdr>
          <w:divsChild>
            <w:div w:id="1193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07">
      <w:bodyDiv w:val="1"/>
      <w:marLeft w:val="0"/>
      <w:marRight w:val="0"/>
      <w:marTop w:val="0"/>
      <w:marBottom w:val="0"/>
      <w:divBdr>
        <w:top w:val="none" w:sz="0" w:space="0" w:color="auto"/>
        <w:left w:val="none" w:sz="0" w:space="0" w:color="auto"/>
        <w:bottom w:val="none" w:sz="0" w:space="0" w:color="auto"/>
        <w:right w:val="none" w:sz="0" w:space="0" w:color="auto"/>
      </w:divBdr>
    </w:div>
    <w:div w:id="207495718">
      <w:bodyDiv w:val="1"/>
      <w:marLeft w:val="0"/>
      <w:marRight w:val="0"/>
      <w:marTop w:val="0"/>
      <w:marBottom w:val="0"/>
      <w:divBdr>
        <w:top w:val="none" w:sz="0" w:space="0" w:color="auto"/>
        <w:left w:val="none" w:sz="0" w:space="0" w:color="auto"/>
        <w:bottom w:val="none" w:sz="0" w:space="0" w:color="auto"/>
        <w:right w:val="none" w:sz="0" w:space="0" w:color="auto"/>
      </w:divBdr>
      <w:divsChild>
        <w:div w:id="148788988">
          <w:marLeft w:val="0"/>
          <w:marRight w:val="0"/>
          <w:marTop w:val="0"/>
          <w:marBottom w:val="0"/>
          <w:divBdr>
            <w:top w:val="none" w:sz="0" w:space="0" w:color="auto"/>
            <w:left w:val="none" w:sz="0" w:space="0" w:color="auto"/>
            <w:bottom w:val="none" w:sz="0" w:space="0" w:color="auto"/>
            <w:right w:val="none" w:sz="0" w:space="0" w:color="auto"/>
          </w:divBdr>
          <w:divsChild>
            <w:div w:id="14858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5962">
      <w:bodyDiv w:val="1"/>
      <w:marLeft w:val="0"/>
      <w:marRight w:val="0"/>
      <w:marTop w:val="0"/>
      <w:marBottom w:val="0"/>
      <w:divBdr>
        <w:top w:val="none" w:sz="0" w:space="0" w:color="auto"/>
        <w:left w:val="none" w:sz="0" w:space="0" w:color="auto"/>
        <w:bottom w:val="none" w:sz="0" w:space="0" w:color="auto"/>
        <w:right w:val="none" w:sz="0" w:space="0" w:color="auto"/>
      </w:divBdr>
    </w:div>
    <w:div w:id="597638034">
      <w:bodyDiv w:val="1"/>
      <w:marLeft w:val="0"/>
      <w:marRight w:val="0"/>
      <w:marTop w:val="0"/>
      <w:marBottom w:val="0"/>
      <w:divBdr>
        <w:top w:val="none" w:sz="0" w:space="0" w:color="auto"/>
        <w:left w:val="none" w:sz="0" w:space="0" w:color="auto"/>
        <w:bottom w:val="none" w:sz="0" w:space="0" w:color="auto"/>
        <w:right w:val="none" w:sz="0" w:space="0" w:color="auto"/>
      </w:divBdr>
    </w:div>
    <w:div w:id="631324454">
      <w:bodyDiv w:val="1"/>
      <w:marLeft w:val="0"/>
      <w:marRight w:val="0"/>
      <w:marTop w:val="0"/>
      <w:marBottom w:val="0"/>
      <w:divBdr>
        <w:top w:val="none" w:sz="0" w:space="0" w:color="auto"/>
        <w:left w:val="none" w:sz="0" w:space="0" w:color="auto"/>
        <w:bottom w:val="none" w:sz="0" w:space="0" w:color="auto"/>
        <w:right w:val="none" w:sz="0" w:space="0" w:color="auto"/>
      </w:divBdr>
      <w:divsChild>
        <w:div w:id="427702272">
          <w:marLeft w:val="0"/>
          <w:marRight w:val="0"/>
          <w:marTop w:val="0"/>
          <w:marBottom w:val="0"/>
          <w:divBdr>
            <w:top w:val="none" w:sz="0" w:space="0" w:color="auto"/>
            <w:left w:val="none" w:sz="0" w:space="0" w:color="auto"/>
            <w:bottom w:val="none" w:sz="0" w:space="0" w:color="auto"/>
            <w:right w:val="none" w:sz="0" w:space="0" w:color="auto"/>
          </w:divBdr>
          <w:divsChild>
            <w:div w:id="7171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8117">
      <w:bodyDiv w:val="1"/>
      <w:marLeft w:val="0"/>
      <w:marRight w:val="0"/>
      <w:marTop w:val="0"/>
      <w:marBottom w:val="0"/>
      <w:divBdr>
        <w:top w:val="none" w:sz="0" w:space="0" w:color="auto"/>
        <w:left w:val="none" w:sz="0" w:space="0" w:color="auto"/>
        <w:bottom w:val="none" w:sz="0" w:space="0" w:color="auto"/>
        <w:right w:val="none" w:sz="0" w:space="0" w:color="auto"/>
      </w:divBdr>
    </w:div>
    <w:div w:id="1027101487">
      <w:bodyDiv w:val="1"/>
      <w:marLeft w:val="0"/>
      <w:marRight w:val="0"/>
      <w:marTop w:val="0"/>
      <w:marBottom w:val="0"/>
      <w:divBdr>
        <w:top w:val="none" w:sz="0" w:space="0" w:color="auto"/>
        <w:left w:val="none" w:sz="0" w:space="0" w:color="auto"/>
        <w:bottom w:val="none" w:sz="0" w:space="0" w:color="auto"/>
        <w:right w:val="none" w:sz="0" w:space="0" w:color="auto"/>
      </w:divBdr>
    </w:div>
    <w:div w:id="1082795645">
      <w:bodyDiv w:val="1"/>
      <w:marLeft w:val="0"/>
      <w:marRight w:val="0"/>
      <w:marTop w:val="0"/>
      <w:marBottom w:val="0"/>
      <w:divBdr>
        <w:top w:val="none" w:sz="0" w:space="0" w:color="auto"/>
        <w:left w:val="none" w:sz="0" w:space="0" w:color="auto"/>
        <w:bottom w:val="none" w:sz="0" w:space="0" w:color="auto"/>
        <w:right w:val="none" w:sz="0" w:space="0" w:color="auto"/>
      </w:divBdr>
      <w:divsChild>
        <w:div w:id="80372747">
          <w:marLeft w:val="0"/>
          <w:marRight w:val="0"/>
          <w:marTop w:val="0"/>
          <w:marBottom w:val="0"/>
          <w:divBdr>
            <w:top w:val="none" w:sz="0" w:space="0" w:color="auto"/>
            <w:left w:val="none" w:sz="0" w:space="0" w:color="auto"/>
            <w:bottom w:val="none" w:sz="0" w:space="0" w:color="auto"/>
            <w:right w:val="none" w:sz="0" w:space="0" w:color="auto"/>
          </w:divBdr>
          <w:divsChild>
            <w:div w:id="5874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527">
      <w:bodyDiv w:val="1"/>
      <w:marLeft w:val="0"/>
      <w:marRight w:val="0"/>
      <w:marTop w:val="0"/>
      <w:marBottom w:val="0"/>
      <w:divBdr>
        <w:top w:val="none" w:sz="0" w:space="0" w:color="auto"/>
        <w:left w:val="none" w:sz="0" w:space="0" w:color="auto"/>
        <w:bottom w:val="none" w:sz="0" w:space="0" w:color="auto"/>
        <w:right w:val="none" w:sz="0" w:space="0" w:color="auto"/>
      </w:divBdr>
    </w:div>
    <w:div w:id="1182016065">
      <w:bodyDiv w:val="1"/>
      <w:marLeft w:val="0"/>
      <w:marRight w:val="0"/>
      <w:marTop w:val="0"/>
      <w:marBottom w:val="0"/>
      <w:divBdr>
        <w:top w:val="none" w:sz="0" w:space="0" w:color="auto"/>
        <w:left w:val="none" w:sz="0" w:space="0" w:color="auto"/>
        <w:bottom w:val="none" w:sz="0" w:space="0" w:color="auto"/>
        <w:right w:val="none" w:sz="0" w:space="0" w:color="auto"/>
      </w:divBdr>
    </w:div>
    <w:div w:id="1260069327">
      <w:bodyDiv w:val="1"/>
      <w:marLeft w:val="0"/>
      <w:marRight w:val="0"/>
      <w:marTop w:val="0"/>
      <w:marBottom w:val="0"/>
      <w:divBdr>
        <w:top w:val="none" w:sz="0" w:space="0" w:color="auto"/>
        <w:left w:val="none" w:sz="0" w:space="0" w:color="auto"/>
        <w:bottom w:val="none" w:sz="0" w:space="0" w:color="auto"/>
        <w:right w:val="none" w:sz="0" w:space="0" w:color="auto"/>
      </w:divBdr>
    </w:div>
    <w:div w:id="1273437596">
      <w:bodyDiv w:val="1"/>
      <w:marLeft w:val="0"/>
      <w:marRight w:val="0"/>
      <w:marTop w:val="0"/>
      <w:marBottom w:val="0"/>
      <w:divBdr>
        <w:top w:val="none" w:sz="0" w:space="0" w:color="auto"/>
        <w:left w:val="none" w:sz="0" w:space="0" w:color="auto"/>
        <w:bottom w:val="none" w:sz="0" w:space="0" w:color="auto"/>
        <w:right w:val="none" w:sz="0" w:space="0" w:color="auto"/>
      </w:divBdr>
    </w:div>
    <w:div w:id="1318461227">
      <w:bodyDiv w:val="1"/>
      <w:marLeft w:val="0"/>
      <w:marRight w:val="0"/>
      <w:marTop w:val="0"/>
      <w:marBottom w:val="0"/>
      <w:divBdr>
        <w:top w:val="none" w:sz="0" w:space="0" w:color="auto"/>
        <w:left w:val="none" w:sz="0" w:space="0" w:color="auto"/>
        <w:bottom w:val="none" w:sz="0" w:space="0" w:color="auto"/>
        <w:right w:val="none" w:sz="0" w:space="0" w:color="auto"/>
      </w:divBdr>
    </w:div>
    <w:div w:id="159543154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0">
          <w:marLeft w:val="0"/>
          <w:marRight w:val="0"/>
          <w:marTop w:val="0"/>
          <w:marBottom w:val="0"/>
          <w:divBdr>
            <w:top w:val="none" w:sz="0" w:space="0" w:color="auto"/>
            <w:left w:val="none" w:sz="0" w:space="0" w:color="auto"/>
            <w:bottom w:val="none" w:sz="0" w:space="0" w:color="auto"/>
            <w:right w:val="none" w:sz="0" w:space="0" w:color="auto"/>
          </w:divBdr>
          <w:divsChild>
            <w:div w:id="1945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861">
      <w:bodyDiv w:val="1"/>
      <w:marLeft w:val="0"/>
      <w:marRight w:val="0"/>
      <w:marTop w:val="0"/>
      <w:marBottom w:val="0"/>
      <w:divBdr>
        <w:top w:val="none" w:sz="0" w:space="0" w:color="auto"/>
        <w:left w:val="none" w:sz="0" w:space="0" w:color="auto"/>
        <w:bottom w:val="none" w:sz="0" w:space="0" w:color="auto"/>
        <w:right w:val="none" w:sz="0" w:space="0" w:color="auto"/>
      </w:divBdr>
      <w:divsChild>
        <w:div w:id="1314063375">
          <w:marLeft w:val="0"/>
          <w:marRight w:val="0"/>
          <w:marTop w:val="0"/>
          <w:marBottom w:val="0"/>
          <w:divBdr>
            <w:top w:val="none" w:sz="0" w:space="0" w:color="auto"/>
            <w:left w:val="none" w:sz="0" w:space="0" w:color="auto"/>
            <w:bottom w:val="none" w:sz="0" w:space="0" w:color="auto"/>
            <w:right w:val="none" w:sz="0" w:space="0" w:color="auto"/>
          </w:divBdr>
          <w:divsChild>
            <w:div w:id="261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3001">
      <w:bodyDiv w:val="1"/>
      <w:marLeft w:val="0"/>
      <w:marRight w:val="0"/>
      <w:marTop w:val="0"/>
      <w:marBottom w:val="0"/>
      <w:divBdr>
        <w:top w:val="none" w:sz="0" w:space="0" w:color="auto"/>
        <w:left w:val="none" w:sz="0" w:space="0" w:color="auto"/>
        <w:bottom w:val="none" w:sz="0" w:space="0" w:color="auto"/>
        <w:right w:val="none" w:sz="0" w:space="0" w:color="auto"/>
      </w:divBdr>
    </w:div>
    <w:div w:id="1763064025">
      <w:bodyDiv w:val="1"/>
      <w:marLeft w:val="0"/>
      <w:marRight w:val="0"/>
      <w:marTop w:val="0"/>
      <w:marBottom w:val="0"/>
      <w:divBdr>
        <w:top w:val="none" w:sz="0" w:space="0" w:color="auto"/>
        <w:left w:val="none" w:sz="0" w:space="0" w:color="auto"/>
        <w:bottom w:val="none" w:sz="0" w:space="0" w:color="auto"/>
        <w:right w:val="none" w:sz="0" w:space="0" w:color="auto"/>
      </w:divBdr>
    </w:div>
    <w:div w:id="1810129843">
      <w:bodyDiv w:val="1"/>
      <w:marLeft w:val="0"/>
      <w:marRight w:val="0"/>
      <w:marTop w:val="0"/>
      <w:marBottom w:val="0"/>
      <w:divBdr>
        <w:top w:val="none" w:sz="0" w:space="0" w:color="auto"/>
        <w:left w:val="none" w:sz="0" w:space="0" w:color="auto"/>
        <w:bottom w:val="none" w:sz="0" w:space="0" w:color="auto"/>
        <w:right w:val="none" w:sz="0" w:space="0" w:color="auto"/>
      </w:divBdr>
    </w:div>
    <w:div w:id="1843473995">
      <w:bodyDiv w:val="1"/>
      <w:marLeft w:val="0"/>
      <w:marRight w:val="0"/>
      <w:marTop w:val="0"/>
      <w:marBottom w:val="0"/>
      <w:divBdr>
        <w:top w:val="none" w:sz="0" w:space="0" w:color="auto"/>
        <w:left w:val="none" w:sz="0" w:space="0" w:color="auto"/>
        <w:bottom w:val="none" w:sz="0" w:space="0" w:color="auto"/>
        <w:right w:val="none" w:sz="0" w:space="0" w:color="auto"/>
      </w:divBdr>
    </w:div>
    <w:div w:id="1890262848">
      <w:bodyDiv w:val="1"/>
      <w:marLeft w:val="0"/>
      <w:marRight w:val="0"/>
      <w:marTop w:val="0"/>
      <w:marBottom w:val="0"/>
      <w:divBdr>
        <w:top w:val="none" w:sz="0" w:space="0" w:color="auto"/>
        <w:left w:val="none" w:sz="0" w:space="0" w:color="auto"/>
        <w:bottom w:val="none" w:sz="0" w:space="0" w:color="auto"/>
        <w:right w:val="none" w:sz="0" w:space="0" w:color="auto"/>
      </w:divBdr>
    </w:div>
    <w:div w:id="2007856033">
      <w:bodyDiv w:val="1"/>
      <w:marLeft w:val="0"/>
      <w:marRight w:val="0"/>
      <w:marTop w:val="0"/>
      <w:marBottom w:val="0"/>
      <w:divBdr>
        <w:top w:val="none" w:sz="0" w:space="0" w:color="auto"/>
        <w:left w:val="none" w:sz="0" w:space="0" w:color="auto"/>
        <w:bottom w:val="none" w:sz="0" w:space="0" w:color="auto"/>
        <w:right w:val="none" w:sz="0" w:space="0" w:color="auto"/>
      </w:divBdr>
    </w:div>
    <w:div w:id="21396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2F42-E552-40AB-8E1A-494DD29C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8356</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Armine.Balyan</dc:creator>
  <cp:keywords>https:/mul2-mss.gov.am/tasks/588217/oneclick/ampopatert 1709.docx?token=8e42a3c17de8db3487df63b6f9a81a9e</cp:keywords>
  <cp:lastModifiedBy>samson.tash.52@gmail.com</cp:lastModifiedBy>
  <cp:revision>2</cp:revision>
  <dcterms:created xsi:type="dcterms:W3CDTF">2022-03-09T16:19:00Z</dcterms:created>
  <dcterms:modified xsi:type="dcterms:W3CDTF">2022-03-09T16:19:00Z</dcterms:modified>
</cp:coreProperties>
</file>