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120" w:rsidRPr="0045402C" w:rsidRDefault="001A5120" w:rsidP="001A5120">
      <w:pPr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45402C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1A5120" w:rsidRPr="00246855" w:rsidRDefault="001A5120" w:rsidP="001A512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8727F9">
        <w:rPr>
          <w:rFonts w:ascii="GHEA Grapalat" w:hAnsi="GHEA Grapalat"/>
          <w:b/>
          <w:sz w:val="24"/>
          <w:szCs w:val="24"/>
          <w:lang w:val="hy-AM"/>
        </w:rPr>
        <w:t>ԾԽԱԽՈՏԱՅԻՆ ԱՐՏԱԴՐԱՏԵՍԱԿՆԵՐԻ ԵՎ ԴՐԱՆՑ ՓՈԽԱՐԻՆԻՉՆԵՐԻ ՕԳՏԱԳՈՐԾՄԱՆ ՀԵՏԵՎԱՆՔՈՎ ԱՌՈՂՋՈՒԹՅԱՆԸ ՀԱՍՑՎՈՂ ՎՆԱՍԻ ՆՎԱԶԵՑՄԱՆ ԵՎ ԿԱՆԽԱՐԳԵԼՄԱՆ ՄԱՍԻՆ</w:t>
      </w:r>
      <w:r w:rsidRPr="00872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ՕՐԵՆՔՈՒՄ  </w:t>
      </w:r>
      <w:r w:rsidR="003F7C0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</w:t>
      </w:r>
      <w:r w:rsidRPr="00D522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ՕՐԵՆՔԻ ՆԱԽԱԳԾԻ ԸՆԴՈՒՆՄԱՆ</w:t>
      </w:r>
    </w:p>
    <w:p w:rsidR="001A5120" w:rsidRDefault="001A5120" w:rsidP="001A5120">
      <w:pPr>
        <w:ind w:firstLine="400"/>
        <w:rPr>
          <w:rFonts w:ascii="GHEA Grapalat" w:hAnsi="GHEA Grapalat" w:cs="AK Courier"/>
          <w:sz w:val="24"/>
          <w:szCs w:val="24"/>
          <w:lang w:val="hy-AM"/>
        </w:rPr>
      </w:pPr>
    </w:p>
    <w:p w:rsidR="001A5120" w:rsidRDefault="001A5120" w:rsidP="001A5120">
      <w:pPr>
        <w:ind w:firstLine="400"/>
        <w:rPr>
          <w:rFonts w:ascii="GHEA Grapalat" w:hAnsi="GHEA Grapalat" w:cs="AK Courier"/>
          <w:sz w:val="24"/>
          <w:szCs w:val="24"/>
          <w:lang w:val="hy-AM"/>
        </w:rPr>
      </w:pPr>
    </w:p>
    <w:p w:rsidR="001A5120" w:rsidRPr="0045402C" w:rsidRDefault="001A5120" w:rsidP="001A5120">
      <w:pPr>
        <w:spacing w:before="240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45402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1. Ընթացիկ իրավիճակը և իրավական ակտի ընդունման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</w:t>
      </w:r>
      <w:r w:rsidRPr="0045402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նհրաժեշտությունը.</w:t>
      </w:r>
    </w:p>
    <w:p w:rsidR="001A5120" w:rsidRDefault="001A5120" w:rsidP="001A5120">
      <w:pPr>
        <w:pStyle w:val="NormalWeb"/>
        <w:shd w:val="clear" w:color="auto" w:fill="FFFFFF"/>
        <w:spacing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heading=h.1wbslxd32w9l" w:colFirst="0" w:colLast="0"/>
      <w:bookmarkStart w:id="1" w:name="_heading=h.70n7kwy1s4ro" w:colFirst="0" w:colLast="0"/>
      <w:bookmarkStart w:id="2" w:name="_heading=h.51zart3l08qm" w:colFirst="0" w:colLast="0"/>
      <w:bookmarkEnd w:id="0"/>
      <w:bookmarkEnd w:id="1"/>
      <w:bookmarkEnd w:id="2"/>
      <w:r w:rsidRPr="00D1182A">
        <w:rPr>
          <w:rFonts w:ascii="GHEA Grapalat" w:eastAsia="GHEA Grapalat" w:hAnsi="GHEA Grapalat" w:cs="GHEA Grapalat"/>
          <w:lang w:val="hy-AM"/>
        </w:rPr>
        <w:t xml:space="preserve">Սույն նախագծի ընդունումը պայմանավորված է </w:t>
      </w:r>
      <w:r w:rsidRPr="00CE335F">
        <w:rPr>
          <w:rFonts w:ascii="GHEA Grapalat" w:eastAsia="GHEA Grapalat" w:hAnsi="GHEA Grapalat" w:cs="GHEA Grapalat"/>
          <w:b/>
          <w:lang w:val="hy-AM"/>
        </w:rPr>
        <w:t>«</w:t>
      </w:r>
      <w:r w:rsidRPr="00CE335F">
        <w:rPr>
          <w:rStyle w:val="Strong"/>
          <w:rFonts w:ascii="GHEA Grapalat" w:hAnsi="GHEA Grapalat"/>
          <w:b w:val="0"/>
          <w:color w:val="000000"/>
          <w:lang w:val="hy-AM"/>
        </w:rPr>
        <w:t>Ծխախոտային արտադրատեսակների և դրանց փոխարինիչների օգտագործման հետևանքով առողջությանը հասցվող վնասի նվազեցման և կանխարգելման մասին» օրենք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ի 1-ին հոդվածի 1-ին մասի 6-րդ կետով </w:t>
      </w:r>
      <w:r w:rsidRPr="00CE335F">
        <w:rPr>
          <w:rStyle w:val="Strong"/>
          <w:rFonts w:ascii="GHEA Grapalat" w:hAnsi="GHEA Grapalat"/>
          <w:b w:val="0"/>
          <w:color w:val="000000"/>
          <w:lang w:val="hy-AM"/>
        </w:rPr>
        <w:t>նախատեսված է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E335F">
        <w:rPr>
          <w:rFonts w:ascii="GHEA Grapalat" w:hAnsi="GHEA Grapalat"/>
          <w:lang w:val="hy-AM"/>
        </w:rPr>
        <w:t xml:space="preserve">«ծխախոտային արտադրատեսակի փոխարինիչ» հասկացությունը, ըստ որի` </w:t>
      </w:r>
      <w:r w:rsidRPr="00CE335F">
        <w:rPr>
          <w:rFonts w:ascii="GHEA Grapalat" w:hAnsi="GHEA Grapalat"/>
          <w:bCs/>
          <w:color w:val="000000"/>
          <w:shd w:val="clear" w:color="auto" w:fill="FFFFFF"/>
          <w:lang w:val="hy-AM"/>
        </w:rPr>
        <w:t>ծխախոտային</w:t>
      </w:r>
      <w:r w:rsidRPr="00CE33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CE335F">
        <w:rPr>
          <w:rFonts w:ascii="GHEA Grapalat" w:hAnsi="GHEA Grapalat"/>
          <w:bCs/>
          <w:color w:val="000000"/>
          <w:shd w:val="clear" w:color="auto" w:fill="FFFFFF"/>
          <w:lang w:val="hy-AM"/>
        </w:rPr>
        <w:t>արտադրատեսակի</w:t>
      </w:r>
      <w:r w:rsidRPr="00CE33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CE335F">
        <w:rPr>
          <w:rFonts w:ascii="GHEA Grapalat" w:hAnsi="GHEA Grapalat"/>
          <w:bCs/>
          <w:color w:val="000000"/>
          <w:shd w:val="clear" w:color="auto" w:fill="FFFFFF"/>
          <w:lang w:val="hy-AM"/>
        </w:rPr>
        <w:t>փոխարինիչ</w:t>
      </w:r>
      <w:r w:rsidRPr="00CE335F">
        <w:rPr>
          <w:rFonts w:ascii="GHEA Grapalat" w:hAnsi="GHEA Grapalat"/>
          <w:color w:val="000000"/>
          <w:shd w:val="clear" w:color="auto" w:fill="FFFFFF"/>
          <w:lang w:val="hy-AM"/>
        </w:rPr>
        <w:t xml:space="preserve"> է ծխախոտահումք չպարունակող, էլեկտրոնային (էլեկտրականություն կամ մարտկոցներ) եղանակով աշխատող արտադրանքը (քարթրիջով կամ տարայով), որի միջոցով նիկոտինի և պրոպիլենգլիկոլ կամ գլիցերին, առանձին դեպքերում նաև տարբեր համային կամ հոտային հավելումներ պարունակող լուծույթի գոլորշիացմամբ առաջացած աերոզոլը փոխանցվում է օգտագործողի օրգանիզմ:</w:t>
      </w:r>
    </w:p>
    <w:p w:rsidR="001A5120" w:rsidRDefault="001A5120" w:rsidP="001A5120">
      <w:pPr>
        <w:pStyle w:val="NormalWeb"/>
        <w:shd w:val="clear" w:color="auto" w:fill="FFFFFF"/>
        <w:spacing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F7C0B">
        <w:rPr>
          <w:rFonts w:ascii="GHEA Grapalat" w:hAnsi="GHEA Grapalat"/>
          <w:color w:val="000000"/>
          <w:shd w:val="clear" w:color="auto" w:fill="FFFFFF"/>
          <w:lang w:val="hy-AM"/>
        </w:rPr>
        <w:t>Սակայն, հաշվի առնելով</w:t>
      </w:r>
      <w:r w:rsidR="009A28CD"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շուկայում նոր արտադրատեսակների առկայությունը</w:t>
      </w:r>
      <w:r w:rsid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անհրաժեշտություն է առաջացել վերանայել </w:t>
      </w:r>
      <w:r w:rsidR="009A28CD" w:rsidRPr="003F7C0B">
        <w:rPr>
          <w:rFonts w:ascii="GHEA Grapalat" w:hAnsi="GHEA Grapalat"/>
          <w:lang w:val="hy-AM"/>
        </w:rPr>
        <w:t>«ծխախոտային արտադրատեսակի փոխարինիչ»</w:t>
      </w:r>
      <w:r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հասկացությունը</w:t>
      </w:r>
      <w:r w:rsidR="003F7C0B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="009A28CD"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ներառելով </w:t>
      </w:r>
      <w:r w:rsidR="00FD46EE"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արտադրատեսակների </w:t>
      </w:r>
      <w:r w:rsidR="009A28CD" w:rsidRPr="003F7C0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կարգավորումը</w:t>
      </w:r>
      <w:r w:rsidRPr="003F7C0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A5120" w:rsidRPr="00C5529B" w:rsidRDefault="001A5120" w:rsidP="001A5120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5529B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2. Առաջարկվող կարգավորման բնույթը.</w:t>
      </w:r>
    </w:p>
    <w:p w:rsidR="001A5120" w:rsidRPr="004A1E41" w:rsidRDefault="001A5120" w:rsidP="001A5120">
      <w:pPr>
        <w:spacing w:after="0" w:line="360" w:lineRule="auto"/>
        <w:ind w:firstLine="374"/>
        <w:jc w:val="both"/>
        <w:rPr>
          <w:rFonts w:eastAsia="Times New Roman"/>
          <w:color w:val="FF0000"/>
          <w:sz w:val="24"/>
          <w:szCs w:val="24"/>
          <w:lang w:val="hy-AM"/>
        </w:rPr>
      </w:pPr>
      <w:r w:rsidRPr="0045402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Սույն նախագծով առաջարկվում է վերանայել </w:t>
      </w:r>
      <w:r w:rsidRPr="00CE335F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CE335F">
        <w:rPr>
          <w:rFonts w:ascii="GHEA Grapalat" w:hAnsi="GHEA Grapalat"/>
          <w:sz w:val="24"/>
          <w:szCs w:val="24"/>
          <w:lang w:val="hy-AM"/>
        </w:rPr>
        <w:t>ծխախոտային արտադրատեսակի փոխարինիչ» հասկացությունը</w:t>
      </w:r>
      <w:r w:rsidR="004A1E41" w:rsidRPr="004A1E41">
        <w:rPr>
          <w:rFonts w:ascii="GHEA Grapalat" w:hAnsi="GHEA Grapalat"/>
          <w:sz w:val="24"/>
          <w:szCs w:val="24"/>
          <w:lang w:val="hy-AM"/>
        </w:rPr>
        <w:t>:</w:t>
      </w:r>
    </w:p>
    <w:p w:rsidR="001A5120" w:rsidRDefault="001A5120" w:rsidP="001A5120">
      <w:pPr>
        <w:pStyle w:val="Heading1"/>
        <w:spacing w:after="240"/>
        <w:ind w:left="450" w:hanging="24"/>
        <w:rPr>
          <w:rFonts w:ascii="GHEA Grapalat" w:eastAsia="GHEA Grapalat" w:hAnsi="GHEA Grapalat" w:cs="GHEA Grapalat"/>
        </w:rPr>
      </w:pPr>
      <w:bookmarkStart w:id="3" w:name="_heading=h.4plegx2k3rte" w:colFirst="0" w:colLast="0"/>
      <w:bookmarkEnd w:id="3"/>
      <w:r>
        <w:rPr>
          <w:rFonts w:ascii="GHEA Grapalat" w:eastAsia="GHEA Grapalat" w:hAnsi="GHEA Grapalat" w:cs="GHEA Grapalat"/>
          <w:color w:val="000000"/>
          <w:sz w:val="24"/>
          <w:szCs w:val="24"/>
        </w:rPr>
        <w:t>3. Նախագծի մշակման գործընթացում ներգրավված ինստիտուտները և անձինք</w:t>
      </w:r>
    </w:p>
    <w:p w:rsidR="001A5120" w:rsidRPr="0045402C" w:rsidRDefault="001A5120" w:rsidP="001A51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142"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45402C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և ԱՆ «Ակադեմիկոս Ս. Ավդալբեկյանի անվան առողջապահության ազգային ինստիտուտ» ՓԲԸ-ի աշխատակիցների կողմից:</w:t>
      </w:r>
      <w:r w:rsidRPr="0045402C">
        <w:rPr>
          <w:rFonts w:ascii="GHEA Grapalat" w:eastAsia="GHEA Grapalat" w:hAnsi="GHEA Grapalat" w:cs="GHEA Grapalat"/>
          <w:sz w:val="24"/>
          <w:szCs w:val="24"/>
          <w:highlight w:val="yellow"/>
          <w:lang w:val="hy-AM"/>
        </w:rPr>
        <w:t xml:space="preserve"> </w:t>
      </w:r>
    </w:p>
    <w:p w:rsidR="001A5120" w:rsidRPr="00670056" w:rsidRDefault="001A5120" w:rsidP="001A5120">
      <w:pPr>
        <w:pStyle w:val="Heading1"/>
        <w:spacing w:after="240"/>
        <w:ind w:left="450" w:hanging="24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4. Ակն</w:t>
      </w:r>
      <w:r w:rsidRPr="00670056">
        <w:rPr>
          <w:rFonts w:ascii="GHEA Grapalat" w:eastAsia="GHEA Grapalat" w:hAnsi="GHEA Grapalat" w:cs="GHEA Grapalat"/>
          <w:color w:val="000000"/>
          <w:sz w:val="24"/>
          <w:szCs w:val="24"/>
        </w:rPr>
        <w:t>կալվող արդյունքը</w:t>
      </w:r>
    </w:p>
    <w:p w:rsidR="001A5120" w:rsidRPr="00CE335F" w:rsidRDefault="001A5120" w:rsidP="001A5120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bookmarkStart w:id="4" w:name="_heading=h.gjdgxs" w:colFirst="0" w:colLast="0"/>
      <w:bookmarkStart w:id="5" w:name="_heading=h.3vqqujeo3z5l" w:colFirst="0" w:colLast="0"/>
      <w:bookmarkStart w:id="6" w:name="_heading=h.hq38dh9wb2w2" w:colFirst="0" w:colLast="0"/>
      <w:bookmarkEnd w:id="4"/>
      <w:bookmarkEnd w:id="5"/>
      <w:bookmarkEnd w:id="6"/>
      <w:r w:rsidRPr="00CE335F">
        <w:rPr>
          <w:rFonts w:ascii="GHEA Grapalat" w:eastAsia="Times New Roman" w:hAnsi="GHEA Grapalat"/>
          <w:sz w:val="24"/>
          <w:szCs w:val="24"/>
          <w:lang w:val="hy-AM"/>
        </w:rPr>
        <w:t>Նախագծի ընդունման արդյունքում ակնկալվում է հստակեցնել «</w:t>
      </w:r>
      <w:r w:rsidRPr="00CE335F">
        <w:rPr>
          <w:rFonts w:ascii="GHEA Grapalat" w:hAnsi="GHEA Grapalat"/>
          <w:sz w:val="24"/>
          <w:szCs w:val="24"/>
          <w:lang w:val="hy-AM"/>
        </w:rPr>
        <w:t>ծխախոտային արտադրատեսակի փոխարինիչ» հասկացությունը</w:t>
      </w:r>
      <w:r w:rsidRPr="004A1E41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1A5120" w:rsidRPr="0045402C" w:rsidRDefault="001A5120" w:rsidP="001A5120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A5120" w:rsidRPr="001A5120" w:rsidRDefault="001A5120" w:rsidP="001A5120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A5120">
        <w:rPr>
          <w:rFonts w:ascii="GHEA Grapalat" w:hAnsi="GHEA Grapalat"/>
          <w:b/>
          <w:color w:val="000000"/>
          <w:sz w:val="24"/>
          <w:szCs w:val="24"/>
          <w:lang w:val="hy-AM"/>
        </w:rPr>
        <w:t>5.</w:t>
      </w:r>
      <w:r w:rsidRPr="001A51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A5120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:rsidR="001A5120" w:rsidRPr="00604059" w:rsidRDefault="001A5120" w:rsidP="001A5120">
      <w:pPr>
        <w:spacing w:after="0" w:line="360" w:lineRule="auto"/>
        <w:ind w:right="-7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04059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1A5120" w:rsidRPr="006D06A9" w:rsidRDefault="001A5120" w:rsidP="001A5120">
      <w:pPr>
        <w:pStyle w:val="NormalWeb"/>
        <w:spacing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6D06A9">
        <w:rPr>
          <w:rFonts w:ascii="GHEA Grapalat" w:hAnsi="GHEA Grapalat"/>
          <w:b/>
          <w:lang w:val="hy-AM"/>
        </w:rPr>
        <w:t xml:space="preserve">6. </w:t>
      </w:r>
      <w:r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:rsidR="001A5120" w:rsidRPr="003F7C0B" w:rsidRDefault="001A5120" w:rsidP="001A5120">
      <w:pPr>
        <w:pStyle w:val="NormalWeb"/>
        <w:spacing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  <w:r w:rsidRPr="003F7C0B">
        <w:rPr>
          <w:rFonts w:ascii="GHEA Grapalat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2B77BF" w:rsidRPr="001A5120" w:rsidRDefault="001A5120" w:rsidP="004A1E41">
      <w:pPr>
        <w:spacing w:after="0" w:line="360" w:lineRule="auto"/>
        <w:ind w:right="-7" w:firstLine="426"/>
        <w:jc w:val="both"/>
        <w:rPr>
          <w:lang w:val="hy-AM"/>
        </w:rPr>
      </w:pPr>
      <w:r w:rsidRPr="00604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կապված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չ</w:t>
      </w:r>
      <w:r w:rsidRPr="006040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ռազմավար</w:t>
      </w:r>
      <w:bookmarkStart w:id="7" w:name="_GoBack"/>
      <w:bookmarkEnd w:id="7"/>
      <w:r>
        <w:rPr>
          <w:rFonts w:ascii="GHEA Grapalat" w:eastAsia="GHEA Grapalat" w:hAnsi="GHEA Grapalat" w:cs="GHEA Grapalat"/>
          <w:sz w:val="24"/>
          <w:szCs w:val="24"/>
          <w:lang w:val="hy-AM"/>
        </w:rPr>
        <w:t>ական փաստաթղթերի հետ:</w:t>
      </w:r>
    </w:p>
    <w:sectPr w:rsidR="002B77BF" w:rsidRPr="001A51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92"/>
    <w:rsid w:val="001A5120"/>
    <w:rsid w:val="001C5CCE"/>
    <w:rsid w:val="002B77BF"/>
    <w:rsid w:val="003F7C0B"/>
    <w:rsid w:val="004A1E41"/>
    <w:rsid w:val="0053198A"/>
    <w:rsid w:val="00604059"/>
    <w:rsid w:val="00772D92"/>
    <w:rsid w:val="009A28CD"/>
    <w:rsid w:val="00FD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46C759-91D1-492C-88B3-F4B74DE7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120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51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1A512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5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A51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1A51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/>
  <dc:description/>
  <cp:lastModifiedBy>MOH</cp:lastModifiedBy>
  <cp:revision>4</cp:revision>
  <dcterms:created xsi:type="dcterms:W3CDTF">2022-02-18T08:35:00Z</dcterms:created>
  <dcterms:modified xsi:type="dcterms:W3CDTF">2022-02-18T08:38:00Z</dcterms:modified>
</cp:coreProperties>
</file>