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C67" w:rsidRPr="00D90FCC" w:rsidRDefault="002C4C67" w:rsidP="002C4C67">
      <w:pPr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90FCC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2006 ԹՎԱԿԱՆԻ ՀՈՒԼԻՍԻ 20-Ի N 1106-Ն ՈՐՈՇՄԱՆ ՄԵՋ ՓՈՓՈԽՈՒԹՅՈՒՆՆԵՐ ԿԱՏԱՐԵԼՈՒ ՄԱՍԻՆ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0"/>
      </w:tblGrid>
      <w:tr w:rsidR="002C4C67" w:rsidRPr="002C4C67" w:rsidTr="002C4C67">
        <w:trPr>
          <w:tblCellSpacing w:w="0" w:type="dxa"/>
        </w:trPr>
        <w:tc>
          <w:tcPr>
            <w:tcW w:w="6330" w:type="dxa"/>
            <w:shd w:val="clear" w:color="auto" w:fill="FFFFFF"/>
            <w:vAlign w:val="center"/>
            <w:hideMark/>
          </w:tcPr>
          <w:p w:rsidR="002C4C67" w:rsidRPr="002C4C67" w:rsidRDefault="002C4C67" w:rsidP="002C4C67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pPr>
            <w:r w:rsidRPr="002C4C67">
              <w:rPr>
                <w:rFonts w:ascii="Sylfaen" w:eastAsia="Times New Roman" w:hAnsi="Sylfaen" w:cs="Times New Roman"/>
                <w:b/>
                <w:bCs/>
                <w:color w:val="000000"/>
                <w:sz w:val="15"/>
                <w:szCs w:val="15"/>
                <w:lang w:val="hy-AM"/>
              </w:rPr>
              <w:t>Հավելված N 1</w:t>
            </w:r>
            <w:r w:rsidRPr="002C4C67">
              <w:rPr>
                <w:rFonts w:ascii="Sylfaen" w:eastAsia="Times New Roman" w:hAnsi="Sylfaen" w:cs="Times New Roman"/>
                <w:b/>
                <w:bCs/>
                <w:color w:val="000000"/>
                <w:sz w:val="15"/>
                <w:szCs w:val="15"/>
                <w:lang w:val="hy-AM"/>
              </w:rPr>
              <w:br/>
              <w:t>ՀՀ կառավարության 2006 թվականի</w:t>
            </w:r>
            <w:r w:rsidRPr="002C4C67">
              <w:rPr>
                <w:rFonts w:ascii="Sylfaen" w:eastAsia="Times New Roman" w:hAnsi="Sylfaen" w:cs="Times New Roman"/>
                <w:b/>
                <w:bCs/>
                <w:color w:val="000000"/>
                <w:sz w:val="15"/>
                <w:szCs w:val="15"/>
                <w:lang w:val="hy-AM"/>
              </w:rPr>
              <w:br/>
              <w:t>հուլիսի 20-ի N 1106-Ն որոշման</w:t>
            </w:r>
          </w:p>
        </w:tc>
      </w:tr>
    </w:tbl>
    <w:p w:rsidR="002C4C67" w:rsidRPr="002C4C67" w:rsidRDefault="002C4C67" w:rsidP="002C4C67">
      <w:pPr>
        <w:spacing w:after="0" w:line="240" w:lineRule="auto"/>
        <w:jc w:val="center"/>
        <w:rPr>
          <w:rFonts w:ascii="Sylfaen" w:eastAsia="Times New Roman" w:hAnsi="Sylfaen" w:cs="Times New Roman"/>
          <w:b/>
          <w:bCs/>
          <w:color w:val="000000"/>
          <w:sz w:val="21"/>
          <w:szCs w:val="21"/>
          <w:shd w:val="clear" w:color="auto" w:fill="FFFFFF"/>
          <w:lang w:val="hy-AM"/>
        </w:rPr>
      </w:pPr>
      <w:r w:rsidRPr="002C4C67">
        <w:rPr>
          <w:rFonts w:ascii="Sylfaen" w:eastAsia="Times New Roman" w:hAnsi="Sylfaen" w:cs="Times New Roman"/>
          <w:b/>
          <w:bCs/>
          <w:color w:val="000000"/>
          <w:sz w:val="21"/>
          <w:szCs w:val="21"/>
          <w:shd w:val="clear" w:color="auto" w:fill="FFFFFF"/>
          <w:lang w:val="hy-AM"/>
        </w:rPr>
        <w:t>ԾԱՆՐԱՔԱՇ ԲԵՌՆԵՐ ՓՈԽԱԴՐԵԼՈՒ ՀԱՄԱՐ ՕԳՏԱԳՈՐԾՎՈՂ ԿԱՄ ՃԱՆԱՊԱՐՀԱՅԻՆ ԵՐԹԵՎԵԿՈՒԹՅԱՆ ԿԱՆՈՆՆԵՐՈՎ ՍԱՀՄԱՆՎԱԾ ԵԶՐԱՉԱՓԵՐԸ ԳԵՐԱԶԱՆՑՈՂ ԿԱՄ ԵՐԿՈՒ ԵՎ ԱՎԵԼԻ ԿՑՈՐԴՆԵՐԻ ՀԵՏ ՄԻԱՍԻՆ ԱՎՏՈԳՆԱՑՔԻ ԿԱԶՄՈՒՄ ՇԱՀԱԳՈՐԾՎՈՂ ՏՐԱՆՍՊՈՐՏԱՅԻՆ ՄԻՋՈՑՆԵՐԻ ԵՐԹԵՎԵԿՈՒԹՅԱՆ ԿԱՆՈՆՆԵՐԸ ԵՎ </w:t>
      </w:r>
      <w:r w:rsidRPr="002C4C67">
        <w:rPr>
          <w:rFonts w:ascii="Sylfaen" w:eastAsia="Times New Roman" w:hAnsi="Sylfaen" w:cs="Times New Roman"/>
          <w:b/>
          <w:bCs/>
          <w:caps/>
          <w:color w:val="000000"/>
          <w:sz w:val="21"/>
          <w:szCs w:val="21"/>
          <w:shd w:val="clear" w:color="auto" w:fill="FFFFFF"/>
          <w:lang w:val="hy-AM"/>
        </w:rPr>
        <w:t>ՉՄԱՍՆԱՏՎՈՂ ԲԵՌՆԵՐ ՓՈԽԱԴՐՈՂ ԹՈՒՅԼԱՏՐԵԼԻ ԱՌԱՎԵԼԱԳՈՒՅՆ ԶԱՆԳՎԱԾԸ ԳԵՐԱԶԱՆՑՈՂ ԵՎ (ԿԱՄ) ՄԵԿ ՍՌՆՈՒ ՎՐԱ ԸՆԿՆՈՂ ԲԵՌՆՎԱԾՔԸ ԳԵՐԱԶԱՆՑՈՂ ԵՎ (ԿԱՄ) ՄԵԾ ԵԶՐԱՉԱՓԵՐՈՎ ՏՐԱՆՍՊՈՐՏԱՅԻՆ ՄԻՋՈՑՆԵՐՈՎ ՓՈԽԱԴՐՈՒՄՆԵՐԻ ԻՐԱԿԱՆԱՑՄԱՆ ԵՐԹՈՒՂՈՒ </w:t>
      </w:r>
      <w:r w:rsidRPr="002C4C67">
        <w:rPr>
          <w:rFonts w:ascii="Sylfaen" w:eastAsia="Times New Roman" w:hAnsi="Sylfaen" w:cs="Times New Roman"/>
          <w:b/>
          <w:bCs/>
          <w:color w:val="000000"/>
          <w:sz w:val="21"/>
          <w:szCs w:val="21"/>
          <w:shd w:val="clear" w:color="auto" w:fill="FFFFFF"/>
          <w:lang w:val="hy-AM"/>
        </w:rPr>
        <w:t>ԹՈՒՅԼՏՎՈՒԹՅԱՆ ՏՐԱՄԱԴՐՄԱՆ ԿԱՐԳԸ (ԱՅՍՈՒՀԵՏ՝ ԿԱՆՈՆՆԵՐ)</w:t>
      </w:r>
    </w:p>
    <w:p w:rsidR="002C4C67" w:rsidRPr="002C4C67" w:rsidRDefault="002C4C67" w:rsidP="002C4C67">
      <w:pPr>
        <w:shd w:val="clear" w:color="auto" w:fill="FFFFFF"/>
        <w:spacing w:after="0" w:line="240" w:lineRule="auto"/>
        <w:jc w:val="center"/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</w:pPr>
      <w:r w:rsidRPr="002C4C67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hy-AM"/>
        </w:rPr>
        <w:t>(վերնագիրը փոփ. 14.06.07 N 702-Ն, խմբ. 23.06.17 N 739-Ն, փոփ. 19.12.19 N 1858-Ն)</w:t>
      </w:r>
    </w:p>
    <w:p w:rsidR="002C4C67" w:rsidRPr="002C4C67" w:rsidRDefault="002C4C67" w:rsidP="002C4C67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</w:pPr>
      <w:r w:rsidRPr="002C4C67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> </w:t>
      </w:r>
    </w:p>
    <w:p w:rsidR="005C1EFA" w:rsidRDefault="002C4C67">
      <w:pPr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</w:pPr>
      <w:r w:rsidRPr="002C4C67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1. Սույն կանոններով կարգավորվում են ծանրաքաշ բեռներ փոխադրելու համար օգտագործվող կամ ճանապարհային երթևեկության կանոններով սահմանված եզրաչափերը գերազանցող կամ երկու և ավելի կցորդների հետ միասին ավտոգնացքի կազմում շահագործվող տրանսպորտային միջոցների երթևեկությանը ներկայացվող պահանջները և չմասնատվող բեռներ փոխադրող տրանսպորտային միջոցներին </w:t>
      </w:r>
      <w:r w:rsidRPr="002C4C67">
        <w:rPr>
          <w:rFonts w:ascii="Sylfaen" w:hAnsi="Sylfaen"/>
          <w:strike/>
          <w:color w:val="000000"/>
          <w:sz w:val="21"/>
          <w:szCs w:val="21"/>
          <w:highlight w:val="yellow"/>
          <w:shd w:val="clear" w:color="auto" w:fill="FFFFFF"/>
          <w:lang w:val="hy-AM"/>
        </w:rPr>
        <w:t>հատուկ</w:t>
      </w:r>
      <w:r w:rsidRPr="002C4C67">
        <w:rPr>
          <w:rFonts w:ascii="Sylfaen" w:hAnsi="Sylfaen"/>
          <w:color w:val="000000"/>
          <w:sz w:val="21"/>
          <w:szCs w:val="21"/>
          <w:highlight w:val="yellow"/>
          <w:shd w:val="clear" w:color="auto" w:fill="FFFFFF"/>
          <w:lang w:val="hy-AM"/>
        </w:rPr>
        <w:t xml:space="preserve"> թույլտվության</w:t>
      </w:r>
      <w:r w:rsidRPr="002C4C67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 տրամադրման հետ կապված հարաբերությունները (այսուհետ՝ ծանրաքաշ, չմասնատվող և (կամ) մեծ եզրաչափերով բեռների փոխադրում):</w:t>
      </w:r>
    </w:p>
    <w:p w:rsidR="002C4C67" w:rsidRDefault="002C4C67">
      <w:pPr>
        <w:rPr>
          <w:lang w:val="hy-AM"/>
        </w:rPr>
      </w:pPr>
      <w:r w:rsidRPr="002C4C67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>2. Սույն կանոններում օգտագործվում են հետևյալ հասկացությունները`</w:t>
      </w:r>
    </w:p>
    <w:p w:rsidR="002C4C67" w:rsidRDefault="002C4C67" w:rsidP="002C4C67">
      <w:pPr>
        <w:rPr>
          <w:strike/>
          <w:lang w:val="hy-AM"/>
        </w:rPr>
      </w:pPr>
      <w:r w:rsidRPr="002C4C67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>1) </w:t>
      </w:r>
      <w:r w:rsidRPr="002C4C67">
        <w:rPr>
          <w:rFonts w:ascii="Sylfaen" w:hAnsi="Sylfaen"/>
          <w:b/>
          <w:bCs/>
          <w:color w:val="000000"/>
          <w:sz w:val="21"/>
          <w:szCs w:val="21"/>
          <w:shd w:val="clear" w:color="auto" w:fill="FFFFFF"/>
          <w:lang w:val="hy-AM"/>
        </w:rPr>
        <w:t>ծանրաքաշ տրանսպորտային միջոց`</w:t>
      </w:r>
      <w:r w:rsidRPr="002C4C67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 տրանսպորտային միջոց, որի ընդհանուր զանգվածը (բեռով կամ առանց բեռի) կամ սռնիներից (կամրջակներից) որևէ մեկի բեռնվածքը գերազանցում է Հայաստանի Հանրապետության կառավարության 2006 թվականի հուլիսի 20-ի N 1106-Ն որոշման </w:t>
      </w:r>
      <w:r w:rsidRPr="002C4C67">
        <w:rPr>
          <w:rFonts w:ascii="Sylfaen" w:hAnsi="Sylfaen"/>
          <w:strike/>
          <w:color w:val="000000"/>
          <w:sz w:val="21"/>
          <w:szCs w:val="21"/>
          <w:highlight w:val="yellow"/>
          <w:shd w:val="clear" w:color="auto" w:fill="FFFFFF"/>
          <w:lang w:val="hy-AM"/>
        </w:rPr>
        <w:t>N 2 հավելվածի 1-ին կետում նշված չափորոշիչներից որևէ մեկը</w:t>
      </w:r>
      <w:r w:rsidRPr="002C4C67">
        <w:rPr>
          <w:rFonts w:ascii="Sylfaen" w:hAnsi="Sylfaen"/>
          <w:strike/>
          <w:color w:val="000000"/>
          <w:sz w:val="21"/>
          <w:szCs w:val="21"/>
          <w:shd w:val="clear" w:color="auto" w:fill="FFFFFF"/>
          <w:lang w:val="hy-AM"/>
        </w:rPr>
        <w:t>.</w:t>
      </w:r>
      <w:r w:rsidRPr="002C4C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C4C67">
        <w:rPr>
          <w:rFonts w:ascii="GHEA Grapalat" w:eastAsia="Times New Roman" w:hAnsi="GHEA Grapalat" w:cs="Times New Roman"/>
          <w:color w:val="000000"/>
          <w:sz w:val="24"/>
          <w:szCs w:val="24"/>
          <w:highlight w:val="yellow"/>
          <w:lang w:val="hy-AM"/>
        </w:rPr>
        <w:t>N</w:t>
      </w:r>
      <w:r w:rsidRPr="00D90F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C4C67">
        <w:rPr>
          <w:rFonts w:ascii="GHEA Grapalat" w:eastAsia="Times New Roman" w:hAnsi="GHEA Grapalat" w:cs="Times New Roman"/>
          <w:color w:val="000000"/>
          <w:sz w:val="24"/>
          <w:szCs w:val="24"/>
          <w:highlight w:val="yellow"/>
          <w:lang w:val="hy-AM"/>
        </w:rPr>
        <w:t>2 հավելվածի 2-րդ և 3-րդ կետերում նշված չափորոշիչներից որևէ մեկը</w:t>
      </w:r>
    </w:p>
    <w:p w:rsidR="002C4C67" w:rsidRDefault="002C4C67" w:rsidP="002C4C67">
      <w:pPr>
        <w:rPr>
          <w:lang w:val="hy-AM"/>
        </w:rPr>
      </w:pPr>
      <w:r w:rsidRPr="002C4C67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>9) </w:t>
      </w:r>
      <w:r w:rsidRPr="002C4C67">
        <w:rPr>
          <w:rFonts w:ascii="Sylfaen" w:hAnsi="Sylfaen"/>
          <w:b/>
          <w:bCs/>
          <w:color w:val="000000"/>
          <w:sz w:val="21"/>
          <w:szCs w:val="21"/>
          <w:shd w:val="clear" w:color="auto" w:fill="FFFFFF"/>
          <w:lang w:val="hy-AM"/>
        </w:rPr>
        <w:t>մեծ եզրաչափերով տրանսպորտային միջոց`</w:t>
      </w:r>
      <w:r w:rsidRPr="002C4C67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 տրանսպորտային միջոց, որի եզրաչափերը (բեռով կամ առանց բեռի) գերազանցում են Հայաստանի Հանրապետության կառավարության 2006 թվականի հուլիսի 20-ի N 1106-Ն որոշման </w:t>
      </w:r>
      <w:r w:rsidRPr="002C4C67">
        <w:rPr>
          <w:rFonts w:ascii="Sylfaen" w:hAnsi="Sylfaen"/>
          <w:strike/>
          <w:color w:val="000000"/>
          <w:sz w:val="21"/>
          <w:szCs w:val="21"/>
          <w:highlight w:val="yellow"/>
          <w:shd w:val="clear" w:color="auto" w:fill="FFFFFF"/>
          <w:lang w:val="hy-AM"/>
        </w:rPr>
        <w:t>N 2 հավելվածի 2-րդ կետում նշված չափորոշիչներից որևէ մեկը.</w:t>
      </w:r>
      <w:r w:rsidRPr="002C4C67">
        <w:rPr>
          <w:rFonts w:ascii="GHEA Grapalat" w:eastAsia="Times New Roman" w:hAnsi="GHEA Grapalat" w:cs="Times New Roman"/>
          <w:color w:val="000000"/>
          <w:sz w:val="24"/>
          <w:szCs w:val="24"/>
          <w:highlight w:val="yellow"/>
          <w:lang w:val="hy-AM"/>
        </w:rPr>
        <w:t xml:space="preserve"> N 2 հավելվածի 1-ին կետում նշված չափորոշիչներից որևէ մեկը</w:t>
      </w:r>
    </w:p>
    <w:p w:rsidR="002C4C67" w:rsidRDefault="002C4C67" w:rsidP="002C4C67">
      <w:pPr>
        <w:rPr>
          <w:strike/>
          <w:lang w:val="hy-AM"/>
        </w:rPr>
      </w:pPr>
      <w:r w:rsidRPr="002C4C67">
        <w:rPr>
          <w:rFonts w:ascii="Sylfaen" w:hAnsi="Sylfaen"/>
          <w:strike/>
          <w:color w:val="000000"/>
          <w:sz w:val="21"/>
          <w:szCs w:val="21"/>
          <w:shd w:val="clear" w:color="auto" w:fill="FFFFFF"/>
          <w:lang w:val="hy-AM"/>
        </w:rPr>
        <w:t>12) </w:t>
      </w:r>
      <w:r w:rsidRPr="002C4C67">
        <w:rPr>
          <w:rFonts w:ascii="Sylfaen" w:hAnsi="Sylfaen"/>
          <w:b/>
          <w:bCs/>
          <w:strike/>
          <w:color w:val="000000"/>
          <w:sz w:val="21"/>
          <w:szCs w:val="21"/>
          <w:shd w:val="clear" w:color="auto" w:fill="FFFFFF"/>
          <w:lang w:val="hy-AM"/>
        </w:rPr>
        <w:t>թույլտվություն՝ </w:t>
      </w:r>
      <w:r w:rsidRPr="002C4C67">
        <w:rPr>
          <w:rFonts w:ascii="Sylfaen" w:hAnsi="Sylfaen"/>
          <w:strike/>
          <w:color w:val="000000"/>
          <w:sz w:val="21"/>
          <w:szCs w:val="21"/>
          <w:shd w:val="clear" w:color="auto" w:fill="FFFFFF"/>
          <w:lang w:val="hy-AM"/>
        </w:rPr>
        <w:t>Հայաստանի Հանրապետության ընդհանուր օգտագործման պետական ավտոմոբիլային ճանապարհներով մեծ եզրաչափերով տրանսպորտային միջոցով բեռ փոխադրելու իրավունք վերապահող փաստաթուղթ.</w:t>
      </w:r>
    </w:p>
    <w:p w:rsidR="002C4C67" w:rsidRDefault="002C4C67" w:rsidP="002C4C67">
      <w:pPr>
        <w:rPr>
          <w:lang w:val="hy-AM"/>
        </w:rPr>
      </w:pPr>
      <w:r w:rsidRPr="002C4C67">
        <w:rPr>
          <w:rFonts w:ascii="GHEA Grapalat" w:eastAsia="Times New Roman" w:hAnsi="GHEA Grapalat" w:cs="Times New Roman"/>
          <w:color w:val="000000"/>
          <w:sz w:val="24"/>
          <w:szCs w:val="24"/>
          <w:highlight w:val="yellow"/>
          <w:lang w:val="hy-AM"/>
        </w:rPr>
        <w:t></w:t>
      </w:r>
      <w:r w:rsidRPr="002C4C6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highlight w:val="yellow"/>
          <w:lang w:val="hy-AM"/>
        </w:rPr>
        <w:t>թույլտվություն</w:t>
      </w:r>
      <w:r w:rsidRPr="002C4C67">
        <w:rPr>
          <w:rFonts w:ascii="GHEA Grapalat" w:eastAsia="Times New Roman" w:hAnsi="GHEA Grapalat" w:cs="Times New Roman"/>
          <w:color w:val="000000"/>
          <w:sz w:val="24"/>
          <w:szCs w:val="24"/>
          <w:highlight w:val="yellow"/>
          <w:lang w:val="hy-AM"/>
        </w:rPr>
        <w:t>՝</w:t>
      </w:r>
      <w:r w:rsidRPr="002C4C67">
        <w:rPr>
          <w:rFonts w:ascii="GHEA Grapalat" w:eastAsia="Times New Roman" w:hAnsi="GHEA Grapalat" w:cs="Calibri"/>
          <w:color w:val="000000"/>
          <w:sz w:val="24"/>
          <w:szCs w:val="24"/>
          <w:highlight w:val="yellow"/>
          <w:lang w:val="hy-AM"/>
        </w:rPr>
        <w:t xml:space="preserve"> </w:t>
      </w:r>
      <w:r w:rsidRPr="002C4C67">
        <w:rPr>
          <w:rFonts w:ascii="GHEA Grapalat" w:eastAsia="Times New Roman" w:hAnsi="GHEA Grapalat" w:cs="Times New Roman"/>
          <w:color w:val="000000"/>
          <w:sz w:val="24"/>
          <w:szCs w:val="24"/>
          <w:highlight w:val="yellow"/>
          <w:lang w:val="hy-AM"/>
        </w:rPr>
        <w:t xml:space="preserve">Հայաստանի Հանրապետության ընդհանուր օգտագործման պետական ավտոմոբիլային ճանապարհներով մեծ եզրաչափերով տրանսպորտային </w:t>
      </w:r>
      <w:r w:rsidRPr="002C4C67">
        <w:rPr>
          <w:rFonts w:ascii="GHEA Grapalat" w:eastAsia="Times New Roman" w:hAnsi="GHEA Grapalat" w:cs="Times New Roman"/>
          <w:color w:val="000000"/>
          <w:sz w:val="24"/>
          <w:szCs w:val="24"/>
          <w:highlight w:val="yellow"/>
          <w:lang w:val="hy-AM"/>
        </w:rPr>
        <w:lastRenderedPageBreak/>
        <w:t>միջոցով բեռ փոխադրելու իրավունք վերապահող փաստաթուղթ (</w:t>
      </w:r>
      <w:r w:rsidRPr="002C4C67">
        <w:rPr>
          <w:rFonts w:ascii="GHEA Grapalat" w:eastAsia="Times New Roman" w:hAnsi="GHEA Grapalat" w:cs="Times New Roman"/>
          <w:bCs/>
          <w:sz w:val="24"/>
          <w:szCs w:val="24"/>
          <w:highlight w:val="yellow"/>
          <w:lang w:val="hy-AM"/>
        </w:rPr>
        <w:t>Ձև N 2</w:t>
      </w:r>
      <w:r w:rsidRPr="002C4C67">
        <w:rPr>
          <w:rFonts w:ascii="GHEA Grapalat" w:eastAsia="Times New Roman" w:hAnsi="GHEA Grapalat" w:cs="Times New Roman"/>
          <w:color w:val="000000"/>
          <w:sz w:val="24"/>
          <w:szCs w:val="24"/>
          <w:highlight w:val="yellow"/>
          <w:lang w:val="hy-AM"/>
        </w:rPr>
        <w:t xml:space="preserve">), կամ Հայաստանի Հանրապետության ընդհանուր օգտագործման պետական ավտոմոբիլային ճանապարհներով թույլատրելի ընդհանուր զանգվածը և </w:t>
      </w:r>
      <w:r w:rsidRPr="002C4C67">
        <w:rPr>
          <w:rFonts w:ascii="GHEA Grapalat" w:eastAsia="Times New Roman" w:hAnsi="GHEA Grapalat" w:cs="Times New Roman"/>
          <w:bCs/>
          <w:sz w:val="24"/>
          <w:szCs w:val="24"/>
          <w:highlight w:val="yellow"/>
          <w:lang w:val="hy-AM"/>
        </w:rPr>
        <w:t>(</w:t>
      </w:r>
      <w:r w:rsidRPr="002C4C67">
        <w:rPr>
          <w:rFonts w:ascii="GHEA Grapalat" w:eastAsia="Times New Roman" w:hAnsi="GHEA Grapalat" w:cs="Times New Roman"/>
          <w:color w:val="000000"/>
          <w:sz w:val="24"/>
          <w:szCs w:val="24"/>
          <w:highlight w:val="yellow"/>
          <w:lang w:val="hy-AM"/>
        </w:rPr>
        <w:t>կամ</w:t>
      </w:r>
      <w:r w:rsidRPr="002C4C67">
        <w:rPr>
          <w:rFonts w:ascii="GHEA Grapalat" w:eastAsia="Times New Roman" w:hAnsi="GHEA Grapalat" w:cs="Times New Roman"/>
          <w:bCs/>
          <w:sz w:val="24"/>
          <w:szCs w:val="24"/>
          <w:highlight w:val="yellow"/>
          <w:lang w:val="hy-AM"/>
        </w:rPr>
        <w:t>)</w:t>
      </w:r>
      <w:r w:rsidRPr="002C4C67">
        <w:rPr>
          <w:rFonts w:ascii="GHEA Grapalat" w:eastAsia="Times New Roman" w:hAnsi="GHEA Grapalat" w:cs="Times New Roman"/>
          <w:color w:val="000000"/>
          <w:sz w:val="24"/>
          <w:szCs w:val="24"/>
          <w:highlight w:val="yellow"/>
          <w:lang w:val="hy-AM"/>
        </w:rPr>
        <w:t xml:space="preserve"> մեկ սռնու վրա ընկնող թույլատրելի բեռնվածքը գերազանցող ծանրաքաշ տրանսպորտային միջոցով չմասնատվող բեռ փոխադրելու իրավունք վերապահող փաստաթուղթ </w:t>
      </w:r>
      <w:r w:rsidRPr="002C4C67">
        <w:rPr>
          <w:rFonts w:ascii="GHEA Grapalat" w:eastAsia="Times New Roman" w:hAnsi="GHEA Grapalat" w:cs="Times New Roman"/>
          <w:bCs/>
          <w:sz w:val="24"/>
          <w:szCs w:val="24"/>
          <w:highlight w:val="yellow"/>
          <w:lang w:val="hy-AM"/>
        </w:rPr>
        <w:t>(</w:t>
      </w:r>
      <w:r w:rsidRPr="002C4C67">
        <w:rPr>
          <w:rStyle w:val="Strong"/>
          <w:rFonts w:ascii="GHEA Grapalat" w:hAnsi="GHEA Grapalat"/>
          <w:color w:val="000000"/>
          <w:sz w:val="24"/>
          <w:szCs w:val="24"/>
          <w:highlight w:val="yellow"/>
          <w:shd w:val="clear" w:color="auto" w:fill="FFFFFF"/>
          <w:lang w:val="hy-AM"/>
        </w:rPr>
        <w:t>Ձև N 3</w:t>
      </w:r>
      <w:r w:rsidRPr="002C4C67">
        <w:rPr>
          <w:rFonts w:ascii="GHEA Grapalat" w:eastAsia="Times New Roman" w:hAnsi="GHEA Grapalat" w:cs="Times New Roman"/>
          <w:bCs/>
          <w:sz w:val="24"/>
          <w:szCs w:val="24"/>
          <w:highlight w:val="yellow"/>
          <w:lang w:val="hy-AM"/>
        </w:rPr>
        <w:t>)</w:t>
      </w:r>
      <w:r w:rsidRPr="002C4C67">
        <w:rPr>
          <w:rFonts w:ascii="GHEA Grapalat" w:eastAsia="Times New Roman" w:hAnsi="GHEA Grapalat" w:cs="Times New Roman"/>
          <w:color w:val="000000"/>
          <w:sz w:val="24"/>
          <w:szCs w:val="24"/>
          <w:highlight w:val="yellow"/>
          <w:lang w:val="hy-AM"/>
        </w:rPr>
        <w:t>:</w:t>
      </w:r>
      <w:r w:rsidRPr="002C4C67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hy-AM"/>
        </w:rPr>
        <w:t>․</w:t>
      </w:r>
    </w:p>
    <w:p w:rsidR="002C4C67" w:rsidRPr="00880FFA" w:rsidRDefault="002C4C67" w:rsidP="002C4C67">
      <w:pPr>
        <w:rPr>
          <w:strike/>
          <w:lang w:val="hy-AM"/>
        </w:rPr>
      </w:pPr>
      <w:r w:rsidRPr="00880FFA">
        <w:rPr>
          <w:rFonts w:ascii="Sylfaen" w:hAnsi="Sylfaen"/>
          <w:strike/>
          <w:color w:val="000000"/>
          <w:sz w:val="21"/>
          <w:szCs w:val="21"/>
          <w:shd w:val="clear" w:color="auto" w:fill="FFFFFF"/>
          <w:lang w:val="hy-AM"/>
        </w:rPr>
        <w:t>13) </w:t>
      </w:r>
      <w:r w:rsidRPr="00880FFA">
        <w:rPr>
          <w:rFonts w:ascii="Sylfaen" w:hAnsi="Sylfaen"/>
          <w:b/>
          <w:bCs/>
          <w:strike/>
          <w:color w:val="000000"/>
          <w:sz w:val="21"/>
          <w:szCs w:val="21"/>
          <w:shd w:val="clear" w:color="auto" w:fill="FFFFFF"/>
          <w:lang w:val="hy-AM"/>
        </w:rPr>
        <w:t>թույլտվություն՝</w:t>
      </w:r>
      <w:r w:rsidRPr="00880FFA">
        <w:rPr>
          <w:rFonts w:ascii="Sylfaen" w:hAnsi="Sylfaen"/>
          <w:strike/>
          <w:color w:val="000000"/>
          <w:sz w:val="21"/>
          <w:szCs w:val="21"/>
          <w:shd w:val="clear" w:color="auto" w:fill="FFFFFF"/>
          <w:lang w:val="hy-AM"/>
        </w:rPr>
        <w:t> Հայաստանի Հանրապետության ընդհանուր օգտագործման պետական ավտոմոբիլային ճանապարհներով` 44 տոննա ընդհանուր զանգվածը կամ մեկ սռնու վրա ընկնող բեռնվածքը 11.5 տոննան գերազանցող ծանրաքաշ տրանսպորտային միջոցով չմասնատվող բեռ փոխադրելու իրավունք վերապահող փաստաթուղթ:</w:t>
      </w:r>
    </w:p>
    <w:p w:rsidR="00880FFA" w:rsidRDefault="00880FFA" w:rsidP="002C4C67">
      <w:pPr>
        <w:ind w:firstLine="720"/>
        <w:rPr>
          <w:lang w:val="hy-AM"/>
        </w:rPr>
      </w:pPr>
    </w:p>
    <w:p w:rsidR="00880FFA" w:rsidRPr="00880FFA" w:rsidRDefault="00880FFA" w:rsidP="00880FFA">
      <w:pPr>
        <w:rPr>
          <w:lang w:val="hy-AM"/>
        </w:rPr>
      </w:pPr>
    </w:p>
    <w:p w:rsidR="00880FFA" w:rsidRPr="00880FFA" w:rsidRDefault="00880FFA" w:rsidP="00880FFA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Sylfaen" w:hAnsi="Sylfaen"/>
          <w:color w:val="000000"/>
          <w:sz w:val="21"/>
          <w:szCs w:val="21"/>
          <w:lang w:val="hy-AM"/>
        </w:rPr>
      </w:pPr>
      <w:r w:rsidRPr="00880FFA">
        <w:rPr>
          <w:rStyle w:val="Strong"/>
          <w:rFonts w:ascii="Sylfaen" w:hAnsi="Sylfaen"/>
          <w:color w:val="000000"/>
          <w:sz w:val="21"/>
          <w:szCs w:val="21"/>
          <w:u w:val="single"/>
          <w:lang w:val="hy-AM"/>
        </w:rPr>
        <w:t>Ձև N 3</w:t>
      </w:r>
    </w:p>
    <w:p w:rsidR="00880FFA" w:rsidRPr="00880FFA" w:rsidRDefault="00880FFA" w:rsidP="00880FFA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Sylfaen" w:hAnsi="Sylfaen"/>
          <w:color w:val="000000"/>
          <w:sz w:val="21"/>
          <w:szCs w:val="21"/>
          <w:lang w:val="hy-AM"/>
        </w:rPr>
      </w:pPr>
      <w:r w:rsidRPr="00880FFA">
        <w:rPr>
          <w:rFonts w:ascii="Sylfaen" w:hAnsi="Sylfaen"/>
          <w:color w:val="000000"/>
          <w:sz w:val="21"/>
          <w:szCs w:val="21"/>
          <w:lang w:val="hy-AM"/>
        </w:rPr>
        <w:t> </w:t>
      </w:r>
    </w:p>
    <w:p w:rsidR="00880FFA" w:rsidRPr="00880FFA" w:rsidRDefault="00880FFA" w:rsidP="00880FFA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Sylfaen" w:hAnsi="Sylfaen"/>
          <w:color w:val="000000"/>
          <w:sz w:val="21"/>
          <w:szCs w:val="21"/>
          <w:lang w:val="hy-AM"/>
        </w:rPr>
      </w:pPr>
      <w:r w:rsidRPr="00880FFA">
        <w:rPr>
          <w:rStyle w:val="Strong"/>
          <w:rFonts w:ascii="Sylfaen" w:hAnsi="Sylfaen"/>
          <w:color w:val="000000"/>
          <w:sz w:val="21"/>
          <w:szCs w:val="21"/>
          <w:u w:val="single"/>
          <w:lang w:val="hy-AM"/>
        </w:rPr>
        <w:t>Form N 3</w:t>
      </w:r>
    </w:p>
    <w:p w:rsidR="00880FFA" w:rsidRPr="00880FFA" w:rsidRDefault="00880FFA" w:rsidP="00880FF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Sylfaen" w:hAnsi="Sylfaen"/>
          <w:color w:val="000000"/>
          <w:sz w:val="21"/>
          <w:szCs w:val="21"/>
          <w:lang w:val="hy-AM"/>
        </w:rPr>
      </w:pPr>
      <w:r w:rsidRPr="00880FFA">
        <w:rPr>
          <w:rFonts w:ascii="Sylfaen" w:hAnsi="Sylfaen"/>
          <w:color w:val="000000"/>
          <w:sz w:val="21"/>
          <w:szCs w:val="21"/>
          <w:lang w:val="hy-AM"/>
        </w:rPr>
        <w:t> </w:t>
      </w:r>
    </w:p>
    <w:p w:rsidR="00880FFA" w:rsidRPr="00880FFA" w:rsidRDefault="00880FFA" w:rsidP="00880FF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Sylfaen" w:hAnsi="Sylfaen"/>
          <w:color w:val="000000"/>
          <w:sz w:val="21"/>
          <w:szCs w:val="21"/>
          <w:lang w:val="hy-AM"/>
        </w:rPr>
      </w:pPr>
      <w:r w:rsidRPr="00880FFA">
        <w:rPr>
          <w:rStyle w:val="Strong"/>
          <w:rFonts w:ascii="Sylfaen" w:hAnsi="Sylfaen"/>
          <w:strike/>
          <w:color w:val="000000"/>
          <w:sz w:val="21"/>
          <w:szCs w:val="21"/>
          <w:highlight w:val="yellow"/>
          <w:lang w:val="hy-AM"/>
        </w:rPr>
        <w:t>Հ Ա Տ ՈՒ Կ</w:t>
      </w:r>
      <w:r w:rsidRPr="00880FFA">
        <w:rPr>
          <w:rStyle w:val="Strong"/>
          <w:rFonts w:ascii="Sylfaen" w:hAnsi="Sylfaen"/>
          <w:color w:val="000000"/>
          <w:sz w:val="21"/>
          <w:szCs w:val="21"/>
          <w:lang w:val="hy-AM"/>
        </w:rPr>
        <w:t>  Թ ՈՒ Յ Լ Տ Վ ՈՒ Թ Յ ՈՒ Ն    N</w:t>
      </w:r>
    </w:p>
    <w:p w:rsidR="00880FFA" w:rsidRDefault="00880FFA" w:rsidP="00880FF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Sylfaen" w:hAnsi="Sylfaen"/>
          <w:color w:val="000000"/>
          <w:sz w:val="21"/>
          <w:szCs w:val="21"/>
        </w:rPr>
      </w:pPr>
      <w:r w:rsidRPr="00880FFA">
        <w:rPr>
          <w:rStyle w:val="Strong"/>
          <w:rFonts w:ascii="Sylfaen" w:hAnsi="Sylfaen"/>
          <w:strike/>
          <w:color w:val="000000"/>
          <w:sz w:val="21"/>
          <w:szCs w:val="21"/>
          <w:highlight w:val="yellow"/>
        </w:rPr>
        <w:t xml:space="preserve">S P E C I A </w:t>
      </w:r>
      <w:proofErr w:type="gramStart"/>
      <w:r w:rsidRPr="00880FFA">
        <w:rPr>
          <w:rStyle w:val="Strong"/>
          <w:rFonts w:ascii="Sylfaen" w:hAnsi="Sylfaen"/>
          <w:strike/>
          <w:color w:val="000000"/>
          <w:sz w:val="21"/>
          <w:szCs w:val="21"/>
          <w:highlight w:val="yellow"/>
        </w:rPr>
        <w:t>L</w:t>
      </w:r>
      <w:r w:rsidRPr="00880FFA">
        <w:rPr>
          <w:rStyle w:val="Strong"/>
          <w:rFonts w:ascii="Sylfaen" w:hAnsi="Sylfaen"/>
          <w:strike/>
          <w:color w:val="000000"/>
          <w:sz w:val="21"/>
          <w:szCs w:val="21"/>
        </w:rPr>
        <w:t xml:space="preserve">  </w:t>
      </w:r>
      <w:r>
        <w:rPr>
          <w:rStyle w:val="Strong"/>
          <w:rFonts w:ascii="Sylfaen" w:hAnsi="Sylfaen"/>
          <w:color w:val="000000"/>
          <w:sz w:val="21"/>
          <w:szCs w:val="21"/>
        </w:rPr>
        <w:t>P</w:t>
      </w:r>
      <w:proofErr w:type="gramEnd"/>
      <w:r>
        <w:rPr>
          <w:rStyle w:val="Strong"/>
          <w:rFonts w:ascii="Sylfaen" w:hAnsi="Sylfaen"/>
          <w:color w:val="000000"/>
          <w:sz w:val="21"/>
          <w:szCs w:val="21"/>
        </w:rPr>
        <w:t xml:space="preserve"> E R M I S S I O N         N</w:t>
      </w:r>
    </w:p>
    <w:p w:rsidR="00880FFA" w:rsidRDefault="00880FFA" w:rsidP="00880FF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Sylfaen" w:hAnsi="Sylfaen"/>
          <w:color w:val="000000"/>
          <w:sz w:val="21"/>
          <w:szCs w:val="21"/>
        </w:rPr>
      </w:pPr>
      <w:r>
        <w:rPr>
          <w:rFonts w:ascii="Sylfaen" w:hAnsi="Sylfaen"/>
          <w:color w:val="000000"/>
          <w:sz w:val="21"/>
          <w:szCs w:val="21"/>
        </w:rPr>
        <w:t> </w:t>
      </w:r>
    </w:p>
    <w:p w:rsidR="00880FFA" w:rsidRDefault="00880FFA" w:rsidP="00880FF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Sylfaen" w:hAnsi="Sylfaen"/>
          <w:color w:val="000000"/>
          <w:sz w:val="21"/>
          <w:szCs w:val="21"/>
        </w:rPr>
      </w:pPr>
      <w:r>
        <w:rPr>
          <w:rStyle w:val="Strong"/>
          <w:rFonts w:ascii="Sylfaen" w:hAnsi="Sylfaen"/>
          <w:color w:val="000000"/>
          <w:sz w:val="21"/>
          <w:szCs w:val="21"/>
        </w:rPr>
        <w:t>ՀԱՅԱՍՏԱՆԻ ՀԱՆՐԱՊԵՏՈՒԹՅԱՆ ԸՆԴՀԱՆՈՒՐ ՕԳՏԱԳՈՐԾՄԱՆ ԱՎՏՈՄՈԲԻԼԱՅԻՆ ՃԱՆԱՊԱՐՀՆԵՐՈՎ ԾԱՆՐԱՔԱՇ ԲԵՌԻ ՓՈԽԱԴՐՄԱՆ</w:t>
      </w:r>
    </w:p>
    <w:p w:rsidR="00880FFA" w:rsidRDefault="00880FFA" w:rsidP="00880FF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Sylfaen" w:hAnsi="Sylfaen"/>
          <w:color w:val="000000"/>
          <w:sz w:val="21"/>
          <w:szCs w:val="21"/>
        </w:rPr>
      </w:pPr>
      <w:r>
        <w:rPr>
          <w:rStyle w:val="Strong"/>
          <w:rFonts w:ascii="Sylfaen" w:hAnsi="Sylfaen"/>
          <w:color w:val="000000"/>
          <w:sz w:val="21"/>
          <w:szCs w:val="21"/>
        </w:rPr>
        <w:t>FOR HEAVYWEIGHT TRANSPORTATION THROUGH COMMON USE AUTOMOBILE ROADS OF RA</w:t>
      </w:r>
    </w:p>
    <w:p w:rsidR="00880FFA" w:rsidRDefault="00880FFA" w:rsidP="00880FF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Sylfaen" w:hAnsi="Sylfaen"/>
          <w:color w:val="000000"/>
          <w:sz w:val="21"/>
          <w:szCs w:val="21"/>
        </w:rPr>
      </w:pPr>
      <w:r>
        <w:rPr>
          <w:rStyle w:val="Emphasis"/>
          <w:rFonts w:ascii="Sylfaen" w:hAnsi="Sylfaen"/>
          <w:b/>
          <w:bCs/>
          <w:color w:val="000000"/>
          <w:sz w:val="21"/>
          <w:szCs w:val="21"/>
        </w:rPr>
        <w:t>(վերնագիրը փոփ. 19.12.19 N 1858-Ն)</w:t>
      </w:r>
    </w:p>
    <w:p w:rsidR="00880FFA" w:rsidRDefault="00880FFA" w:rsidP="00880FF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Sylfaen" w:hAnsi="Sylfaen"/>
          <w:color w:val="000000"/>
          <w:sz w:val="21"/>
          <w:szCs w:val="21"/>
        </w:rPr>
      </w:pPr>
      <w:r>
        <w:rPr>
          <w:rFonts w:ascii="Sylfaen" w:hAnsi="Sylfaen"/>
          <w:color w:val="000000"/>
          <w:sz w:val="21"/>
          <w:szCs w:val="21"/>
        </w:rPr>
        <w:t> </w:t>
      </w:r>
    </w:p>
    <w:p w:rsidR="00880FFA" w:rsidRDefault="00880FFA" w:rsidP="00880FFA">
      <w:pPr>
        <w:rPr>
          <w:lang w:val="hy-AM"/>
        </w:rPr>
      </w:pPr>
    </w:p>
    <w:p w:rsidR="00880FFA" w:rsidRPr="00880FFA" w:rsidRDefault="00880FFA" w:rsidP="00880FFA">
      <w:pPr>
        <w:tabs>
          <w:tab w:val="left" w:pos="1185"/>
        </w:tabs>
        <w:rPr>
          <w:lang w:val="hy-AM"/>
        </w:rPr>
      </w:pPr>
      <w:r>
        <w:rPr>
          <w:lang w:val="hy-AM"/>
        </w:rPr>
        <w:tab/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0"/>
      </w:tblGrid>
      <w:tr w:rsidR="00880FFA" w:rsidRPr="00880FFA" w:rsidTr="00880FFA">
        <w:trPr>
          <w:tblCellSpacing w:w="0" w:type="dxa"/>
        </w:trPr>
        <w:tc>
          <w:tcPr>
            <w:tcW w:w="6330" w:type="dxa"/>
            <w:shd w:val="clear" w:color="auto" w:fill="FFFFFF"/>
            <w:vAlign w:val="center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  <w:lang w:val="hy-AM"/>
              </w:rPr>
            </w:pPr>
            <w:r w:rsidRPr="00880FFA">
              <w:rPr>
                <w:rFonts w:ascii="Sylfaen" w:eastAsia="Times New Roman" w:hAnsi="Sylfaen" w:cs="Times New Roman"/>
                <w:b/>
                <w:bCs/>
                <w:strike/>
                <w:color w:val="000000"/>
                <w:sz w:val="15"/>
                <w:szCs w:val="15"/>
                <w:lang w:val="hy-AM"/>
              </w:rPr>
              <w:t>Հավելված N 2</w:t>
            </w:r>
            <w:r w:rsidRPr="00880FFA">
              <w:rPr>
                <w:rFonts w:ascii="Sylfaen" w:eastAsia="Times New Roman" w:hAnsi="Sylfaen" w:cs="Times New Roman"/>
                <w:b/>
                <w:bCs/>
                <w:strike/>
                <w:color w:val="000000"/>
                <w:sz w:val="15"/>
                <w:szCs w:val="15"/>
                <w:lang w:val="hy-AM"/>
              </w:rPr>
              <w:br/>
              <w:t>ՀՀ կառավարության 2006 թվականի</w:t>
            </w:r>
            <w:r w:rsidRPr="00880FFA">
              <w:rPr>
                <w:rFonts w:ascii="Sylfaen" w:eastAsia="Times New Roman" w:hAnsi="Sylfaen" w:cs="Times New Roman"/>
                <w:b/>
                <w:bCs/>
                <w:strike/>
                <w:color w:val="000000"/>
                <w:sz w:val="15"/>
                <w:szCs w:val="15"/>
                <w:lang w:val="hy-AM"/>
              </w:rPr>
              <w:br/>
              <w:t>հուլիսի 20-ի N 1106-Ն որոշման</w:t>
            </w:r>
          </w:p>
        </w:tc>
      </w:tr>
    </w:tbl>
    <w:p w:rsidR="00880FFA" w:rsidRPr="00880FFA" w:rsidRDefault="00880FFA" w:rsidP="00880FFA">
      <w:pPr>
        <w:shd w:val="clear" w:color="auto" w:fill="FFFFFF"/>
        <w:spacing w:after="0" w:line="240" w:lineRule="auto"/>
        <w:jc w:val="center"/>
        <w:rPr>
          <w:rFonts w:ascii="Sylfaen" w:eastAsia="Times New Roman" w:hAnsi="Sylfaen" w:cs="Times New Roman"/>
          <w:strike/>
          <w:color w:val="000000"/>
          <w:sz w:val="21"/>
          <w:szCs w:val="21"/>
          <w:lang w:val="hy-AM"/>
        </w:rPr>
      </w:pPr>
      <w:r w:rsidRPr="00880FFA">
        <w:rPr>
          <w:rFonts w:ascii="Sylfaen" w:eastAsia="Times New Roman" w:hAnsi="Sylfaen" w:cs="Times New Roman"/>
          <w:b/>
          <w:bCs/>
          <w:strike/>
          <w:color w:val="000000"/>
          <w:sz w:val="21"/>
          <w:szCs w:val="21"/>
          <w:lang w:val="hy-AM"/>
        </w:rPr>
        <w:t>  ՏՐԱՆՍՊՈՐՏԱՅԻՆ ՄԻՋՈՑՆԵՐԻ ԹՈՒՅԼԱՏՐԵԼԻ ԱՌԱՎԵԼԱԳՈՒՅՆ ԶԱՆԳՎԱԾԸ ԵՎ (ԿԱՄ) ՄԵԿ ՍՌՆՈՒ ՎՐԱ ԸՆԿՆՈՂ ԲԵՌՆՎԱԾՔԸ, ԻՆՉՊԵՍ ՆԱԵՎ ՄԵԾ ԵԶՐԱՉԱՓԵՐԻ ԱՌԱՎԵԼԱԳՈՒՅՆ ԶԱՆԳՎԱԾՆԵՐԸ ԵՎ ՉԱՓԵՐԸ</w:t>
      </w:r>
    </w:p>
    <w:p w:rsidR="00880FFA" w:rsidRPr="00880FFA" w:rsidRDefault="00880FFA" w:rsidP="00880FFA">
      <w:pPr>
        <w:shd w:val="clear" w:color="auto" w:fill="FFFFFF"/>
        <w:spacing w:after="0" w:line="240" w:lineRule="auto"/>
        <w:jc w:val="center"/>
        <w:rPr>
          <w:rFonts w:ascii="Sylfaen" w:eastAsia="Times New Roman" w:hAnsi="Sylfaen" w:cs="Times New Roman"/>
          <w:strike/>
          <w:color w:val="000000"/>
          <w:sz w:val="21"/>
          <w:szCs w:val="21"/>
          <w:lang w:val="hy-AM"/>
        </w:rPr>
      </w:pPr>
      <w:r w:rsidRPr="00880FFA">
        <w:rPr>
          <w:rFonts w:ascii="Sylfaen" w:eastAsia="Times New Roman" w:hAnsi="Sylfaen" w:cs="Times New Roman"/>
          <w:b/>
          <w:bCs/>
          <w:i/>
          <w:iCs/>
          <w:strike/>
          <w:color w:val="000000"/>
          <w:sz w:val="21"/>
          <w:szCs w:val="21"/>
          <w:lang w:val="hy-AM"/>
        </w:rPr>
        <w:t>(վերնագիրը փոփ. 14.06.07 N 702-Ն, խմբ. 19.12.19 N 1858-Ն)</w:t>
      </w:r>
    </w:p>
    <w:p w:rsidR="00880FFA" w:rsidRPr="00880FFA" w:rsidRDefault="00880FFA" w:rsidP="00880FFA">
      <w:pPr>
        <w:shd w:val="clear" w:color="auto" w:fill="FFFFFF"/>
        <w:spacing w:after="0" w:line="240" w:lineRule="auto"/>
        <w:jc w:val="center"/>
        <w:rPr>
          <w:rFonts w:ascii="Sylfaen" w:eastAsia="Times New Roman" w:hAnsi="Sylfaen" w:cs="Times New Roman"/>
          <w:strike/>
          <w:color w:val="000000"/>
          <w:sz w:val="21"/>
          <w:szCs w:val="21"/>
          <w:lang w:val="hy-AM"/>
        </w:rPr>
      </w:pPr>
      <w:r w:rsidRPr="00880FFA">
        <w:rPr>
          <w:rFonts w:ascii="Sylfaen" w:eastAsia="Times New Roman" w:hAnsi="Sylfaen" w:cs="Times New Roman"/>
          <w:strike/>
          <w:color w:val="000000"/>
          <w:sz w:val="21"/>
          <w:szCs w:val="21"/>
          <w:lang w:val="hy-AM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3"/>
        <w:gridCol w:w="7322"/>
        <w:gridCol w:w="1765"/>
      </w:tblGrid>
      <w:tr w:rsidR="00880FFA" w:rsidRPr="00880FFA" w:rsidTr="00880FFA">
        <w:trPr>
          <w:tblCellSpacing w:w="0" w:type="dxa"/>
          <w:jc w:val="center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b/>
                <w:bCs/>
                <w:strike/>
                <w:color w:val="000000"/>
                <w:sz w:val="21"/>
                <w:szCs w:val="21"/>
              </w:rPr>
              <w:t>հ/հ</w:t>
            </w:r>
          </w:p>
        </w:tc>
        <w:tc>
          <w:tcPr>
            <w:tcW w:w="5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b/>
                <w:bCs/>
                <w:strike/>
                <w:color w:val="000000"/>
                <w:sz w:val="21"/>
                <w:szCs w:val="21"/>
              </w:rPr>
              <w:t>Չափորոշիչը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b/>
                <w:bCs/>
                <w:strike/>
                <w:color w:val="000000"/>
                <w:sz w:val="21"/>
                <w:szCs w:val="21"/>
              </w:rPr>
              <w:t>Ցուցանիշները</w:t>
            </w:r>
          </w:p>
        </w:tc>
      </w:tr>
      <w:tr w:rsidR="00880FFA" w:rsidRPr="00880FFA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i/>
                <w:iCs/>
                <w:strike/>
                <w:color w:val="000000"/>
                <w:sz w:val="21"/>
                <w:szCs w:val="21"/>
              </w:rPr>
              <w:t>Տրանսպորտային միջոցների թույլատրելի առավելագույն եզրաչափերը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after="0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 </w:t>
            </w:r>
          </w:p>
        </w:tc>
      </w:tr>
      <w:tr w:rsidR="00880FFA" w:rsidRPr="00880FFA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1.1.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Առավելագույն երկարությունը՝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after="0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 </w:t>
            </w:r>
          </w:p>
        </w:tc>
      </w:tr>
      <w:tr w:rsidR="00880FFA" w:rsidRPr="00880FFA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1.1.1.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Ավտոբուսից բացի այլ մեխանիկական տրանսպորտային միջոցի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12,00 մ</w:t>
            </w:r>
          </w:p>
        </w:tc>
      </w:tr>
      <w:tr w:rsidR="00880FFA" w:rsidRPr="00880FFA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1.1.2.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Կցորդ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12,00 մ</w:t>
            </w:r>
          </w:p>
        </w:tc>
      </w:tr>
      <w:tr w:rsidR="00880FFA" w:rsidRPr="00880FFA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1.1.3.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Քարշակ կցորդով, կիսակցորդով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16.50 մ</w:t>
            </w:r>
          </w:p>
        </w:tc>
      </w:tr>
      <w:tr w:rsidR="00880FFA" w:rsidRPr="00880FFA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lastRenderedPageBreak/>
              <w:t>1.1.4.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Ավտոգնացք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18,75 մ</w:t>
            </w:r>
          </w:p>
        </w:tc>
      </w:tr>
      <w:tr w:rsidR="00880FFA" w:rsidRPr="00880FFA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1.1.5.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Երկսեկցիանի ավտոբուս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18,75 մ</w:t>
            </w:r>
          </w:p>
        </w:tc>
      </w:tr>
      <w:tr w:rsidR="00880FFA" w:rsidRPr="00880FFA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1.1.6.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Երկսռնանի ավտոբուս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13,50 մ</w:t>
            </w:r>
          </w:p>
        </w:tc>
      </w:tr>
      <w:tr w:rsidR="00880FFA" w:rsidRPr="00880FFA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1.1.7.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Երկու սռնուց ավելի սռնի ունեցող ավտոբուս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15,00 մ</w:t>
            </w:r>
          </w:p>
        </w:tc>
      </w:tr>
      <w:tr w:rsidR="00880FFA" w:rsidRPr="00880FFA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1.1.8.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Ավտոբուս+կցորդ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18,75 մ</w:t>
            </w:r>
          </w:p>
        </w:tc>
      </w:tr>
      <w:tr w:rsidR="00880FFA" w:rsidRPr="00880FFA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1.2.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Առավելագույն լայնությունը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after="0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 </w:t>
            </w:r>
          </w:p>
        </w:tc>
      </w:tr>
      <w:tr w:rsidR="00880FFA" w:rsidRPr="00880FFA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1.2.1.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Բոլոր տրանսպորտային միջոցները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2,55 մ</w:t>
            </w:r>
          </w:p>
        </w:tc>
      </w:tr>
      <w:tr w:rsidR="00880FFA" w:rsidRPr="00880FFA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1.2.2.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Սառնարան-մեքենաների վերնակառուցվածքները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2,60 մ</w:t>
            </w:r>
          </w:p>
        </w:tc>
      </w:tr>
      <w:tr w:rsidR="00880FFA" w:rsidRPr="00880FFA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1.3.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Առավելագույն բարձրությունը (ցանկացած տրանսպորտային միջոցի)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4,00 մ</w:t>
            </w:r>
          </w:p>
        </w:tc>
      </w:tr>
      <w:tr w:rsidR="00880FFA" w:rsidRPr="00880FFA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1.4.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Թափքի հանովի վերնակառուցվածքները և բեռնման ստանդարտ միջոցները, ինչպես օրինակ` կոնտեյներները, որոնք համապատասխանում են 1.1-ին, 1.2-րդ, 1.3-րդ, 1.6-րդ, 1.7-րդ, 1.8-րդ և 4.4-րդ կետերով սահմանված եզրաչափերին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after="0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 </w:t>
            </w:r>
          </w:p>
        </w:tc>
      </w:tr>
      <w:tr w:rsidR="00880FFA" w:rsidRPr="00880FFA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1.4.1.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Եթե ավտոբուսին կցվում է ցանկացած հանովի սարքավորում, ինչպես օրինակ` բեռնախցիկ-տուփերը, ապա դրա երկարությունը՝ սարքավորման հետ մեկտեղ, չպետք է գերազանցի 1.1-ին կետով սահմանված առավելագույն երկարությունը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after="0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 </w:t>
            </w:r>
          </w:p>
        </w:tc>
      </w:tr>
      <w:tr w:rsidR="00880FFA" w:rsidRPr="00880FFA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1.5.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after="0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Շարժման մեջ գտնվող ցանկացած մեխանիկական տրանսպորտային միջոց կամ տրանսպորտային միջոցների համակցություն պետք է կարողանա շրջադարձ կատարել 12,50 մ արտաքին և 5,30 ներքին շառավղով էլեպսում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after="0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 </w:t>
            </w:r>
          </w:p>
        </w:tc>
      </w:tr>
      <w:tr w:rsidR="00880FFA" w:rsidRPr="00880FFA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1.5.1.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after="0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i/>
                <w:iCs/>
                <w:strike/>
                <w:color w:val="000000"/>
                <w:sz w:val="21"/>
                <w:szCs w:val="21"/>
              </w:rPr>
              <w:t>Ավտոբուսներին ներկայացվող լրացուցիչ պահանջները.</w:t>
            </w:r>
          </w:p>
          <w:p w:rsidR="00880FFA" w:rsidRPr="00880FFA" w:rsidRDefault="00880FFA" w:rsidP="00880FFA">
            <w:pPr>
              <w:spacing w:after="0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Երբ տրանսպորտային միջոցը կանգնած է, ապա գետնի վրա պետք է գծանշվի ուղղահայաց հարթություն, որն անցնում է տրանսպորտային միջոցի կողային մասի շառավղով, որը նայում է շրջանագծից դուրս: Երկու սեկցիա ունեցող ավտոբուսների դեպքում երկու ֆիքսված հատվածները պետք է հավասարվեն հարթությանը:</w:t>
            </w:r>
          </w:p>
          <w:p w:rsidR="00880FFA" w:rsidRPr="00880FFA" w:rsidRDefault="00880FFA" w:rsidP="00880FFA">
            <w:pPr>
              <w:spacing w:after="0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Երբ ավտոբուսն ուղիղ դիրքից շարժվում է 1.5-րդ</w:t>
            </w:r>
          </w:p>
          <w:p w:rsidR="00880FFA" w:rsidRPr="00880FFA" w:rsidRDefault="00880FFA" w:rsidP="00880FFA">
            <w:pPr>
              <w:spacing w:after="0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կետում նշված էլիպսոիդային հետագծով, ապա դրա ոչ մի մասը չպետք է 0,60 մ-ից ավելի դուրս գա ուղղահայաց հարթության սահմաններից: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after="0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 </w:t>
            </w:r>
          </w:p>
        </w:tc>
      </w:tr>
      <w:tr w:rsidR="00880FFA" w:rsidRPr="00880FFA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1.6.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Կիսակցորդի հոդավոր ամրակապման սռնու և կիսակցորդի հետին մասի միջև առավելագույն հեռավորությունը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12,00 մ</w:t>
            </w:r>
          </w:p>
        </w:tc>
      </w:tr>
      <w:tr w:rsidR="00880FFA" w:rsidRPr="00880FFA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1.7.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Ավտոգնացքի երկայնական սռնուն զուգահեռ չափվող առավելագույն հեռավորությունը բեռի տեղակայման տարածքի առաջնային արտաքին կետից մինչև տրանսպորտային միջոցների համակցության կցորդի խցիկի հետին արտաքին կետը` հանած քարշակի հետին մասի և կցորդի առաջնային մասի միջև հեռավորությունը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15,65 մ</w:t>
            </w:r>
          </w:p>
        </w:tc>
      </w:tr>
      <w:tr w:rsidR="00880FFA" w:rsidRPr="00880FFA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1.8.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Ավտոգնացքի երկայնական սռնուն զուգահեռ չափվող առավելագույն հեռավորությունը բեռի տեղակայման տարածքի առաջնային արտաքին կետից մինչեւ տրանսպորտային միջոցների համակցության կցորդի խցիկի հետին արտաքին կետը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16,40 մ</w:t>
            </w:r>
          </w:p>
        </w:tc>
      </w:tr>
      <w:tr w:rsidR="00880FFA" w:rsidRPr="00880FFA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i/>
                <w:iCs/>
                <w:strike/>
                <w:color w:val="000000"/>
                <w:sz w:val="21"/>
                <w:szCs w:val="21"/>
              </w:rPr>
              <w:t>Տրանսպորտային միջոցի թույլատրելի առավելագույն զանգվածը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after="0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 </w:t>
            </w:r>
          </w:p>
        </w:tc>
      </w:tr>
      <w:tr w:rsidR="00880FFA" w:rsidRPr="00880FFA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2.1.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after="0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Տրանսպորտային միջոցների համակցության մաս</w:t>
            </w:r>
          </w:p>
          <w:p w:rsidR="00880FFA" w:rsidRPr="00880FFA" w:rsidRDefault="00880FFA" w:rsidP="00880FFA">
            <w:pPr>
              <w:spacing w:after="0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կազմող տրանսպորտային միջոցները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after="0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 </w:t>
            </w:r>
          </w:p>
        </w:tc>
      </w:tr>
      <w:tr w:rsidR="00880FFA" w:rsidRPr="00880FFA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2.1.1.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Երկու սռնիով կցորդ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18 տոննա</w:t>
            </w:r>
          </w:p>
        </w:tc>
      </w:tr>
      <w:tr w:rsidR="00880FFA" w:rsidRPr="00880FFA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lastRenderedPageBreak/>
              <w:t>2.1.2.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Երեք սռնիով կցորդ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24 տոննա</w:t>
            </w:r>
          </w:p>
        </w:tc>
      </w:tr>
      <w:tr w:rsidR="00880FFA" w:rsidRPr="00880FFA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2.2.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Տրանսպորտային միջոցների համակցություն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after="0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 </w:t>
            </w:r>
          </w:p>
        </w:tc>
      </w:tr>
      <w:tr w:rsidR="00880FFA" w:rsidRPr="00880FFA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2.2.1.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Հինգ կամ վեց սռնիով ավտոգնացքներ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after="0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 </w:t>
            </w:r>
          </w:p>
        </w:tc>
      </w:tr>
      <w:tr w:rsidR="00880FFA" w:rsidRPr="00880FFA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2.2.1.1.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երկու սռնիով մեխանիկական տրանսպորտային միջոց՝ երեք սռնիով կցորդով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40 տոննա</w:t>
            </w:r>
          </w:p>
        </w:tc>
      </w:tr>
      <w:tr w:rsidR="00880FFA" w:rsidRPr="00880FFA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2.2.1.2.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երեք սռնիով մեխանիկական տրանսպորտային միջոց` երկու սռնիով կամ երեք սռնիով կցորդով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40 տոննա</w:t>
            </w:r>
          </w:p>
        </w:tc>
      </w:tr>
      <w:tr w:rsidR="00880FFA" w:rsidRPr="00880FFA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2.2.2.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Հինգ կամ վեց սռնիով երկու մասով տրանսպորտային միջոցներ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after="0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 </w:t>
            </w:r>
          </w:p>
        </w:tc>
      </w:tr>
      <w:tr w:rsidR="00880FFA" w:rsidRPr="00880FFA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2.2.2.1.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երկու սռնիով մեխանիկական տրանսպորտային միջոց` երեք սռնիով կիսակցորդով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40 տոննա</w:t>
            </w:r>
          </w:p>
        </w:tc>
      </w:tr>
      <w:tr w:rsidR="00880FFA" w:rsidRPr="00880FFA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2.2.2.2.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երեք սռնիով մեխանիկական տրանսպորտային միջոց` երկու սռնիով կամ երեք սռնիով կցորդով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40 տոննա</w:t>
            </w:r>
          </w:p>
        </w:tc>
      </w:tr>
      <w:tr w:rsidR="00880FFA" w:rsidRPr="00880FFA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2.2.2.3.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երեք սռնիով մեխանիկական տրանսպորտային միջոց` երկու սռնիով կամ երեք սռնիով կիսակցորդով, որը որպես համակցված փոխադրում է և փոխադրում է 40 ֆուտ ԻՍՕ կոնտեյներ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44 տոննա</w:t>
            </w:r>
          </w:p>
        </w:tc>
      </w:tr>
      <w:tr w:rsidR="00880FFA" w:rsidRPr="00880FFA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2.2.3.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Չորս սռնի ունեցող ավտոգնացք, որն ունի երկու սռնիով մեխանիկական տրանսպորտային միջոց և երկու սռնիով կցորդ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36 տոննա</w:t>
            </w:r>
          </w:p>
        </w:tc>
      </w:tr>
      <w:tr w:rsidR="00880FFA" w:rsidRPr="00880FFA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2.2.4.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Չորս սռնի ունեցող երկու մասով տրանսպորտային միջոց, որն ունի երկու սռնիով մեխանիկական տրանսպորտային միջոց և երկու սռնիով կիսակցորդ, որի սռնիների միջև առկա է տարածություն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after="0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 </w:t>
            </w:r>
          </w:p>
        </w:tc>
      </w:tr>
      <w:tr w:rsidR="00880FFA" w:rsidRPr="00880FFA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2.2.4.1.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1,3 մ կամ ավելի, բայց ոչ ավելի, քան 1,8 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36 տոննա</w:t>
            </w:r>
          </w:p>
        </w:tc>
      </w:tr>
      <w:tr w:rsidR="00880FFA" w:rsidRPr="00880FFA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2.2.4.2.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Ավելի, քան 1,8 մ-ը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after="0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36 տոննա + 2 տոննա.</w:t>
            </w:r>
          </w:p>
          <w:p w:rsidR="00880FFA" w:rsidRPr="00880FFA" w:rsidRDefault="00880FFA" w:rsidP="00880FFA">
            <w:pPr>
              <w:spacing w:after="0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երբ պահպանված է մեխանիկական տրանսպորտային միջոցի (18 տոննա) և կիսակցորդի երկու սռնու թույլատրելի առավելագույն զանգվածը (20 տոննա) (ԱԹԶ), և տանող սռնու վրա տեղադրված են զույգ անվադողեր և օդաճնշական կամ նմանատիպ այլ կախոց</w:t>
            </w:r>
          </w:p>
        </w:tc>
      </w:tr>
      <w:tr w:rsidR="00880FFA" w:rsidRPr="00880FFA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2.3.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Մեխանիկական տրանսպորտային միջոցներ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after="0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 </w:t>
            </w:r>
          </w:p>
        </w:tc>
      </w:tr>
      <w:tr w:rsidR="00880FFA" w:rsidRPr="00880FFA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2.3.1.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Երկու սռնիով մեխանիկական տրանսպորտային միջոցներ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18 տոննա</w:t>
            </w:r>
          </w:p>
        </w:tc>
      </w:tr>
      <w:tr w:rsidR="00880FFA" w:rsidRPr="00880FFA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2.3.2.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Երեք սռնիով մեխանիկական տրանսպորտային միջոցներ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25 տոննա</w:t>
            </w:r>
          </w:p>
          <w:p w:rsidR="00880FFA" w:rsidRPr="00880FFA" w:rsidRDefault="00880FFA" w:rsidP="00880FFA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lastRenderedPageBreak/>
              <w:t>26 տոննա</w:t>
            </w:r>
          </w:p>
          <w:p w:rsidR="00880FFA" w:rsidRPr="00880FFA" w:rsidRDefault="00880FFA" w:rsidP="00880FFA">
            <w:pPr>
              <w:spacing w:after="0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Եթե տանող սռնու վրա տեղադրված են զույգ անվադողեր և օդաճնշական կամ նմանատիպ այլ կախոց, կամ երբ յուրաքանչյուր տանող սռնու վրա տեղադրված են զույգ անվադողեր և յուրաքանչյուր սռնու առավելագույն բեռնվածությունը չի գերազանցում 9,5 տոննան</w:t>
            </w:r>
          </w:p>
        </w:tc>
      </w:tr>
      <w:tr w:rsidR="00880FFA" w:rsidRPr="00880FFA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lastRenderedPageBreak/>
              <w:t>2.3.3.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Չորս սռնի ունեցող մեխանիկական տրանսպորտային միջոցներ` երկու տանող սռնիներով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after="0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– 32 տոննա</w:t>
            </w:r>
          </w:p>
          <w:p w:rsidR="00880FFA" w:rsidRPr="00880FFA" w:rsidRDefault="00880FFA" w:rsidP="00880FFA">
            <w:pPr>
              <w:spacing w:after="0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Եթե տանող սռնու վրա տեղադրված են զույգ անվադողեր և օդաճնշական կամ նմանատիպ այլ կախոց, կամ երբ յուրաքանչյուր տանող սռնու վրա տեղադրված են զույգ անվադողեր և յուրաքանչյուր սռնու առավելագույն բեռնվածությունը չի գերազանցում 9,5 տոննան</w:t>
            </w:r>
          </w:p>
        </w:tc>
      </w:tr>
      <w:tr w:rsidR="00880FFA" w:rsidRPr="00880FFA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2.4.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երկու սռնիով երկու մասով ավտոբուսներ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28 տոննա</w:t>
            </w:r>
          </w:p>
        </w:tc>
      </w:tr>
      <w:tr w:rsidR="00880FFA" w:rsidRPr="00880FFA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i/>
                <w:iCs/>
                <w:strike/>
                <w:color w:val="000000"/>
                <w:sz w:val="21"/>
                <w:szCs w:val="21"/>
              </w:rPr>
              <w:t>Տրանսպորտային միջոցների սռնու թույլատրելի առավելագույն սահմանված բեռնվածությունը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after="0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 </w:t>
            </w:r>
          </w:p>
        </w:tc>
      </w:tr>
      <w:tr w:rsidR="00880FFA" w:rsidRPr="00880FFA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3.1.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Մեկ չտանող սռնիով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10 տոննա</w:t>
            </w:r>
          </w:p>
        </w:tc>
      </w:tr>
      <w:tr w:rsidR="00880FFA" w:rsidRPr="00880FFA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lastRenderedPageBreak/>
              <w:t>3.2.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i/>
                <w:iCs/>
                <w:strike/>
                <w:color w:val="000000"/>
                <w:sz w:val="21"/>
                <w:szCs w:val="21"/>
              </w:rPr>
              <w:t>Կցորդների և կիսակցորդների երկու սռնիները</w:t>
            </w:r>
          </w:p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Յուրաքանչյուր երկու սռնու հաշվով սռնու ընդհանուր բեռնավածությունը չպետք է գերզանցի, եթե սռնիների միջև հեռավորությունը (d)՝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after="0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 </w:t>
            </w:r>
          </w:p>
        </w:tc>
      </w:tr>
      <w:tr w:rsidR="00880FFA" w:rsidRPr="00880FFA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3.2.1.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1 մ-ից պակաս է (d1,0)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11 տոննա</w:t>
            </w:r>
          </w:p>
        </w:tc>
      </w:tr>
      <w:tr w:rsidR="00880FFA" w:rsidRPr="00880FFA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3.2.2.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գտնվում է 1,0 մ-ի և մինչև 1,3 մ-ի միջև (1,0 ≤ d&lt; 1,3)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16 տոննա</w:t>
            </w:r>
          </w:p>
        </w:tc>
      </w:tr>
      <w:tr w:rsidR="00880FFA" w:rsidRPr="00880FFA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3.2.3.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գտնվում է 1,3 մ-ի և մինչև 1,8 մ-ի միջև (1,3 ≤ d&lt; 1,8)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18 տոննա</w:t>
            </w:r>
          </w:p>
        </w:tc>
      </w:tr>
      <w:tr w:rsidR="00880FFA" w:rsidRPr="00880FFA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3.2.4.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1,8 մ կամ ավելի է (1,8 ≤ d)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20 տոննա</w:t>
            </w:r>
          </w:p>
        </w:tc>
      </w:tr>
      <w:tr w:rsidR="00880FFA" w:rsidRPr="00880FFA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3.3.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i/>
                <w:iCs/>
                <w:strike/>
                <w:color w:val="000000"/>
                <w:sz w:val="21"/>
                <w:szCs w:val="21"/>
              </w:rPr>
              <w:t>Կցորդների և կիսակցորդների երեք սռնիները</w:t>
            </w:r>
          </w:p>
          <w:p w:rsidR="00880FFA" w:rsidRPr="00880FFA" w:rsidRDefault="00880FFA" w:rsidP="00880FFA">
            <w:pPr>
              <w:spacing w:after="0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Յուրաքանչյուր երեք սռնու</w:t>
            </w:r>
            <w:r w:rsidRPr="00880FFA">
              <w:rPr>
                <w:rFonts w:ascii="Sylfaen" w:eastAsia="Times New Roman" w:hAnsi="Sylfaen" w:cs="Times New Roman"/>
                <w:i/>
                <w:iCs/>
                <w:strike/>
                <w:color w:val="000000"/>
                <w:sz w:val="21"/>
                <w:szCs w:val="21"/>
              </w:rPr>
              <w:t> </w:t>
            </w: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հաշվով սռնու ընդհանուր բեռնվածությունը չպետք է գերազանցի զանգվածը, եթե սռնիների միջև հեռավորությունը (d)`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after="0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 </w:t>
            </w:r>
          </w:p>
        </w:tc>
      </w:tr>
      <w:tr w:rsidR="00880FFA" w:rsidRPr="00880FFA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3.3.1.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1,3 մ և պակաս է (d ≤ 1,3)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21 տոննա</w:t>
            </w:r>
          </w:p>
        </w:tc>
      </w:tr>
      <w:tr w:rsidR="00880FFA" w:rsidRPr="00880FFA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3.3.2.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1,3 մ-ից ավելի է, բայց ոչ ավելի, քան 1,4 մ-ը (1,3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24 տոննա</w:t>
            </w:r>
          </w:p>
        </w:tc>
      </w:tr>
      <w:tr w:rsidR="00880FFA" w:rsidRPr="00880FFA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3.4.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Տանող սռնին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after="0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 </w:t>
            </w:r>
          </w:p>
        </w:tc>
      </w:tr>
      <w:tr w:rsidR="00880FFA" w:rsidRPr="00880FFA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3.4.1.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after="0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2.2.1-ին և 2.2.2-րդ կետերում նշված տրանսպորտային միջոցի տանող սռնին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after="0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 </w:t>
            </w:r>
          </w:p>
        </w:tc>
      </w:tr>
      <w:tr w:rsidR="00880FFA" w:rsidRPr="00880FFA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3.4.2.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2.2.3-րդ, 2.2.4-րդ, 2.3-րդ և 2.4-րդ կետերում նշված տրանսպորտային միջոցի տանող սռնին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11,5 տոննա</w:t>
            </w:r>
          </w:p>
        </w:tc>
      </w:tr>
      <w:tr w:rsidR="00880FFA" w:rsidRPr="00880FFA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3.5.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after="0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i/>
                <w:iCs/>
                <w:strike/>
                <w:color w:val="000000"/>
                <w:sz w:val="21"/>
                <w:szCs w:val="21"/>
              </w:rPr>
              <w:t>Մեխանիկական տրանսպորտային միջոցների երկու սռնիները</w:t>
            </w:r>
          </w:p>
          <w:p w:rsidR="00880FFA" w:rsidRPr="00880FFA" w:rsidRDefault="00880FFA" w:rsidP="00880FFA">
            <w:pPr>
              <w:spacing w:after="0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Յուրաքանչյուր երկու սռնու հաշվով սռնու</w:t>
            </w:r>
          </w:p>
          <w:p w:rsidR="00880FFA" w:rsidRPr="00880FFA" w:rsidRDefault="00880FFA" w:rsidP="00880FFA">
            <w:pPr>
              <w:spacing w:after="0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ընդհանուր բեռնվածությունը չպետք է գերազանցի զանգվածը, եթե սռնիների միջև հեռավորությունը (d)`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after="0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 </w:t>
            </w:r>
          </w:p>
        </w:tc>
      </w:tr>
      <w:tr w:rsidR="00880FFA" w:rsidRPr="00880FFA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3.5.1.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1 մ-ից պակաս է (d &lt; 1,0)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11,5 տոննա</w:t>
            </w:r>
          </w:p>
        </w:tc>
      </w:tr>
      <w:tr w:rsidR="00880FFA" w:rsidRPr="00880FFA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3.5.2.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after="0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1,0 մ կամ ավելի է, բայց ոչ պակաս, քան 1,3 մ-ը</w:t>
            </w:r>
          </w:p>
          <w:p w:rsidR="00880FFA" w:rsidRPr="00880FFA" w:rsidRDefault="00880FFA" w:rsidP="00880FFA">
            <w:pPr>
              <w:spacing w:after="0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(1,0 ≤ d &lt; 1,3)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16 տոննա</w:t>
            </w:r>
          </w:p>
        </w:tc>
      </w:tr>
      <w:tr w:rsidR="00880FFA" w:rsidRPr="00880FFA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3.5.3.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after="0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1,3 մ կամ ավելի է, սակայն 1,8 մ-ից պակաս է</w:t>
            </w:r>
          </w:p>
          <w:p w:rsidR="00880FFA" w:rsidRPr="00880FFA" w:rsidRDefault="00880FFA" w:rsidP="00880FFA">
            <w:pPr>
              <w:spacing w:after="0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(1,3 ≤ d &lt; 1,8)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after="0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– 18 տոննա</w:t>
            </w:r>
          </w:p>
          <w:p w:rsidR="00880FFA" w:rsidRPr="00880FFA" w:rsidRDefault="00880FFA" w:rsidP="00880FFA">
            <w:pPr>
              <w:spacing w:after="0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– 19 տոննա</w:t>
            </w:r>
          </w:p>
          <w:p w:rsidR="00880FFA" w:rsidRPr="00880FFA" w:rsidRDefault="00880FFA" w:rsidP="00880FFA">
            <w:pPr>
              <w:spacing w:after="0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Եթե տանող սռնու վրա տեղադրված են</w:t>
            </w:r>
          </w:p>
          <w:p w:rsidR="00880FFA" w:rsidRPr="00880FFA" w:rsidRDefault="00880FFA" w:rsidP="00880FFA">
            <w:pPr>
              <w:spacing w:after="0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զույգ անվադողեր և օդաճնշական կամ</w:t>
            </w:r>
          </w:p>
          <w:p w:rsidR="00880FFA" w:rsidRPr="00880FFA" w:rsidRDefault="00880FFA" w:rsidP="00880FFA">
            <w:pPr>
              <w:spacing w:after="0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նմանատիպ այլ կախոց կամ երբ յուրաքանչյուր տանող</w:t>
            </w:r>
          </w:p>
          <w:p w:rsidR="00880FFA" w:rsidRPr="00880FFA" w:rsidRDefault="00880FFA" w:rsidP="00880FFA">
            <w:pPr>
              <w:spacing w:after="0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սռնու վրա տեղադրված են զույգ անվադողեր և յուրաքանչյուր սռնու</w:t>
            </w:r>
          </w:p>
          <w:p w:rsidR="00880FFA" w:rsidRPr="00880FFA" w:rsidRDefault="00880FFA" w:rsidP="00880FFA">
            <w:pPr>
              <w:spacing w:after="0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առավելագույն բեռնվածությունը չի</w:t>
            </w:r>
          </w:p>
          <w:p w:rsidR="00880FFA" w:rsidRPr="00880FFA" w:rsidRDefault="00880FFA" w:rsidP="00880FFA">
            <w:pPr>
              <w:spacing w:after="0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lastRenderedPageBreak/>
              <w:t>գերազանցում 9,5 տոննան</w:t>
            </w:r>
          </w:p>
        </w:tc>
      </w:tr>
      <w:tr w:rsidR="00880FFA" w:rsidRPr="00880FFA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lastRenderedPageBreak/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i/>
                <w:iCs/>
                <w:strike/>
                <w:color w:val="000000"/>
                <w:sz w:val="21"/>
                <w:szCs w:val="21"/>
              </w:rPr>
              <w:t>Տրանսպորտային միջոցների մյուս բնութագրերը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after="0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 </w:t>
            </w:r>
          </w:p>
        </w:tc>
      </w:tr>
      <w:tr w:rsidR="00880FFA" w:rsidRPr="00880FFA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4.1.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i/>
                <w:iCs/>
                <w:strike/>
                <w:color w:val="000000"/>
                <w:sz w:val="21"/>
                <w:szCs w:val="21"/>
              </w:rPr>
              <w:t>Բոլոր տեսակի տրանսպորտային միջոցներ</w:t>
            </w:r>
          </w:p>
          <w:p w:rsidR="00880FFA" w:rsidRPr="00880FFA" w:rsidRDefault="00880FFA" w:rsidP="00880FFA">
            <w:pPr>
              <w:spacing w:after="0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Տրանսպորտային միջոցի կամ տրանսպորտային</w:t>
            </w:r>
          </w:p>
          <w:p w:rsidR="00880FFA" w:rsidRPr="00880FFA" w:rsidRDefault="00880FFA" w:rsidP="00880FFA">
            <w:pPr>
              <w:spacing w:after="0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միջոցների համակցությունների տանող սռնու կամ</w:t>
            </w:r>
          </w:p>
          <w:p w:rsidR="00880FFA" w:rsidRPr="00880FFA" w:rsidRDefault="00880FFA" w:rsidP="00880FFA">
            <w:pPr>
              <w:spacing w:after="0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տանող սռնիների վրա ընկնող բեռնվածությունը</w:t>
            </w:r>
          </w:p>
          <w:p w:rsidR="00880FFA" w:rsidRPr="00880FFA" w:rsidRDefault="00880FFA" w:rsidP="00880FFA">
            <w:pPr>
              <w:spacing w:after="0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չպետք է լինի միջազգային երթևեկության մեջ</w:t>
            </w:r>
          </w:p>
          <w:p w:rsidR="00880FFA" w:rsidRPr="00880FFA" w:rsidRDefault="00880FFA" w:rsidP="00880FFA">
            <w:pPr>
              <w:spacing w:after="0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օգտագործվող տրանսպորտային միջոցի կամ</w:t>
            </w:r>
          </w:p>
          <w:p w:rsidR="00880FFA" w:rsidRPr="00880FFA" w:rsidRDefault="00880FFA" w:rsidP="00880FFA">
            <w:pPr>
              <w:spacing w:after="0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տրանսպորտային միջոցների համակցությունների</w:t>
            </w:r>
          </w:p>
          <w:p w:rsidR="00880FFA" w:rsidRPr="00880FFA" w:rsidRDefault="00880FFA" w:rsidP="00880FFA">
            <w:pPr>
              <w:spacing w:after="0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բեռնվածության ընդհանուր զանգվածի 25 տոկոսից</w:t>
            </w:r>
          </w:p>
          <w:p w:rsidR="00880FFA" w:rsidRPr="00880FFA" w:rsidRDefault="00880FFA" w:rsidP="00880FFA">
            <w:pPr>
              <w:spacing w:after="0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պակաս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after="0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 </w:t>
            </w:r>
          </w:p>
        </w:tc>
      </w:tr>
      <w:tr w:rsidR="00880FFA" w:rsidRPr="00880FFA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4.2.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i/>
                <w:iCs/>
                <w:strike/>
                <w:color w:val="000000"/>
                <w:sz w:val="21"/>
                <w:szCs w:val="21"/>
              </w:rPr>
              <w:t>Ավտոգնացքներ</w:t>
            </w:r>
          </w:p>
          <w:p w:rsidR="00880FFA" w:rsidRPr="00880FFA" w:rsidRDefault="00880FFA" w:rsidP="00880FFA">
            <w:pPr>
              <w:spacing w:after="0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Մեխանիկական տրանսպորտային միջոցի հետին սռնու և կցորդի առաջնային սռնու միջև հեռավորությունը չպետք է 3,00 մ-ից պակաս լինի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after="0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 </w:t>
            </w:r>
          </w:p>
        </w:tc>
      </w:tr>
      <w:tr w:rsidR="00880FFA" w:rsidRPr="00880FFA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4.3.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after="0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i/>
                <w:iCs/>
                <w:strike/>
                <w:color w:val="000000"/>
                <w:sz w:val="21"/>
                <w:szCs w:val="21"/>
              </w:rPr>
              <w:t>Թույլատրելի առավելագույն զանգվածը` կախված անվահիմքից</w:t>
            </w:r>
          </w:p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Չորս սռնի ունեցող մեխանիկական տրանսպորտային միջոցի թույլատրելի առավելագույն զանգվածը տոննայով չպետք է հինգ անգամ գերազանցի տրանսպորտային միջոցի առջևի և հետևի սռնիների միջև ընկած հեռավորությանը` արտահայտված մետրերով</w:t>
            </w:r>
            <w:bookmarkStart w:id="0" w:name="_GoBack"/>
            <w:bookmarkEnd w:id="0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after="0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 </w:t>
            </w:r>
          </w:p>
        </w:tc>
      </w:tr>
      <w:tr w:rsidR="00880FFA" w:rsidRPr="00880FFA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4.4.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i/>
                <w:iCs/>
                <w:strike/>
                <w:color w:val="000000"/>
                <w:sz w:val="21"/>
                <w:szCs w:val="21"/>
              </w:rPr>
              <w:t>Կիսակցորդներ</w:t>
            </w:r>
          </w:p>
          <w:p w:rsidR="00880FFA" w:rsidRPr="00880FFA" w:rsidRDefault="00880FFA" w:rsidP="00880FFA">
            <w:pPr>
              <w:spacing w:after="0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Կիսակցորդի հոդավոր ամրակապման սռնու և կիսակցորդի առջևի մասի միջև ընկած առավելագույն հեռավորությունը, որը չափվել է հորիզոնական դիրքով, չպետք է գերազանցի 2,04 մետրը: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880FFA" w:rsidRDefault="00880FFA" w:rsidP="00880FFA">
            <w:pPr>
              <w:spacing w:after="0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  <w:t> </w:t>
            </w:r>
          </w:p>
        </w:tc>
      </w:tr>
    </w:tbl>
    <w:p w:rsidR="00880FFA" w:rsidRPr="00880FFA" w:rsidRDefault="00880FFA" w:rsidP="00880FFA">
      <w:pPr>
        <w:spacing w:after="0" w:line="240" w:lineRule="auto"/>
        <w:rPr>
          <w:rFonts w:ascii="Times New Roman" w:eastAsia="Times New Roman" w:hAnsi="Times New Roman" w:cs="Times New Roman"/>
          <w:strike/>
          <w:sz w:val="24"/>
          <w:szCs w:val="24"/>
        </w:rPr>
      </w:pPr>
      <w:r w:rsidRPr="00880FFA">
        <w:rPr>
          <w:rFonts w:ascii="Sylfaen" w:eastAsia="Times New Roman" w:hAnsi="Sylfaen" w:cs="Times New Roman"/>
          <w:b/>
          <w:bCs/>
          <w:i/>
          <w:iCs/>
          <w:strike/>
          <w:color w:val="000000"/>
          <w:sz w:val="21"/>
          <w:szCs w:val="21"/>
          <w:shd w:val="clear" w:color="auto" w:fill="FFFFFF"/>
        </w:rPr>
        <w:t>(հավելվածը փոփ., խմբ. 14.06.07 N 702-Ն, խմբ. 19.12.19 N 1858)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98"/>
        <w:gridCol w:w="4762"/>
      </w:tblGrid>
      <w:tr w:rsidR="00880FFA" w:rsidRPr="00880FFA" w:rsidTr="00880FFA">
        <w:trPr>
          <w:tblCellSpacing w:w="0" w:type="dxa"/>
        </w:trPr>
        <w:tc>
          <w:tcPr>
            <w:tcW w:w="6900" w:type="dxa"/>
            <w:shd w:val="clear" w:color="auto" w:fill="FFFFFF"/>
            <w:vAlign w:val="center"/>
            <w:hideMark/>
          </w:tcPr>
          <w:p w:rsidR="00880FFA" w:rsidRPr="00880FFA" w:rsidRDefault="00880FFA" w:rsidP="00880FFA">
            <w:pPr>
              <w:spacing w:after="0" w:line="240" w:lineRule="auto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b/>
                <w:bCs/>
                <w:strike/>
                <w:color w:val="000000"/>
                <w:sz w:val="21"/>
                <w:szCs w:val="21"/>
              </w:rPr>
              <w:t>Հայաստանի Հանրապետության</w:t>
            </w:r>
            <w:r w:rsidRPr="00880FFA">
              <w:rPr>
                <w:rFonts w:ascii="Sylfaen" w:eastAsia="Times New Roman" w:hAnsi="Sylfaen" w:cs="Times New Roman"/>
                <w:b/>
                <w:bCs/>
                <w:strike/>
                <w:color w:val="000000"/>
                <w:sz w:val="21"/>
                <w:szCs w:val="21"/>
              </w:rPr>
              <w:br/>
              <w:t>կառավարության աշխատակազմի</w:t>
            </w:r>
            <w:r w:rsidRPr="00880FFA">
              <w:rPr>
                <w:rFonts w:ascii="Sylfaen" w:eastAsia="Times New Roman" w:hAnsi="Sylfaen" w:cs="Times New Roman"/>
                <w:b/>
                <w:bCs/>
                <w:strike/>
                <w:color w:val="000000"/>
                <w:sz w:val="21"/>
                <w:szCs w:val="21"/>
              </w:rPr>
              <w:br/>
              <w:t>ղեկավար-նախարար</w:t>
            </w:r>
          </w:p>
        </w:tc>
        <w:tc>
          <w:tcPr>
            <w:tcW w:w="7785" w:type="dxa"/>
            <w:shd w:val="clear" w:color="auto" w:fill="FFFFFF"/>
            <w:vAlign w:val="bottom"/>
            <w:hideMark/>
          </w:tcPr>
          <w:p w:rsidR="00880FFA" w:rsidRPr="00880FFA" w:rsidRDefault="00880FFA" w:rsidP="00880FFA">
            <w:pPr>
              <w:spacing w:after="0" w:line="240" w:lineRule="auto"/>
              <w:jc w:val="right"/>
              <w:rPr>
                <w:rFonts w:ascii="Sylfaen" w:eastAsia="Times New Roman" w:hAnsi="Sylfaen" w:cs="Times New Roman"/>
                <w:strike/>
                <w:color w:val="000000"/>
                <w:sz w:val="21"/>
                <w:szCs w:val="21"/>
              </w:rPr>
            </w:pPr>
            <w:r w:rsidRPr="00880FFA">
              <w:rPr>
                <w:rFonts w:ascii="Sylfaen" w:eastAsia="Times New Roman" w:hAnsi="Sylfaen" w:cs="Times New Roman"/>
                <w:b/>
                <w:bCs/>
                <w:strike/>
                <w:color w:val="000000"/>
                <w:sz w:val="21"/>
                <w:szCs w:val="21"/>
              </w:rPr>
              <w:t>Մ. Թոփուզյան</w:t>
            </w:r>
          </w:p>
        </w:tc>
      </w:tr>
    </w:tbl>
    <w:p w:rsidR="002C4C67" w:rsidRDefault="002C4C67" w:rsidP="00880FFA">
      <w:pPr>
        <w:tabs>
          <w:tab w:val="left" w:pos="1185"/>
        </w:tabs>
        <w:rPr>
          <w:lang w:val="hy-AM"/>
        </w:rPr>
      </w:pPr>
    </w:p>
    <w:p w:rsidR="00880FFA" w:rsidRDefault="00880FFA" w:rsidP="00880FFA">
      <w:pPr>
        <w:tabs>
          <w:tab w:val="left" w:pos="1185"/>
        </w:tabs>
        <w:rPr>
          <w:lang w:val="hy-AM"/>
        </w:rPr>
      </w:pPr>
    </w:p>
    <w:p w:rsidR="00880FFA" w:rsidRDefault="00880FFA" w:rsidP="00880FFA">
      <w:pPr>
        <w:shd w:val="clear" w:color="auto" w:fill="FFFFFF"/>
        <w:spacing w:after="0" w:line="240" w:lineRule="auto"/>
        <w:ind w:firstLine="567"/>
        <w:jc w:val="right"/>
        <w:rPr>
          <w:rFonts w:ascii="GHEA Grapalat" w:eastAsia="Times New Roman" w:hAnsi="GHEA Grapalat" w:cs="Times New Roman"/>
          <w:b/>
          <w:bCs/>
          <w:color w:val="000000"/>
          <w:sz w:val="18"/>
          <w:szCs w:val="18"/>
          <w:lang w:val="hy-AM"/>
        </w:rPr>
      </w:pPr>
    </w:p>
    <w:p w:rsidR="00880FFA" w:rsidRDefault="00880FFA" w:rsidP="00880FFA">
      <w:pPr>
        <w:shd w:val="clear" w:color="auto" w:fill="FFFFFF"/>
        <w:spacing w:after="0" w:line="240" w:lineRule="auto"/>
        <w:ind w:firstLine="567"/>
        <w:jc w:val="right"/>
        <w:rPr>
          <w:rFonts w:ascii="GHEA Grapalat" w:eastAsia="Times New Roman" w:hAnsi="GHEA Grapalat" w:cs="Times New Roman"/>
          <w:b/>
          <w:bCs/>
          <w:color w:val="000000"/>
          <w:sz w:val="18"/>
          <w:szCs w:val="18"/>
          <w:lang w:val="hy-AM"/>
        </w:rPr>
      </w:pPr>
    </w:p>
    <w:p w:rsidR="00880FFA" w:rsidRDefault="00880FFA" w:rsidP="00880FFA">
      <w:pPr>
        <w:shd w:val="clear" w:color="auto" w:fill="FFFFFF"/>
        <w:spacing w:after="0" w:line="240" w:lineRule="auto"/>
        <w:ind w:firstLine="567"/>
        <w:jc w:val="right"/>
        <w:rPr>
          <w:rFonts w:ascii="GHEA Grapalat" w:eastAsia="Times New Roman" w:hAnsi="GHEA Grapalat" w:cs="Times New Roman"/>
          <w:b/>
          <w:bCs/>
          <w:color w:val="000000"/>
          <w:sz w:val="18"/>
          <w:szCs w:val="18"/>
          <w:lang w:val="hy-AM"/>
        </w:rPr>
      </w:pPr>
    </w:p>
    <w:p w:rsidR="00880FFA" w:rsidRDefault="00880FFA" w:rsidP="00880FFA">
      <w:pPr>
        <w:shd w:val="clear" w:color="auto" w:fill="FFFFFF"/>
        <w:spacing w:after="0" w:line="240" w:lineRule="auto"/>
        <w:ind w:firstLine="567"/>
        <w:jc w:val="right"/>
        <w:rPr>
          <w:rFonts w:ascii="GHEA Grapalat" w:eastAsia="Times New Roman" w:hAnsi="GHEA Grapalat" w:cs="Times New Roman"/>
          <w:b/>
          <w:bCs/>
          <w:color w:val="000000"/>
          <w:sz w:val="18"/>
          <w:szCs w:val="18"/>
          <w:lang w:val="hy-AM"/>
        </w:rPr>
      </w:pPr>
    </w:p>
    <w:p w:rsidR="00880FFA" w:rsidRDefault="00880FFA" w:rsidP="00880FFA">
      <w:pPr>
        <w:shd w:val="clear" w:color="auto" w:fill="FFFFFF"/>
        <w:spacing w:after="0" w:line="240" w:lineRule="auto"/>
        <w:ind w:firstLine="567"/>
        <w:jc w:val="right"/>
        <w:rPr>
          <w:rFonts w:ascii="GHEA Grapalat" w:eastAsia="Times New Roman" w:hAnsi="GHEA Grapalat" w:cs="Times New Roman"/>
          <w:b/>
          <w:bCs/>
          <w:color w:val="000000"/>
          <w:sz w:val="18"/>
          <w:szCs w:val="18"/>
          <w:lang w:val="hy-AM"/>
        </w:rPr>
      </w:pPr>
    </w:p>
    <w:p w:rsidR="00880FFA" w:rsidRDefault="00880FFA" w:rsidP="00880FFA">
      <w:pPr>
        <w:shd w:val="clear" w:color="auto" w:fill="FFFFFF"/>
        <w:spacing w:after="0" w:line="240" w:lineRule="auto"/>
        <w:ind w:firstLine="567"/>
        <w:jc w:val="right"/>
        <w:rPr>
          <w:rFonts w:ascii="GHEA Grapalat" w:eastAsia="Times New Roman" w:hAnsi="GHEA Grapalat" w:cs="Times New Roman"/>
          <w:b/>
          <w:bCs/>
          <w:color w:val="000000"/>
          <w:sz w:val="18"/>
          <w:szCs w:val="18"/>
          <w:lang w:val="hy-AM"/>
        </w:rPr>
      </w:pPr>
    </w:p>
    <w:p w:rsidR="00880FFA" w:rsidRDefault="00880FFA" w:rsidP="00880FFA">
      <w:pPr>
        <w:shd w:val="clear" w:color="auto" w:fill="FFFFFF"/>
        <w:spacing w:after="0" w:line="240" w:lineRule="auto"/>
        <w:ind w:firstLine="567"/>
        <w:jc w:val="right"/>
        <w:rPr>
          <w:rFonts w:ascii="GHEA Grapalat" w:eastAsia="Times New Roman" w:hAnsi="GHEA Grapalat" w:cs="Times New Roman"/>
          <w:b/>
          <w:bCs/>
          <w:color w:val="000000"/>
          <w:sz w:val="18"/>
          <w:szCs w:val="18"/>
          <w:lang w:val="hy-AM"/>
        </w:rPr>
      </w:pPr>
    </w:p>
    <w:p w:rsidR="00880FFA" w:rsidRDefault="00880FFA" w:rsidP="00880FFA">
      <w:pPr>
        <w:shd w:val="clear" w:color="auto" w:fill="FFFFFF"/>
        <w:spacing w:after="0" w:line="240" w:lineRule="auto"/>
        <w:ind w:firstLine="567"/>
        <w:jc w:val="right"/>
        <w:rPr>
          <w:rFonts w:ascii="GHEA Grapalat" w:eastAsia="Times New Roman" w:hAnsi="GHEA Grapalat" w:cs="Times New Roman"/>
          <w:b/>
          <w:bCs/>
          <w:color w:val="000000"/>
          <w:sz w:val="18"/>
          <w:szCs w:val="18"/>
          <w:lang w:val="hy-AM"/>
        </w:rPr>
      </w:pPr>
    </w:p>
    <w:p w:rsidR="00880FFA" w:rsidRDefault="00880FFA" w:rsidP="00880FFA">
      <w:pPr>
        <w:shd w:val="clear" w:color="auto" w:fill="FFFFFF"/>
        <w:spacing w:after="0" w:line="240" w:lineRule="auto"/>
        <w:ind w:firstLine="567"/>
        <w:jc w:val="right"/>
        <w:rPr>
          <w:rFonts w:ascii="GHEA Grapalat" w:eastAsia="Times New Roman" w:hAnsi="GHEA Grapalat" w:cs="Times New Roman"/>
          <w:b/>
          <w:bCs/>
          <w:color w:val="000000"/>
          <w:sz w:val="18"/>
          <w:szCs w:val="18"/>
          <w:lang w:val="hy-AM"/>
        </w:rPr>
      </w:pPr>
    </w:p>
    <w:p w:rsidR="00880FFA" w:rsidRDefault="00880FFA" w:rsidP="00880FFA">
      <w:pPr>
        <w:shd w:val="clear" w:color="auto" w:fill="FFFFFF"/>
        <w:spacing w:after="0" w:line="240" w:lineRule="auto"/>
        <w:ind w:firstLine="567"/>
        <w:jc w:val="right"/>
        <w:rPr>
          <w:rFonts w:ascii="GHEA Grapalat" w:eastAsia="Times New Roman" w:hAnsi="GHEA Grapalat" w:cs="Times New Roman"/>
          <w:b/>
          <w:bCs/>
          <w:color w:val="000000"/>
          <w:sz w:val="18"/>
          <w:szCs w:val="18"/>
          <w:lang w:val="hy-AM"/>
        </w:rPr>
      </w:pPr>
    </w:p>
    <w:p w:rsidR="00880FFA" w:rsidRDefault="00880FFA" w:rsidP="00880FFA">
      <w:pPr>
        <w:shd w:val="clear" w:color="auto" w:fill="FFFFFF"/>
        <w:spacing w:after="0" w:line="240" w:lineRule="auto"/>
        <w:ind w:firstLine="567"/>
        <w:jc w:val="right"/>
        <w:rPr>
          <w:rFonts w:ascii="GHEA Grapalat" w:eastAsia="Times New Roman" w:hAnsi="GHEA Grapalat" w:cs="Times New Roman"/>
          <w:b/>
          <w:bCs/>
          <w:color w:val="000000"/>
          <w:sz w:val="18"/>
          <w:szCs w:val="18"/>
          <w:lang w:val="hy-AM"/>
        </w:rPr>
      </w:pPr>
    </w:p>
    <w:p w:rsidR="00880FFA" w:rsidRDefault="00880FFA" w:rsidP="00880FFA">
      <w:pPr>
        <w:shd w:val="clear" w:color="auto" w:fill="FFFFFF"/>
        <w:spacing w:after="0" w:line="240" w:lineRule="auto"/>
        <w:ind w:firstLine="567"/>
        <w:jc w:val="right"/>
        <w:rPr>
          <w:rFonts w:ascii="GHEA Grapalat" w:eastAsia="Times New Roman" w:hAnsi="GHEA Grapalat" w:cs="Times New Roman"/>
          <w:b/>
          <w:bCs/>
          <w:color w:val="000000"/>
          <w:sz w:val="18"/>
          <w:szCs w:val="18"/>
          <w:lang w:val="hy-AM"/>
        </w:rPr>
      </w:pPr>
    </w:p>
    <w:p w:rsidR="00880FFA" w:rsidRDefault="00880FFA" w:rsidP="00880FFA">
      <w:pPr>
        <w:shd w:val="clear" w:color="auto" w:fill="FFFFFF"/>
        <w:spacing w:after="0" w:line="240" w:lineRule="auto"/>
        <w:ind w:firstLine="567"/>
        <w:jc w:val="right"/>
        <w:rPr>
          <w:rFonts w:ascii="GHEA Grapalat" w:eastAsia="Times New Roman" w:hAnsi="GHEA Grapalat" w:cs="Times New Roman"/>
          <w:b/>
          <w:bCs/>
          <w:color w:val="000000"/>
          <w:sz w:val="18"/>
          <w:szCs w:val="18"/>
          <w:lang w:val="hy-AM"/>
        </w:rPr>
      </w:pPr>
    </w:p>
    <w:p w:rsidR="00880FFA" w:rsidRPr="00D90FCC" w:rsidRDefault="00880FFA" w:rsidP="00880FFA">
      <w:pPr>
        <w:shd w:val="clear" w:color="auto" w:fill="FFFFFF"/>
        <w:spacing w:after="0" w:line="240" w:lineRule="auto"/>
        <w:ind w:firstLine="567"/>
        <w:jc w:val="right"/>
        <w:rPr>
          <w:rFonts w:ascii="GHEA Grapalat" w:eastAsia="Times New Roman" w:hAnsi="GHEA Grapalat" w:cs="Times New Roman"/>
          <w:b/>
          <w:bCs/>
          <w:color w:val="000000"/>
          <w:sz w:val="18"/>
          <w:szCs w:val="18"/>
          <w:lang w:val="hy-AM"/>
        </w:rPr>
      </w:pPr>
    </w:p>
    <w:p w:rsidR="00880FFA" w:rsidRPr="00D90FCC" w:rsidRDefault="00880FFA" w:rsidP="00880FFA">
      <w:pPr>
        <w:shd w:val="clear" w:color="auto" w:fill="FFFFFF"/>
        <w:spacing w:after="0" w:line="240" w:lineRule="auto"/>
        <w:ind w:firstLine="567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18"/>
          <w:lang w:val="hy-AM"/>
        </w:rPr>
      </w:pPr>
      <w:r w:rsidRPr="00D90FCC">
        <w:rPr>
          <w:rFonts w:ascii="GHEA Grapalat" w:eastAsia="Times New Roman" w:hAnsi="GHEA Grapalat" w:cs="Times New Roman"/>
          <w:b/>
          <w:bCs/>
          <w:color w:val="000000"/>
          <w:sz w:val="24"/>
          <w:szCs w:val="18"/>
          <w:lang w:val="hy-AM"/>
        </w:rPr>
        <w:t>Հավելված</w:t>
      </w:r>
    </w:p>
    <w:p w:rsidR="00880FFA" w:rsidRPr="00D90FCC" w:rsidRDefault="00880FFA" w:rsidP="00880FFA">
      <w:pPr>
        <w:shd w:val="clear" w:color="auto" w:fill="FFFFFF"/>
        <w:spacing w:after="0" w:line="240" w:lineRule="auto"/>
        <w:ind w:firstLine="567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18"/>
          <w:lang w:val="hy-AM"/>
        </w:rPr>
      </w:pPr>
    </w:p>
    <w:p w:rsidR="00880FFA" w:rsidRPr="00D90FCC" w:rsidRDefault="00880FFA" w:rsidP="00880FFA">
      <w:pPr>
        <w:shd w:val="clear" w:color="auto" w:fill="FFFFFF"/>
        <w:spacing w:after="0" w:line="240" w:lineRule="auto"/>
        <w:ind w:firstLine="567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18"/>
          <w:lang w:val="hy-AM"/>
        </w:rPr>
      </w:pPr>
      <w:r w:rsidRPr="00D90FCC">
        <w:rPr>
          <w:rFonts w:ascii="GHEA Grapalat" w:eastAsia="Times New Roman" w:hAnsi="GHEA Grapalat" w:cs="Times New Roman"/>
          <w:b/>
          <w:bCs/>
          <w:color w:val="000000"/>
          <w:sz w:val="24"/>
          <w:szCs w:val="18"/>
          <w:lang w:val="hy-AM"/>
        </w:rPr>
        <w:t>Հավելված N 2</w:t>
      </w:r>
      <w:r w:rsidRPr="00D90FCC">
        <w:rPr>
          <w:rFonts w:ascii="GHEA Grapalat" w:eastAsia="Times New Roman" w:hAnsi="GHEA Grapalat" w:cs="Times New Roman"/>
          <w:b/>
          <w:bCs/>
          <w:color w:val="000000"/>
          <w:sz w:val="24"/>
          <w:szCs w:val="18"/>
          <w:lang w:val="hy-AM"/>
        </w:rPr>
        <w:br/>
        <w:t>ՀՀ կառավարության 2006 թվականի</w:t>
      </w:r>
      <w:r w:rsidRPr="00D90FCC">
        <w:rPr>
          <w:rFonts w:ascii="GHEA Grapalat" w:eastAsia="Times New Roman" w:hAnsi="GHEA Grapalat" w:cs="Times New Roman"/>
          <w:b/>
          <w:bCs/>
          <w:color w:val="000000"/>
          <w:sz w:val="24"/>
          <w:szCs w:val="18"/>
          <w:lang w:val="hy-AM"/>
        </w:rPr>
        <w:br/>
        <w:t>հուլիսի 20-ի N 1106-Ն որոշման</w:t>
      </w:r>
    </w:p>
    <w:p w:rsidR="00880FFA" w:rsidRPr="00D90FCC" w:rsidRDefault="00880FFA" w:rsidP="00880FFA">
      <w:pPr>
        <w:shd w:val="clear" w:color="auto" w:fill="FFFFFF"/>
        <w:spacing w:after="0" w:line="240" w:lineRule="auto"/>
        <w:ind w:firstLine="567"/>
        <w:jc w:val="center"/>
        <w:rPr>
          <w:rFonts w:ascii="GHEA Grapalat" w:eastAsia="Times New Roman" w:hAnsi="GHEA Grapalat" w:cs="Calibri"/>
          <w:b/>
          <w:bCs/>
          <w:color w:val="000000"/>
          <w:sz w:val="22"/>
          <w:szCs w:val="22"/>
          <w:lang w:val="hy-AM"/>
        </w:rPr>
      </w:pPr>
    </w:p>
    <w:p w:rsidR="00880FFA" w:rsidRPr="00D90FCC" w:rsidRDefault="00880FFA" w:rsidP="00880FFA">
      <w:pPr>
        <w:shd w:val="clear" w:color="auto" w:fill="FFFFFF"/>
        <w:spacing w:after="0" w:line="240" w:lineRule="auto"/>
        <w:ind w:firstLine="567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D90FCC">
        <w:rPr>
          <w:rFonts w:ascii="Calibri" w:eastAsia="Times New Roman" w:hAnsi="Calibri" w:cs="Calibri"/>
          <w:b/>
          <w:bCs/>
          <w:color w:val="000000"/>
          <w:sz w:val="22"/>
          <w:szCs w:val="22"/>
          <w:lang w:val="hy-AM"/>
        </w:rPr>
        <w:t>  </w:t>
      </w:r>
      <w:r w:rsidRPr="00D90FCC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ՏՐԱՆՍՊՈՐՏԱՅԻՆ</w:t>
      </w:r>
      <w:r w:rsidRPr="00D90FC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D90FCC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ՄԻՋՈՑՆԵՐԻ</w:t>
      </w:r>
      <w:r w:rsidRPr="00D90FC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ԹՈՒՅԼԱՏՐԵԼԻ ԱՌԱՎԵԼԱԳՈՒՅՆ ԶԱՆԳՎԱԾԸ ԵՎ (ԿԱՄ) ՄԵԿ ՍՌՆՈՒ ՎՐԱ ԸՆԿՆՈՂ ԲԵՌՆՎԱԾՔԸ, ԻՆՉՊԵՍ ՆԱԵՎ ՄԵԾ ԵԶՐԱՉԱՓԵՐԻ ԱՌԱՎԵԼԱԳՈՒՅՆ ԶԱՆԳՎԱԾՆԵՐԸ ԵՎ ՉԱՓԵՐԸ</w:t>
      </w:r>
    </w:p>
    <w:p w:rsidR="00880FFA" w:rsidRPr="00D90FCC" w:rsidRDefault="00880FFA" w:rsidP="00880FFA">
      <w:pPr>
        <w:shd w:val="clear" w:color="auto" w:fill="FFFFFF"/>
        <w:spacing w:after="0" w:line="240" w:lineRule="auto"/>
        <w:ind w:firstLine="567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D90FCC">
        <w:rPr>
          <w:rFonts w:ascii="Calibri" w:eastAsia="Times New Roman" w:hAnsi="Calibri" w:cs="Calibri"/>
          <w:color w:val="000000"/>
          <w:sz w:val="21"/>
          <w:szCs w:val="21"/>
          <w:lang w:val="hy-AM"/>
        </w:rPr>
        <w:t> </w:t>
      </w:r>
    </w:p>
    <w:tbl>
      <w:tblPr>
        <w:tblW w:w="1124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12"/>
        <w:gridCol w:w="6474"/>
        <w:gridCol w:w="3456"/>
      </w:tblGrid>
      <w:tr w:rsidR="00880FFA" w:rsidRPr="00D90FCC" w:rsidTr="00880FFA">
        <w:trPr>
          <w:tblCellSpacing w:w="0" w:type="dxa"/>
          <w:jc w:val="center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>հ/հ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>Չափորոշիչը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>Ցուցանիշները</w:t>
            </w:r>
          </w:p>
        </w:tc>
      </w:tr>
      <w:tr w:rsidR="00880FFA" w:rsidRPr="00D90FCC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</w:rPr>
              <w:t>Տրանսպորտային միջոցների թույլատրելի առավելագույն եզրաչափերը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</w:p>
        </w:tc>
      </w:tr>
      <w:tr w:rsidR="00880FFA" w:rsidRPr="00D90FCC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1.1.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Առավելագույն երկարությունը՝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</w:p>
        </w:tc>
      </w:tr>
      <w:tr w:rsidR="00880FFA" w:rsidRPr="00D90FCC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1.1.1.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Ավտոբուսից բացի այլ մեխանիկական տրանսպորտային միջոց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12,00 մ</w:t>
            </w:r>
          </w:p>
        </w:tc>
      </w:tr>
      <w:tr w:rsidR="00880FFA" w:rsidRPr="00D90FCC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1.1.2.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Կցորդ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12,00 մ</w:t>
            </w:r>
          </w:p>
        </w:tc>
      </w:tr>
      <w:tr w:rsidR="00880FFA" w:rsidRPr="00D90FCC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1.1.3.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Քարշակ կցորդով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կամ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կիսակցորդով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16.50 մ</w:t>
            </w:r>
          </w:p>
        </w:tc>
      </w:tr>
      <w:tr w:rsidR="00880FFA" w:rsidRPr="00D90FCC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1.1.4.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Ավտոգնացք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18,75 մ</w:t>
            </w:r>
          </w:p>
        </w:tc>
      </w:tr>
      <w:tr w:rsidR="00880FFA" w:rsidRPr="00D90FCC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1.1.5.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Երկսեկցիանի ավտոբուս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18,75 մ</w:t>
            </w:r>
          </w:p>
        </w:tc>
      </w:tr>
      <w:tr w:rsidR="00880FFA" w:rsidRPr="00D90FCC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1.1.6.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Երկու սռնի ունեցող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ավտոբուս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13,50 մ</w:t>
            </w:r>
          </w:p>
        </w:tc>
      </w:tr>
      <w:tr w:rsidR="00880FFA" w:rsidRPr="00D90FCC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1.1.7.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Երեք և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ավելի սռնի ունեցող ավտոբուս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15,00 մ</w:t>
            </w:r>
          </w:p>
        </w:tc>
      </w:tr>
      <w:tr w:rsidR="00880FFA" w:rsidRPr="00D90FCC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1.1.8.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Ավտոբուս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կցորդ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ով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18,75 մ</w:t>
            </w:r>
          </w:p>
        </w:tc>
      </w:tr>
      <w:tr w:rsidR="00880FFA" w:rsidRPr="00D90FCC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1.2.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Առավելագույն լայնությունը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</w:p>
        </w:tc>
      </w:tr>
      <w:tr w:rsidR="00880FFA" w:rsidRPr="00D90FCC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1.2.1.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Բոլոր տրանսպորտային միջոցները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2,55 մ</w:t>
            </w:r>
          </w:p>
        </w:tc>
      </w:tr>
      <w:tr w:rsidR="00880FFA" w:rsidRPr="00D90FCC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1.2.2.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Սառնարան-մեքենաների վերնակառուցվածքները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2,60 մ</w:t>
            </w:r>
          </w:p>
        </w:tc>
      </w:tr>
      <w:tr w:rsidR="00880FFA" w:rsidRPr="00D90FCC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1.3.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Առավելագույն բարձրությունը (ցանկացած տրանսպորտային միջոցի)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4,00 մ</w:t>
            </w:r>
          </w:p>
        </w:tc>
      </w:tr>
      <w:tr w:rsidR="00880FFA" w:rsidRPr="00D90FCC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1.4.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Թափքի հանովի վերնակառուցվածքները և բեռնման ստանդարտ միջոցները, ինչպես օրինակ` կոնտեյներները, որոնք համապատասխանում են 1.1-ին, 1.2-րդ, 1.3-րդ, 1.6-րդ, 1.7-րդ, 1.8-րդ և 4.4-րդ կետերով սահմանված եզրաչափերին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</w:p>
        </w:tc>
      </w:tr>
      <w:tr w:rsidR="00880FFA" w:rsidRPr="00D90FCC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1.4.1.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Եթե ավտոբուսին կցվում է ցանկացած հանովի սարքավորում, ինչպես օրինակ` բեռնախցիկ-տուփերը, ապա դրա երկարությունը՝ սարքավորման հետ մեկտեղ, չպետք է գերազանցի 1.1-ին կետով սահմանված առավելագույն երկարությունը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</w:p>
        </w:tc>
      </w:tr>
      <w:tr w:rsidR="00880FFA" w:rsidRPr="00D90FCC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1.5.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Շարժման մեջ գտնվող ցանկացած մեխանիկական տրանսպորտային միջոց կամ տրանսպորտային միջոցների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lastRenderedPageBreak/>
              <w:t>համակցություն պետք է կարողանա շրջադարձ կատարել 12,50 մ արտաքին և 5,30 ներքին շառավղով էլեպսում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lastRenderedPageBreak/>
              <w:t> </w:t>
            </w:r>
          </w:p>
        </w:tc>
      </w:tr>
      <w:tr w:rsidR="00880FFA" w:rsidRPr="00D90FCC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lastRenderedPageBreak/>
              <w:t>1.5.1.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i/>
                <w:iCs/>
                <w:color w:val="000000"/>
                <w:sz w:val="21"/>
                <w:szCs w:val="21"/>
              </w:rPr>
              <w:t>Ավտոբուսներին ներկայացվող լրացուցիչ պահանջները.</w:t>
            </w:r>
          </w:p>
          <w:p w:rsidR="00880FFA" w:rsidRPr="00D90FCC" w:rsidRDefault="00880FFA" w:rsidP="00880FFA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Երբ տրանսպորտային միջոցը կանգնած է, ապա գետնի վրա պետք է գծանշվի ուղղահայաց հարթություն, որն անցնում է տրանսպորտային միջոցի կողային մասի շառավղով, որը նայում է շրջանագծից դուրս: Երկու սեկցիա ունեցող ավտոբուսների դեպքում երկու ֆիքսված հատվածները պետք է հավասարվեն հարթությանը:</w:t>
            </w:r>
          </w:p>
          <w:p w:rsidR="00880FFA" w:rsidRPr="00D90FCC" w:rsidRDefault="00880FFA" w:rsidP="00880FFA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Երբ ավտոբուսն ուղիղ դիրքից շարժվում է 1.5-րդ</w:t>
            </w:r>
          </w:p>
          <w:p w:rsidR="00880FFA" w:rsidRPr="00D90FCC" w:rsidRDefault="00880FFA" w:rsidP="00880FFA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կետում նշված էլիպսոիդային հետագծով, ապա դրա ոչ մի մասը չպետք է 0,60 մ-ից ավելի դուրս գա ուղղահայաց հարթության սահմաններից: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</w:p>
        </w:tc>
      </w:tr>
      <w:tr w:rsidR="00880FFA" w:rsidRPr="00D90FCC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1.6.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Կիսակցորդի հոդավոր ամրակապման սռնու և կիսակցորդի հետին մասի միջև առավելագույն հեռավորությունը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12,00 մ</w:t>
            </w:r>
          </w:p>
        </w:tc>
      </w:tr>
      <w:tr w:rsidR="00880FFA" w:rsidRPr="00D90FCC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1.7.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Ավտոգնացքի երկայնական սռնուն զուգահեռ չափվող առավելագույն հեռավորությունը բեռի տեղակայման տարածքի առաջնային արտաքին կետից մինչև տրանսպորտային միջոցների համակցության կցորդի խցիկի հետին արտաքին կետը` հանած քարշակի հետին մասի և կցորդի առաջնային մասի միջև հեռավորությունը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15,65 մ</w:t>
            </w:r>
          </w:p>
        </w:tc>
      </w:tr>
      <w:tr w:rsidR="00880FFA" w:rsidRPr="00D90FCC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1.8.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Ավտոգնացքի երկայնական սռնուն զուգահեռ չափվող առավելագույն հեռավորությունը բեռի տեղակայման տարածքի առաջնային արտաքին կետից մինչեւ տրանսպորտային միջոցների համակցության կցորդի խցիկի հետին արտաքին կետը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16,40 մ</w:t>
            </w:r>
          </w:p>
        </w:tc>
      </w:tr>
      <w:tr w:rsidR="00880FFA" w:rsidRPr="00D90FCC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</w:rPr>
              <w:t>Տրանսպորտային միջոցի թույլատրելի առավելագույն զանգվածը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</w:p>
        </w:tc>
      </w:tr>
      <w:tr w:rsidR="00880FFA" w:rsidRPr="00D90FCC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2.1.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b/>
                <w:i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b/>
                <w:i/>
                <w:color w:val="000000"/>
                <w:sz w:val="21"/>
                <w:szCs w:val="21"/>
              </w:rPr>
              <w:t>Տրանսպորտային միջոցի համակցության մաս</w:t>
            </w:r>
          </w:p>
          <w:p w:rsidR="00880FFA" w:rsidRPr="00D90FCC" w:rsidRDefault="00880FFA" w:rsidP="00880FFA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b/>
                <w:i/>
                <w:color w:val="000000"/>
                <w:sz w:val="21"/>
                <w:szCs w:val="21"/>
              </w:rPr>
              <w:t xml:space="preserve">կազմող 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color w:val="000000"/>
                <w:sz w:val="21"/>
                <w:szCs w:val="21"/>
                <w:lang w:val="hy-AM"/>
              </w:rPr>
              <w:t>կցորդ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</w:p>
        </w:tc>
      </w:tr>
      <w:tr w:rsidR="00880FFA" w:rsidRPr="00D90FCC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2.1.1.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Երկու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սռնի ունեցող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կցորդ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18 տոննա</w:t>
            </w:r>
          </w:p>
        </w:tc>
      </w:tr>
      <w:tr w:rsidR="00880FFA" w:rsidRPr="00D90FCC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2.1.2.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Երեք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սռնի ունեցող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կցորդ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24 տոննա</w:t>
            </w:r>
          </w:p>
        </w:tc>
      </w:tr>
      <w:tr w:rsidR="00880FFA" w:rsidRPr="00D90FCC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2.2.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b/>
                <w:i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b/>
                <w:i/>
                <w:color w:val="000000"/>
                <w:sz w:val="21"/>
                <w:szCs w:val="21"/>
              </w:rPr>
              <w:t>Տրանսպորտային միջոցների համակցություն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</w:p>
        </w:tc>
      </w:tr>
      <w:tr w:rsidR="00880FFA" w:rsidRPr="00D90FCC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2.2.1.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b/>
                <w:i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b/>
                <w:i/>
                <w:color w:val="000000"/>
                <w:sz w:val="21"/>
                <w:szCs w:val="21"/>
              </w:rPr>
              <w:t>Հինգ կամ վեց սռնի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color w:val="000000"/>
                <w:sz w:val="21"/>
                <w:szCs w:val="21"/>
                <w:lang w:val="hy-AM"/>
              </w:rPr>
              <w:t xml:space="preserve"> ունեցող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color w:val="000000"/>
                <w:sz w:val="21"/>
                <w:szCs w:val="21"/>
              </w:rPr>
              <w:t xml:space="preserve"> ավտոգնացքներ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</w:p>
        </w:tc>
      </w:tr>
      <w:tr w:rsidR="00880FFA" w:rsidRPr="00D90FCC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2.2.1.1.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երկու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սռնի ունեցող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մեխանիկական տրանսպորտային միջոց՝ երեք սռնի ունեցող կցորդով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40 տոննա</w:t>
            </w:r>
          </w:p>
        </w:tc>
      </w:tr>
      <w:tr w:rsidR="00880FFA" w:rsidRPr="00D90FCC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2.2.1.2.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Ե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րեք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սռնի ունեցող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մեխանիկական տրանսպորտային միջոց` երկու կամ երեք սռնի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ունեցող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կցորդով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40 տոննա</w:t>
            </w:r>
          </w:p>
        </w:tc>
      </w:tr>
      <w:tr w:rsidR="00880FFA" w:rsidRPr="00D90FCC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2.2.2.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b/>
                <w:i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b/>
                <w:i/>
                <w:color w:val="000000"/>
                <w:sz w:val="21"/>
                <w:szCs w:val="21"/>
              </w:rPr>
              <w:t>Հինգ կամ վեց սռնի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color w:val="000000"/>
                <w:sz w:val="21"/>
                <w:szCs w:val="21"/>
                <w:lang w:val="hy-AM"/>
              </w:rPr>
              <w:t xml:space="preserve"> ունեցող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color w:val="000000"/>
                <w:sz w:val="21"/>
                <w:szCs w:val="21"/>
              </w:rPr>
              <w:t xml:space="preserve"> երկու մասով տրանսպորտային միջոցներ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</w:p>
        </w:tc>
      </w:tr>
      <w:tr w:rsidR="00880FFA" w:rsidRPr="00D90FCC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2.2.2.1.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Ե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րկու սռնի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ունեցող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մեխանիկական տրանսպորտային միջոց` երեք սռնի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ունեցող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կիսակցորդով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40 տոննա</w:t>
            </w:r>
          </w:p>
        </w:tc>
      </w:tr>
      <w:tr w:rsidR="00880FFA" w:rsidRPr="00D90FCC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2.2.2.2.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Ե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րեք սռնի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ունեցող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մեխանիկական տրանսպորտային միջոց` երկու կամ երեք սռնի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ունեցող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կիսակցորդով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40 տոննա</w:t>
            </w:r>
          </w:p>
        </w:tc>
      </w:tr>
      <w:tr w:rsidR="00880FFA" w:rsidRPr="00D90FCC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lastRenderedPageBreak/>
              <w:t>2.2.2.3.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40 ֆուտ ԻՍՕ կոնտեյներ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տեղափոխող ե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րեք սռնի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ունեցող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մեխանիկական տրանսպորտային միջոց` երկու կամ երեք սռնի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ունեցող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կիսակցորդով 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44 տոննա</w:t>
            </w:r>
          </w:p>
        </w:tc>
      </w:tr>
      <w:tr w:rsidR="00880FFA" w:rsidRPr="00D90FCC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2.2.3.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Չորս սռնի ունեցող ավտոգնացք, որն ունի երկու սռնի</w:t>
            </w:r>
            <w:r w:rsidRPr="00D90FCC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 xml:space="preserve"> ունեցող</w:t>
            </w:r>
            <w:r w:rsidRPr="00D90FCC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 xml:space="preserve"> մեխանիկական տրանսպորտային միջոց և երկու սռնի</w:t>
            </w:r>
            <w:r w:rsidRPr="00D90FCC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 xml:space="preserve"> ունեցող</w:t>
            </w:r>
            <w:r w:rsidRPr="00D90FCC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 xml:space="preserve"> կցորդ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36 տոննա</w:t>
            </w:r>
          </w:p>
        </w:tc>
      </w:tr>
      <w:tr w:rsidR="00880FFA" w:rsidRPr="00D90FCC" w:rsidTr="00880FFA">
        <w:trPr>
          <w:trHeight w:val="901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2.2.4.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  <w:r w:rsidRPr="00D90FCC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Չորս սռնի ունեցող երկու մասով տրանսպորտային միջոց, որն ունի երկու սռնի</w:t>
            </w:r>
            <w:r w:rsidRPr="00D90FCC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 xml:space="preserve"> ունեցող</w:t>
            </w:r>
            <w:r w:rsidRPr="00D90FCC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 xml:space="preserve"> մեխանիկական տրանսպորտային միջոց և երկու սռնի</w:t>
            </w:r>
            <w:r w:rsidRPr="00D90FCC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 xml:space="preserve"> ունեցող</w:t>
            </w:r>
            <w:r w:rsidRPr="00D90FCC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 xml:space="preserve"> կիսակցորդ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0FFA" w:rsidRPr="00D90FCC" w:rsidRDefault="00880FFA" w:rsidP="00880FFA">
            <w:pPr>
              <w:spacing w:after="0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  <w:p w:rsidR="00880FFA" w:rsidRPr="00D90FCC" w:rsidRDefault="00880FFA" w:rsidP="00880FFA">
            <w:pPr>
              <w:spacing w:after="0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</w:p>
          <w:p w:rsidR="00880FFA" w:rsidRPr="00D90FCC" w:rsidRDefault="00880FFA" w:rsidP="00880FFA">
            <w:pPr>
              <w:spacing w:after="0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</w:p>
          <w:p w:rsidR="00880FFA" w:rsidRPr="00D90FCC" w:rsidRDefault="00880FFA" w:rsidP="00880FFA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</w:p>
        </w:tc>
      </w:tr>
      <w:tr w:rsidR="00880FFA" w:rsidRPr="00D90FCC" w:rsidTr="00880FFA">
        <w:trPr>
          <w:trHeight w:val="67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2.2.4.1.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Չորս սռնի ունեցող երկու մասով տրանսպորտային միջոց, որն ունի երկու սռնի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ունեցող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մեխանիկական տրանսպորտային միջոց և երկու սռնի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ունեցող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կիսակցորդ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և կիսակցորդի սռնիների միջև հեռավորությունը (d) 1,3 մետրից 1,8 մետր է (1,3 ≤ d ≤ 1,8)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after="0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36 տոննա</w:t>
            </w:r>
          </w:p>
        </w:tc>
      </w:tr>
      <w:tr w:rsidR="00880FFA" w:rsidRPr="00D90FCC" w:rsidTr="00880FFA">
        <w:trPr>
          <w:trHeight w:val="1014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2.2.4.2.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Չորս սռնի ունեցող երկու մասով տրանսպորտային միջոց, որն ունի երկու սռնի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ունեցող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մեխանիկական տրանսպորտային միջոց և երկու սռնի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ունեցող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կիսակցորդ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և կիսակցորդի սռնիների միջև հեռավորությունը (d) 1,8 մետրից ավել է (1,8 &lt; d)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36 տոննա</w:t>
            </w:r>
          </w:p>
        </w:tc>
      </w:tr>
      <w:tr w:rsidR="00880FFA" w:rsidRPr="00D90FCC" w:rsidTr="00880FFA">
        <w:trPr>
          <w:trHeight w:val="390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2.2.4.3.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Չորս սռնի ունեցող երկու մասով տրանսպորտային միջոց, որն ունի երկու սռնի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ունեցող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մեխանիկական տրանսպորտային միջոց և երկու սռնի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ունեցող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կիսակցորդ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և կիսակցորդի սռնիների միջև հեռավորությունը (d) 1,8 մետրից ավել է (1,8 &lt; d), և պահպանված է մեխանիկական տրանսպորտային միջոցի (18 տոննա) և կիսակցորդի երկու սռնու թույլատրելի առավելագույն զանգվածը (20 տոննա) (ԱՏՄ), և տանող սռնու վրա տեղադրված են զույգ անվադողեր և օդաճնշական կամ նմանատիպ այլ կախոց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38 տոննա</w:t>
            </w:r>
          </w:p>
        </w:tc>
      </w:tr>
      <w:tr w:rsidR="00880FFA" w:rsidRPr="00D90FCC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2.3.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b/>
                <w:i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b/>
                <w:i/>
                <w:color w:val="000000"/>
                <w:sz w:val="21"/>
                <w:szCs w:val="21"/>
              </w:rPr>
              <w:t>Մեխանիկական տրանսպորտային միջոցներ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</w:p>
        </w:tc>
      </w:tr>
      <w:tr w:rsidR="00880FFA" w:rsidRPr="00D90FCC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2.3.1.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Երկու սռնի ունեցող մեխանիկական տրանսպորտային միջոց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18 տոննա</w:t>
            </w:r>
          </w:p>
        </w:tc>
      </w:tr>
      <w:tr w:rsidR="00880FFA" w:rsidRPr="00D90FCC" w:rsidTr="00880FFA">
        <w:trPr>
          <w:trHeight w:val="464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2.3.2.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Երեք սռնի ունեցող մեխանիկական տրանսպորտային միջոցներ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</w:tr>
      <w:tr w:rsidR="00880FFA" w:rsidRPr="00D90FCC" w:rsidTr="00880FFA">
        <w:trPr>
          <w:trHeight w:val="41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2.3.2.1.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Երեք սռնի ունեցող մեխանիկական տրանսպորտային միջոց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25 տոննա</w:t>
            </w:r>
          </w:p>
        </w:tc>
      </w:tr>
      <w:tr w:rsidR="00880FFA" w:rsidRPr="00D90FCC" w:rsidTr="00880FFA">
        <w:trPr>
          <w:trHeight w:val="1501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2.3.2.2.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Երեք սռնի ունեցող մեխանիկական տրանսպորտային միջոց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, որի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տանող սռնու վրա տեղադրված են զույգ անվադողեր և օդաճնշական կամ նմանատիպ այլ կախոց, կամ երբ յուրաքանչյուր տանող սռնու վրա տեղադրված են զույգ անվադողեր և յուրաքանչյուր սռնու առավելագույն բեռնվածությունը չի գերազանցում 9,5 տոննան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after="0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26 տոննա</w:t>
            </w:r>
          </w:p>
          <w:p w:rsidR="00880FFA" w:rsidRPr="00D90FCC" w:rsidRDefault="00880FFA" w:rsidP="00880FFA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</w:tr>
      <w:tr w:rsidR="00880FFA" w:rsidRPr="00D90FCC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2.3.3.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Չորս սռնի ունեցող մեխանիկական տրանսպորտային միջոց` երկու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ուղորդող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սռնիներով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և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որի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տանող սռնու վրա տեղադրված են զույգ անվադողեր և օդաճնշական կամ նմանատիպ այլ կախոց, կամ երբ յուրաքանչյուր տանող սռնու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lastRenderedPageBreak/>
              <w:t>վրա տեղադրված են զույգ անվադողեր և յուրաքանչյուր սռնու առավելագույն բեռնվածությունը չի գերազանցում 9,5 տոննան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after="0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lastRenderedPageBreak/>
              <w:t>32 տոննա</w:t>
            </w:r>
          </w:p>
          <w:p w:rsidR="00880FFA" w:rsidRPr="00D90FCC" w:rsidRDefault="00880FFA" w:rsidP="00880FFA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</w:tr>
      <w:tr w:rsidR="00880FFA" w:rsidRPr="00D90FCC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lastRenderedPageBreak/>
              <w:t>2.3.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4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Հինգ և ավելի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սռնի ունեցող մեխանիկական տրանսպորտային միջոց` երկու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կամ երեք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ուղորդող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սռնիներով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և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որի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տանող սռնու վրա տեղադրված են զույգ անվադողեր և օդաճնշական կամ նմանատիպ այլ կախոց, կամ երբ յուրաքանչյուր տանող սռնու վրա տեղադրված են զույգ անվադողեր և յուրաքանչյուր սռնու առավելագույն բեռնվածությունը չի գերազանցում 9,5 տոննան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after="0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3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8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տոննա</w:t>
            </w:r>
          </w:p>
        </w:tc>
      </w:tr>
      <w:tr w:rsidR="00880FFA" w:rsidRPr="00D90FCC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2.4.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b/>
                <w:i/>
                <w:color w:val="000000"/>
                <w:sz w:val="21"/>
                <w:szCs w:val="21"/>
                <w:highlight w:val="red"/>
                <w:lang w:val="hy-AM"/>
              </w:rPr>
            </w:pPr>
            <w:r w:rsidRPr="00D90FCC">
              <w:rPr>
                <w:rFonts w:ascii="GHEA Grapalat" w:eastAsia="Times New Roman" w:hAnsi="GHEA Grapalat" w:cs="Times New Roman"/>
                <w:b/>
                <w:i/>
                <w:color w:val="000000"/>
                <w:sz w:val="21"/>
                <w:szCs w:val="21"/>
                <w:lang w:val="ru-RU"/>
              </w:rPr>
              <w:t>Երեք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color w:val="000000"/>
                <w:sz w:val="21"/>
                <w:szCs w:val="21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color w:val="000000"/>
                <w:sz w:val="21"/>
                <w:szCs w:val="21"/>
                <w:lang w:val="hy-AM"/>
              </w:rPr>
              <w:t>սռնի ունեցող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color w:val="000000"/>
                <w:sz w:val="21"/>
                <w:szCs w:val="21"/>
              </w:rPr>
              <w:t xml:space="preserve"> երկու մասով 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color w:val="000000"/>
                <w:sz w:val="21"/>
                <w:szCs w:val="21"/>
                <w:lang w:val="hy-AM"/>
              </w:rPr>
              <w:t>տրանսպորտային միջոց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28 տոննա</w:t>
            </w:r>
          </w:p>
        </w:tc>
      </w:tr>
      <w:tr w:rsidR="00880FFA" w:rsidRPr="00D90FCC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3.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</w:rPr>
              <w:t>Տրանսպորտային միջոցների սռնու թույլատրելի առավելագույն սահմանված բեռնվածությունը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</w:p>
        </w:tc>
      </w:tr>
      <w:tr w:rsidR="00880FFA" w:rsidRPr="00D90FCC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3.1.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</w:rPr>
              <w:t>Տրանսպորտային միջոցի չտանող սռնի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</w:p>
        </w:tc>
      </w:tr>
      <w:tr w:rsidR="00880FFA" w:rsidRPr="00D90FCC" w:rsidTr="00880FFA">
        <w:trPr>
          <w:trHeight w:val="898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3.1.1.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ind w:firstLine="567"/>
              <w:rPr>
                <w:rFonts w:ascii="GHEA Grapalat" w:hAnsi="GHEA Grapalat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Մեկ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չտանող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սռնի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(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ե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րբ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տրանսպորտային միջոցը երթևեկում է ՀՀ ընդհանուր օգտագործման միջպետական կամ հանրապետական նշանակության ավտոմոբիլային ճանապարհով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)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10 տոննա</w:t>
            </w:r>
          </w:p>
        </w:tc>
      </w:tr>
      <w:tr w:rsidR="00880FFA" w:rsidRPr="00D90FCC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3.1.2.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Մեկ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չտանող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սռնի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(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ե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րբ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տրանսպորտային միջոցը երթևեկում է ՀՀ ընդհանուր օգտագործման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մարզային (տեղական)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նշանակության ավտոմոբիլային ճանապարհով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)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8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տոննա</w:t>
            </w:r>
          </w:p>
        </w:tc>
      </w:tr>
      <w:tr w:rsidR="00880FFA" w:rsidRPr="003046C4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3.2.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</w:rPr>
              <w:t>Մեկ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</w:rPr>
              <w:t>տանող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</w:rPr>
              <w:t>սռնի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</w:rPr>
              <w:t>ունեցող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</w:rPr>
              <w:t>մեխանիկական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</w:rPr>
              <w:t>տրանսպորտային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</w:rPr>
              <w:t>միջոց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  <w:lang w:val="ru-RU"/>
              </w:rPr>
              <w:t>ներ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</w:p>
        </w:tc>
      </w:tr>
      <w:tr w:rsidR="00880FFA" w:rsidRPr="00D90FCC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3.2.1.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Մեկ տանող սռնի ունեցող մեխանիկական տրանսպորտային միջոցի տանող սռնին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(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ե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րբ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տրանսպորտային միջոցը երթևեկում է ՀՀ ընդհանուր օգտագործման միջպետական նշանակության ավտոմոբիլային ճանապարհով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)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11,5 տոննա</w:t>
            </w:r>
          </w:p>
        </w:tc>
      </w:tr>
      <w:tr w:rsidR="00880FFA" w:rsidRPr="00D90FCC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3.2.2.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Մեկ տանող սռնի ունեցող մեխանիկական տրանսպորտային միջոցի տանող սռնին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(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ե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րբ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տրանսպորտային միջոցը երթևեկում է ՀՀ ընդհանուր օգտագործման հանրապետական նշանակության ավտոմոբիլային ճանապարհով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)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10 տոննա</w:t>
            </w:r>
          </w:p>
        </w:tc>
      </w:tr>
      <w:tr w:rsidR="00880FFA" w:rsidRPr="00D90FCC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3.2.3.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Մեկ տանող սռնի ունեցող մեխանիկական տրանսպորտային միջոցի տանող սռնին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(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ե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րբ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տրանսպորտային միջոցը երթևեկում է ՀՀ ընդհանուր օգտագործման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մարզային (տեղական)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նշանակության ավտոմոբիլային ճանապարհով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)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8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տոննա</w:t>
            </w:r>
          </w:p>
        </w:tc>
      </w:tr>
      <w:tr w:rsidR="00880FFA" w:rsidRPr="003046C4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3.3.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  <w:lang w:val="ru-RU"/>
              </w:rPr>
              <w:t xml:space="preserve">Երկու 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</w:rPr>
              <w:t>տանող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</w:rPr>
              <w:t>սռնի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</w:rPr>
              <w:t>ունեցող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</w:rPr>
              <w:t>մեխանիկական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</w:rPr>
              <w:t>տրանսպորտային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</w:rPr>
              <w:t>միջոց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  <w:lang w:val="ru-RU"/>
              </w:rPr>
              <w:t>ներ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</w:p>
        </w:tc>
      </w:tr>
      <w:tr w:rsidR="00880FFA" w:rsidRPr="00D90FCC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3.3.1.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Երկու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տանող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սռնի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ունեցող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մեխանիկական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տրանսպորտային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միջոց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ի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երկու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տանող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սռն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իների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ընդհանուր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բեռնվածությունը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, երբ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սռնիների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միջև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հեռավորությունը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(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d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)` 1,0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մ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ետր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ից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պակաս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է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(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d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&lt; 1,0)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11,5 տոննա</w:t>
            </w:r>
          </w:p>
        </w:tc>
      </w:tr>
      <w:tr w:rsidR="00880FFA" w:rsidRPr="00D90FCC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3.3.2.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Երկու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տանող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սռնի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ունեցող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մեխանիկական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տրանսպորտային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միջոց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ի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երկու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տանող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սռն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իների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ընդհանուր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lastRenderedPageBreak/>
              <w:t>բեռնվածությունը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, երբ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սռնիների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միջև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հեռավորությունը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(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d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)`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1,0 մետրից մինչև 1,3 մետր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է (1,0 ≤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d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&lt; 1,3)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lastRenderedPageBreak/>
              <w:t>16 տոննա</w:t>
            </w:r>
          </w:p>
        </w:tc>
      </w:tr>
      <w:tr w:rsidR="00880FFA" w:rsidRPr="00D90FCC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lastRenderedPageBreak/>
              <w:t>3.3.3.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Երկու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տանող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սռնի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ունեցող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մեխանիկական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տրանսպորտային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միջոց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ի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երկու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տանող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սռն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իների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ընդհանուր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բեռնվածությունը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, երբ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սռնիների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միջև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հեռավորությունը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(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d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)`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1,3 մետրից մինչև 1,8 մետր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է (1,3 ≤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d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&lt; 1,8)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after="0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18 տոննա</w:t>
            </w:r>
          </w:p>
        </w:tc>
      </w:tr>
      <w:tr w:rsidR="00880FFA" w:rsidRPr="00D90FCC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3.3.4.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Երկու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տանող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սռնի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ունեցող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մեխանիկական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տրանսպորտային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միջոց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ի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երկու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տանող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սռն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իների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ընդհանուր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բեռնվածությունը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, երբ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սռնիների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միջև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հեռավորությունը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(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d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)`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1,3 մետրից մինչև 1,8 մետր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է (1,3 ≤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d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&lt; 1,8)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և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տանող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սռնու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վրա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տեղադրված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են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զույգ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անվադողեր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և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օդաճնշական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կամ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նմանատիպ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այլ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կախոց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կամ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երբ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յուրաքանչյուր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տանող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սռնու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վրա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տեղադրված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են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զույգ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անվադողեր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և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յուրաքանչյուր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սռնու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առավելագույն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բեռնվածությունը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չի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գերազանցում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9,5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տոննան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after="0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19 տոննա</w:t>
            </w:r>
          </w:p>
        </w:tc>
      </w:tr>
      <w:tr w:rsidR="00880FFA" w:rsidRPr="003046C4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3.4.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</w:rPr>
              <w:t>Երկու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</w:rPr>
              <w:t>սռնի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</w:rPr>
              <w:t>ունեցող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</w:rPr>
              <w:t>կցորդներ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</w:rPr>
              <w:t>և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</w:rPr>
              <w:t>կիսակցորդներ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</w:p>
        </w:tc>
      </w:tr>
      <w:tr w:rsidR="00880FFA" w:rsidRPr="00D90FCC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3.4.1.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Երկու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սռնի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ունեցող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կցորդի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կամ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կիսակցորդ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ի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սռն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իների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ընդհանուր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բեռնվածությունը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, երբ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սռնիների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միջև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հեռավորությունը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(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d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)` 1,0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մ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ետր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ից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պակաս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է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(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d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&lt; 1,0)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after="0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11 տոննա</w:t>
            </w:r>
          </w:p>
        </w:tc>
      </w:tr>
      <w:tr w:rsidR="00880FFA" w:rsidRPr="00D90FCC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3.4.2.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Երկու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սռնի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ունեցող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կցորդի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կամ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կիսակցորդ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ի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սռն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իների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ընդհանուր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բեռնվածությունը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, երբ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սռնիների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միջև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հեռավորությունը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(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d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)`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1,0 մետրից մինչև 1,3 մետր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է (1,0 ≤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d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&lt; 1,3)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16 տոննա</w:t>
            </w:r>
          </w:p>
        </w:tc>
      </w:tr>
      <w:tr w:rsidR="00880FFA" w:rsidRPr="00D90FCC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3.4.3.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Երկու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սռնի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ունեցող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կցորդի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կամ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կիսակցորդ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ի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սռն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իների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ընդհանուր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բեռնվածությունը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, երբ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սռնիների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միջև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հեռավորությունը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(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d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)`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1,3 մետրից մինչև 1,8 մետր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է (1,3 ≤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d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&lt; 1,8)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18 տոննա</w:t>
            </w:r>
          </w:p>
        </w:tc>
      </w:tr>
      <w:tr w:rsidR="00880FFA" w:rsidRPr="00D90FCC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3.4.4.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Երկու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սռնի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ունեցող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կցորդի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կամ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կիսակցորդ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ի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սռն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իների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ընդհանուր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բեռնվածությունը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, երբ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սռնիների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միջև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հեռավորությունը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(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d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)` 1,8 մետր և ավել է(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d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≤ 1,8)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after="0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20 տոննա</w:t>
            </w:r>
          </w:p>
        </w:tc>
      </w:tr>
      <w:tr w:rsidR="00880FFA" w:rsidRPr="003046C4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3.5.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</w:rPr>
              <w:t>Եր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  <w:lang w:val="ru-RU"/>
              </w:rPr>
              <w:t>եք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  <w:lang w:val="hy-AM"/>
              </w:rPr>
              <w:t xml:space="preserve"> և ավելի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</w:rPr>
              <w:t>սռնի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</w:rPr>
              <w:t>ունեցող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</w:rPr>
              <w:t>կցորդներ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</w:rPr>
              <w:t>և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</w:rPr>
              <w:t>կիսակցորդներ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after="0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</w:p>
        </w:tc>
      </w:tr>
      <w:tr w:rsidR="00880FFA" w:rsidRPr="00D90FCC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3.5.1.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Եր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եք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և ավելի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սռնի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ունեցող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կցորդի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կամ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կիսակցորդ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ի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սռն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իների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ընդհանուր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բեռնվածությունը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, երբ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սռնիների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միջև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հեռավորությունը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(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d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)` 1,3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մ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ետր և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պակաս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է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(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d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≤ 1,3)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21 տոննա</w:t>
            </w:r>
          </w:p>
        </w:tc>
      </w:tr>
      <w:tr w:rsidR="00880FFA" w:rsidRPr="00D90FCC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3.5.2.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Եր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եք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և ավելի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սռնի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ունեցող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կցորդի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կամ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կիսակցորդ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ի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սռն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իների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ընդհանուր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բեռնվածությունը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, երբ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սռնիների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միջև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հեռավորությունը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(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d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)` 1,3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մ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ետրից մինչև 1,4 մետր է(1,3 &lt;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d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&lt; 1,4)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24 տոննա</w:t>
            </w:r>
          </w:p>
        </w:tc>
      </w:tr>
      <w:tr w:rsidR="00880FFA" w:rsidRPr="00D90FCC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4.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</w:rPr>
              <w:t>Տրանսպորտային միջոցների մյուս բնութագրերը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</w:tr>
      <w:tr w:rsidR="00880FFA" w:rsidRPr="00D90FCC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4.1.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i/>
                <w:iCs/>
                <w:color w:val="000000"/>
                <w:sz w:val="21"/>
                <w:szCs w:val="21"/>
              </w:rPr>
              <w:t>Բոլոր տեսակի տրանսպորտային միջոցներ</w:t>
            </w:r>
          </w:p>
          <w:p w:rsidR="00880FFA" w:rsidRPr="00D90FCC" w:rsidRDefault="00880FFA" w:rsidP="00880FFA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Տրանսպորտային միջոցի կամ տրանսպորտային միջոցների համակցությունների տանող սռնու կամ տանող սռնիների վրա ընկնող բեռնվածությունը չպետք է լինի միջազգային երթևեկության մեջ</w:t>
            </w:r>
          </w:p>
          <w:p w:rsidR="00880FFA" w:rsidRPr="00D90FCC" w:rsidRDefault="00880FFA" w:rsidP="00880FFA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lastRenderedPageBreak/>
              <w:t>օգտագործվող տրանսպորտային միջոցի կամ տրանսպորտային միջոցների համակցությունների բեռնվածության ընդհանուր զանգվածի 25 տոկոսից պակաս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</w:tr>
      <w:tr w:rsidR="00880FFA" w:rsidRPr="00D90FCC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lastRenderedPageBreak/>
              <w:t>4.2.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i/>
                <w:iCs/>
                <w:color w:val="000000"/>
                <w:sz w:val="21"/>
                <w:szCs w:val="21"/>
              </w:rPr>
              <w:t>Ավտոգնացքներ</w:t>
            </w:r>
          </w:p>
          <w:p w:rsidR="00880FFA" w:rsidRPr="00D90FCC" w:rsidRDefault="00880FFA" w:rsidP="00880FFA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Մեխանիկական տրանսպորտային միջոցի հետին սռնու և կցորդի առաջնային սռնու միջև հեռավորությունը չպետք է 3,00 մ-ից պակաս լինի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</w:tr>
      <w:tr w:rsidR="00880FFA" w:rsidRPr="00D90FCC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4.3.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i/>
                <w:iCs/>
                <w:color w:val="000000"/>
                <w:sz w:val="21"/>
                <w:szCs w:val="21"/>
              </w:rPr>
              <w:t>Թույլատրելի առավելագույն զանգվածը` կախված</w:t>
            </w:r>
            <w:r w:rsidRPr="00D90FCC">
              <w:rPr>
                <w:rFonts w:ascii="Calibri" w:eastAsia="Times New Roman" w:hAnsi="Calibri" w:cs="Calibri"/>
                <w:i/>
                <w:iCs/>
                <w:color w:val="000000"/>
                <w:sz w:val="21"/>
                <w:szCs w:val="21"/>
              </w:rPr>
              <w:t> </w:t>
            </w:r>
            <w:r w:rsidRPr="00D90FCC">
              <w:rPr>
                <w:rFonts w:ascii="GHEA Grapalat" w:eastAsia="Times New Roman" w:hAnsi="GHEA Grapalat" w:cs="GHEA Grapalat"/>
                <w:i/>
                <w:iCs/>
                <w:color w:val="000000"/>
                <w:sz w:val="21"/>
                <w:szCs w:val="21"/>
              </w:rPr>
              <w:t>անվահիմքից</w:t>
            </w:r>
          </w:p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Չորս սռնի ունեցող մեխանիկական տրանսպորտային միջոցի թույլատրելի առավելագույն զանգվածը տոննայով չպետք է հինգ անգամ գերազանցի տրանսպորտային միջոցի առջևի և հետևի սռնիների միջև ընկած հեռավորությանը` արտահայտված մետրերով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</w:tr>
      <w:tr w:rsidR="00880FFA" w:rsidRPr="00D90FCC" w:rsidTr="00880FF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4.4.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i/>
                <w:iCs/>
                <w:color w:val="000000"/>
                <w:sz w:val="21"/>
                <w:szCs w:val="21"/>
              </w:rPr>
              <w:t>Կիսակցորդներ</w:t>
            </w:r>
          </w:p>
          <w:p w:rsidR="00880FFA" w:rsidRPr="00D90FCC" w:rsidRDefault="00880FFA" w:rsidP="00880FFA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Կիսակցորդի հոդավոր ամրակապման սռնու և կիսակցորդի առջևի մասի միջև ընկած առավելագույն հեռավորությունը, որը չափվել է հորիզոնական դիրքով, չպետք է գերազանցի 2,04 մետրը: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0FFA" w:rsidRPr="00D90FCC" w:rsidRDefault="00880FFA" w:rsidP="00880FFA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</w:tr>
    </w:tbl>
    <w:p w:rsidR="00880FFA" w:rsidRPr="00880FFA" w:rsidRDefault="00880FFA" w:rsidP="00880FFA">
      <w:pPr>
        <w:tabs>
          <w:tab w:val="left" w:pos="1185"/>
        </w:tabs>
        <w:rPr>
          <w:lang w:val="hy-AM"/>
        </w:rPr>
      </w:pPr>
    </w:p>
    <w:sectPr w:rsidR="00880FFA" w:rsidRPr="00880F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E4F"/>
    <w:rsid w:val="002C4C67"/>
    <w:rsid w:val="004B1531"/>
    <w:rsid w:val="005C1EFA"/>
    <w:rsid w:val="00880FFA"/>
    <w:rsid w:val="00FB7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F10D49"/>
  <w15:chartTrackingRefBased/>
  <w15:docId w15:val="{AEB3DC85-3103-4BE6-99BF-D9E4D8F50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2C4C67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4C67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C4C6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80F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880FF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0F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0FFA"/>
    <w:rPr>
      <w:rFonts w:ascii="Segoe UI" w:eastAsia="Arial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74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6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3201</Words>
  <Characters>18252</Characters>
  <Application>Microsoft Office Word</Application>
  <DocSecurity>0</DocSecurity>
  <Lines>152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Vardanyan</dc:creator>
  <cp:keywords/>
  <dc:description/>
  <cp:lastModifiedBy>Marina Vardanyan</cp:lastModifiedBy>
  <cp:revision>3</cp:revision>
  <cp:lastPrinted>2022-02-14T12:34:00Z</cp:lastPrinted>
  <dcterms:created xsi:type="dcterms:W3CDTF">2022-02-14T12:11:00Z</dcterms:created>
  <dcterms:modified xsi:type="dcterms:W3CDTF">2022-02-14T12:36:00Z</dcterms:modified>
</cp:coreProperties>
</file>