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61F" w:rsidRDefault="0049061F" w:rsidP="0049061F">
      <w:pPr>
        <w:shd w:val="clear" w:color="auto" w:fill="FFFFFF"/>
        <w:spacing w:after="0" w:line="240" w:lineRule="auto"/>
        <w:ind w:firstLine="375"/>
        <w:jc w:val="center"/>
        <w:rPr>
          <w:rFonts w:cs="Sylfaen"/>
          <w:b/>
          <w:lang w:val="hy-AM"/>
        </w:rPr>
      </w:pPr>
      <w:r w:rsidRPr="00A01FDB">
        <w:rPr>
          <w:rFonts w:cs="Sylfaen"/>
          <w:b/>
          <w:lang w:val="hy-AM"/>
        </w:rPr>
        <w:t>ՀԻՄՆԱՎՈՐՈՒՄ</w:t>
      </w:r>
    </w:p>
    <w:p w:rsidR="0049061F" w:rsidRPr="006A021D" w:rsidRDefault="0049061F" w:rsidP="0049061F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</w:p>
    <w:p w:rsidR="00E27DB5" w:rsidRDefault="00035765" w:rsidP="00E27DB5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val="hy-AM"/>
        </w:rPr>
      </w:pPr>
      <w:r>
        <w:rPr>
          <w:rFonts w:cs="Arial"/>
          <w:b/>
          <w:szCs w:val="24"/>
          <w:lang w:val="hy-AM"/>
        </w:rPr>
        <w:t>«</w:t>
      </w:r>
      <w:r w:rsidR="00147711"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ՀԱՅԱՍՏԱՆԻ ՀԱՆՐԱՊԵՏՈՒԹՅԱՆ ԿԱՌԱՎԱՐՈՒԹՅԱՆ </w:t>
      </w:r>
    </w:p>
    <w:p w:rsidR="0049061F" w:rsidRPr="005F2ACC" w:rsidRDefault="00D832CD" w:rsidP="00147711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val="hy-AM"/>
        </w:rPr>
      </w:pPr>
      <w:r w:rsidRPr="003215D4"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2004 ԹՎԱԿԱՆԻ ՓԵՏՐՎԱՐԻ 12-Ի </w:t>
      </w:r>
      <w:r>
        <w:rPr>
          <w:rFonts w:eastAsia="Times New Roman" w:cs="Times New Roman"/>
          <w:b/>
          <w:bCs/>
          <w:color w:val="000000"/>
          <w:szCs w:val="24"/>
          <w:lang w:val="hy-AM"/>
        </w:rPr>
        <w:t>N</w:t>
      </w:r>
      <w:r w:rsidRPr="003215D4"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 288-Ն</w:t>
      </w:r>
      <w:r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 ԵՎ </w:t>
      </w:r>
      <w:r w:rsidR="00147711">
        <w:rPr>
          <w:rFonts w:eastAsia="Times New Roman" w:cs="Times New Roman"/>
          <w:b/>
          <w:bCs/>
          <w:color w:val="000000"/>
          <w:szCs w:val="24"/>
          <w:lang w:val="hy-AM"/>
        </w:rPr>
        <w:t>2011 ԹՎԱԿԱՆԻ ՍԵՊՏԵՄԲԵՐԻ 8-Ի N 1355-Ն ՈՐՈՇ</w:t>
      </w:r>
      <w:r>
        <w:rPr>
          <w:rFonts w:eastAsia="Times New Roman" w:cs="Times New Roman"/>
          <w:b/>
          <w:bCs/>
          <w:color w:val="000000"/>
          <w:szCs w:val="24"/>
        </w:rPr>
        <w:t>ՈՒ</w:t>
      </w:r>
      <w:r w:rsidR="00147711">
        <w:rPr>
          <w:rFonts w:eastAsia="Times New Roman" w:cs="Times New Roman"/>
          <w:b/>
          <w:bCs/>
          <w:color w:val="000000"/>
          <w:szCs w:val="24"/>
          <w:lang w:val="hy-AM"/>
        </w:rPr>
        <w:t>Մ</w:t>
      </w:r>
      <w:r>
        <w:rPr>
          <w:rFonts w:eastAsia="Times New Roman" w:cs="Times New Roman"/>
          <w:b/>
          <w:bCs/>
          <w:color w:val="000000"/>
          <w:szCs w:val="24"/>
          <w:lang w:val="hy-AM"/>
        </w:rPr>
        <w:t>ՆԵՐՈՒՄ</w:t>
      </w:r>
      <w:r w:rsidR="00E27DB5"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 </w:t>
      </w:r>
      <w:r w:rsidR="002879CB">
        <w:rPr>
          <w:rFonts w:eastAsia="Times New Roman" w:cs="Times New Roman"/>
          <w:b/>
          <w:bCs/>
          <w:color w:val="000000"/>
          <w:szCs w:val="24"/>
          <w:lang w:val="hy-AM"/>
        </w:rPr>
        <w:t>ՓՈՓՈԽՈւԹՅՈՒ</w:t>
      </w:r>
      <w:r w:rsidR="00147711">
        <w:rPr>
          <w:rFonts w:eastAsia="Times New Roman" w:cs="Times New Roman"/>
          <w:b/>
          <w:bCs/>
          <w:color w:val="000000"/>
          <w:szCs w:val="24"/>
          <w:lang w:val="hy-AM"/>
        </w:rPr>
        <w:t>ՆՆԵՐ ԿԱՏԱՐԵԼՈՒ ՄԱՍԻՆ</w:t>
      </w:r>
      <w:r w:rsidR="00035765">
        <w:rPr>
          <w:rFonts w:cs="Arial"/>
          <w:b/>
          <w:szCs w:val="24"/>
          <w:lang w:val="hy-AM"/>
        </w:rPr>
        <w:t xml:space="preserve">» ԿԱՌԱՎԱՐՈՒԹՅԱՆ ՈՐՈՇՄԱՆ </w:t>
      </w:r>
      <w:r w:rsidR="0049061F">
        <w:rPr>
          <w:rFonts w:eastAsia="Times New Roman" w:cs="Times New Roman"/>
          <w:b/>
          <w:bCs/>
          <w:color w:val="000000"/>
          <w:szCs w:val="24"/>
          <w:lang w:val="hy-AM"/>
        </w:rPr>
        <w:t>ՆԱԽԱԳԾԻ</w:t>
      </w:r>
      <w:r w:rsidR="00035765"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 ԸՆԴՈՒՆՄԱՆ ՎԵՐԱԲԵՐՅԱԼ</w:t>
      </w:r>
    </w:p>
    <w:p w:rsidR="0049061F" w:rsidRDefault="0049061F" w:rsidP="0049061F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1"/>
          <w:szCs w:val="21"/>
          <w:lang w:val="hy-AM"/>
        </w:rPr>
      </w:pPr>
    </w:p>
    <w:p w:rsidR="0049061F" w:rsidRDefault="0049061F" w:rsidP="0049061F">
      <w:pPr>
        <w:shd w:val="clear" w:color="auto" w:fill="FFFFFF"/>
        <w:spacing w:after="0" w:line="360" w:lineRule="auto"/>
        <w:rPr>
          <w:rFonts w:cs="Sylfaen"/>
          <w:b/>
          <w:szCs w:val="24"/>
          <w:lang w:val="hy-AM"/>
        </w:rPr>
      </w:pPr>
    </w:p>
    <w:p w:rsidR="002E7433" w:rsidRPr="002E7433" w:rsidRDefault="002E7433" w:rsidP="002879CB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cs="Sylfaen"/>
          <w:b/>
          <w:szCs w:val="24"/>
        </w:rPr>
      </w:pPr>
      <w:r w:rsidRPr="002E7433">
        <w:rPr>
          <w:rFonts w:cs="Sylfaen"/>
          <w:b/>
          <w:szCs w:val="24"/>
        </w:rPr>
        <w:t>Ի</w:t>
      </w:r>
      <w:r w:rsidRPr="002E7433">
        <w:rPr>
          <w:rFonts w:cs="Sylfaen"/>
          <w:b/>
          <w:szCs w:val="24"/>
          <w:lang w:val="hy-AM"/>
        </w:rPr>
        <w:t xml:space="preserve">րավական ակտի </w:t>
      </w:r>
      <w:r w:rsidRPr="002E7433">
        <w:rPr>
          <w:rFonts w:cs="Sylfaen"/>
          <w:b/>
          <w:szCs w:val="24"/>
        </w:rPr>
        <w:t>ա</w:t>
      </w:r>
      <w:r w:rsidRPr="002E7433">
        <w:rPr>
          <w:rFonts w:cs="Sylfaen"/>
          <w:b/>
          <w:szCs w:val="24"/>
          <w:lang w:val="hy-AM"/>
        </w:rPr>
        <w:t>նհրաժեշտությունը</w:t>
      </w:r>
      <w:r w:rsidRPr="002E7433">
        <w:rPr>
          <w:rFonts w:cs="Sylfaen"/>
          <w:b/>
          <w:szCs w:val="24"/>
        </w:rPr>
        <w:t xml:space="preserve"> </w:t>
      </w:r>
      <w:r w:rsidRPr="002E7433">
        <w:rPr>
          <w:rFonts w:cs="Sylfaen"/>
          <w:b/>
          <w:szCs w:val="24"/>
          <w:lang w:val="hy-AM"/>
        </w:rPr>
        <w:t>(նպատակը).</w:t>
      </w:r>
    </w:p>
    <w:p w:rsidR="002E7433" w:rsidRPr="002E7433" w:rsidRDefault="00D832CD" w:rsidP="002879CB">
      <w:pPr>
        <w:tabs>
          <w:tab w:val="left" w:pos="851"/>
        </w:tabs>
        <w:spacing w:after="0" w:line="360" w:lineRule="auto"/>
        <w:ind w:firstLine="567"/>
        <w:jc w:val="both"/>
        <w:rPr>
          <w:lang w:val="hy-AM"/>
        </w:rPr>
      </w:pPr>
      <w:r>
        <w:rPr>
          <w:lang w:val="hy-AM"/>
        </w:rPr>
        <w:t>Նախագծի ընդունման անհրաժեշտությունը պայմանավորված է ՀՀ Ազգային ժողովի 2018 թվականի մարտի 23-ի «</w:t>
      </w:r>
      <w:r>
        <w:rPr>
          <w:bCs/>
          <w:color w:val="000000"/>
          <w:szCs w:val="21"/>
          <w:shd w:val="clear" w:color="auto" w:fill="FFFFFF"/>
          <w:lang w:val="hy-AM"/>
        </w:rPr>
        <w:t>Շահումով խաղերի, ինտերնետ շահումով խաղերի և խաղատների մասին» Հայաստանի Հանրապետության օրենքում</w:t>
      </w:r>
      <w:r>
        <w:rPr>
          <w:rFonts w:ascii="Calibri" w:hAnsi="Calibri" w:cs="Calibri"/>
          <w:bCs/>
          <w:color w:val="000000"/>
          <w:szCs w:val="21"/>
          <w:shd w:val="clear" w:color="auto" w:fill="FFFFFF"/>
          <w:lang w:val="hy-AM"/>
        </w:rPr>
        <w:t xml:space="preserve"> </w:t>
      </w:r>
      <w:r>
        <w:rPr>
          <w:bCs/>
          <w:color w:val="000000"/>
          <w:szCs w:val="21"/>
          <w:shd w:val="clear" w:color="auto" w:fill="FFFFFF"/>
          <w:lang w:val="hy-AM"/>
        </w:rPr>
        <w:t>փոփոխություններ և լրացում կատարելու մասին</w:t>
      </w:r>
      <w:r>
        <w:rPr>
          <w:lang w:val="hy-AM"/>
        </w:rPr>
        <w:t>» N ՀՕ-310-Ն և «Վիճակախաղերի մասին» Հայաստանի Հանրապետության օրենքում փոփոխություններ և լրացում կատարելու մասին» N ՀՕ-309-Ն օրենքներով «Շահումով խաղերի, ինտերնետ շահումով խաղերի և խաղատների մասին» և «Վիճակախաղերի մասին» ՀՀ օրենքներում կատարված փոփոխություններով, ինչպես նաև ընթացքում ի հայտ եկած խոչընդոտներով:</w:t>
      </w:r>
      <w:r w:rsidR="002E7433" w:rsidRPr="002E7433">
        <w:rPr>
          <w:rFonts w:cs="Sylfaen"/>
          <w:lang w:val="hy-AM"/>
        </w:rPr>
        <w:t xml:space="preserve"> </w:t>
      </w:r>
      <w:r w:rsidR="002E7433" w:rsidRPr="002E7433">
        <w:rPr>
          <w:lang w:val="hy-AM"/>
        </w:rPr>
        <w:t xml:space="preserve">Նախագծի նպատակն է </w:t>
      </w:r>
      <w:r w:rsidR="002E7433" w:rsidRPr="002E7433">
        <w:rPr>
          <w:bCs/>
          <w:lang w:val="hy-AM"/>
        </w:rPr>
        <w:t>Հայաստանի Հանրապետության կառավարության 2004</w:t>
      </w:r>
      <w:r w:rsidR="002E7433" w:rsidRPr="002E7433">
        <w:rPr>
          <w:b/>
          <w:lang w:val="hy-AM"/>
        </w:rPr>
        <w:t xml:space="preserve"> </w:t>
      </w:r>
      <w:r w:rsidR="002E7433" w:rsidRPr="002E7433">
        <w:rPr>
          <w:bCs/>
          <w:lang w:val="hy-AM"/>
        </w:rPr>
        <w:t>թվականի փետրվարի 12-ի</w:t>
      </w:r>
      <w:r w:rsidR="002879CB">
        <w:rPr>
          <w:bCs/>
          <w:lang w:val="hy-AM"/>
        </w:rPr>
        <w:t xml:space="preserve"> N</w:t>
      </w:r>
      <w:r w:rsidR="002E7433" w:rsidRPr="002E7433">
        <w:rPr>
          <w:bCs/>
          <w:lang w:val="hy-AM"/>
        </w:rPr>
        <w:t>288-Ն և 2011 թվականի սեպտեմբերի 08-ի</w:t>
      </w:r>
      <w:r w:rsidR="002879CB">
        <w:rPr>
          <w:bCs/>
          <w:lang w:val="hy-AM"/>
        </w:rPr>
        <w:t xml:space="preserve"> N</w:t>
      </w:r>
      <w:r w:rsidR="002E7433" w:rsidRPr="002E7433">
        <w:rPr>
          <w:bCs/>
          <w:lang w:val="hy-AM"/>
        </w:rPr>
        <w:t>1355-Ն որոշումները</w:t>
      </w:r>
      <w:r w:rsidR="002E7433" w:rsidRPr="002E7433">
        <w:rPr>
          <w:lang w:val="hy-AM"/>
        </w:rPr>
        <w:t xml:space="preserve"> համապատասխանեցնել «Վիճակախաղերի մասին» և «Շահումով խաղերի, ինտերնետ շահումով խաղերի և խաղատների մասին» ՀՀ օրենքներով սահմանված պահանջներին:</w:t>
      </w:r>
    </w:p>
    <w:p w:rsidR="002E7433" w:rsidRPr="002E7433" w:rsidRDefault="002E7433" w:rsidP="002879CB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eastAsia="Times New Roman" w:cs="GHEA Grapalat"/>
          <w:szCs w:val="24"/>
          <w:lang w:val="fr-FR"/>
        </w:rPr>
      </w:pPr>
      <w:r w:rsidRPr="002E7433">
        <w:rPr>
          <w:rFonts w:eastAsia="Times New Roman" w:cs="GHEA Grapalat"/>
          <w:b/>
          <w:szCs w:val="24"/>
          <w:lang w:val="fr-FR"/>
        </w:rPr>
        <w:t>Կարգավորման հարաբերությունների ներկա վիճակը և առկա խնդիրները</w:t>
      </w:r>
      <w:r w:rsidRPr="002E7433">
        <w:rPr>
          <w:rFonts w:eastAsia="Times New Roman" w:cs="GHEA Grapalat"/>
          <w:szCs w:val="24"/>
          <w:lang w:val="fr-FR"/>
        </w:rPr>
        <w:t>.</w:t>
      </w:r>
    </w:p>
    <w:p w:rsidR="0049061F" w:rsidRDefault="00D832CD" w:rsidP="002879CB">
      <w:pPr>
        <w:tabs>
          <w:tab w:val="left" w:pos="851"/>
        </w:tabs>
        <w:spacing w:after="0" w:line="360" w:lineRule="auto"/>
        <w:ind w:firstLine="567"/>
        <w:jc w:val="both"/>
        <w:rPr>
          <w:rStyle w:val="Strong"/>
          <w:b w:val="0"/>
          <w:color w:val="000000"/>
          <w:lang w:val="hy-AM"/>
        </w:rPr>
      </w:pPr>
      <w:r w:rsidRPr="00045A6D">
        <w:rPr>
          <w:shd w:val="clear" w:color="auto" w:fill="FFFFFF"/>
          <w:lang w:val="hy-AM"/>
        </w:rPr>
        <w:t>«</w:t>
      </w:r>
      <w:r>
        <w:rPr>
          <w:shd w:val="clear" w:color="auto" w:fill="FFFFFF"/>
          <w:lang w:val="hy-AM"/>
        </w:rPr>
        <w:t>Շ</w:t>
      </w:r>
      <w:r w:rsidRPr="00045A6D">
        <w:rPr>
          <w:shd w:val="clear" w:color="auto" w:fill="FFFFFF"/>
          <w:lang w:val="hy-AM"/>
        </w:rPr>
        <w:t>ահումով</w:t>
      </w:r>
      <w:r w:rsidR="002E7433">
        <w:rPr>
          <w:shd w:val="clear" w:color="auto" w:fill="FFFFFF"/>
          <w:lang w:val="hy-AM"/>
        </w:rPr>
        <w:t xml:space="preserve"> </w:t>
      </w:r>
      <w:r w:rsidRPr="00045A6D">
        <w:rPr>
          <w:rFonts w:cs="GHEA Grapalat"/>
          <w:shd w:val="clear" w:color="auto" w:fill="FFFFFF"/>
          <w:lang w:val="hy-AM"/>
        </w:rPr>
        <w:t>խաղերի</w:t>
      </w:r>
      <w:r w:rsidRPr="00045A6D">
        <w:rPr>
          <w:shd w:val="clear" w:color="auto" w:fill="FFFFFF"/>
          <w:lang w:val="hy-AM"/>
        </w:rPr>
        <w:t xml:space="preserve"> </w:t>
      </w:r>
      <w:r>
        <w:rPr>
          <w:shd w:val="clear" w:color="auto" w:fill="FFFFFF"/>
          <w:lang w:val="hy-AM"/>
        </w:rPr>
        <w:t>և</w:t>
      </w:r>
      <w:r w:rsidRPr="00045A6D">
        <w:rPr>
          <w:shd w:val="clear" w:color="auto" w:fill="FFFFFF"/>
          <w:lang w:val="hy-AM"/>
        </w:rPr>
        <w:t xml:space="preserve"> խաղատների մասին» </w:t>
      </w:r>
      <w:r>
        <w:rPr>
          <w:shd w:val="clear" w:color="auto" w:fill="FFFFFF"/>
          <w:lang w:val="hy-AM"/>
        </w:rPr>
        <w:t>ՀՀ</w:t>
      </w:r>
      <w:r w:rsidRPr="00045A6D">
        <w:rPr>
          <w:shd w:val="clear" w:color="auto" w:fill="FFFFFF"/>
          <w:lang w:val="hy-AM"/>
        </w:rPr>
        <w:t xml:space="preserve"> օրենքում լրացումներ </w:t>
      </w:r>
      <w:r>
        <w:rPr>
          <w:shd w:val="clear" w:color="auto" w:fill="FFFFFF"/>
          <w:lang w:val="hy-AM"/>
        </w:rPr>
        <w:t>և</w:t>
      </w:r>
      <w:r w:rsidRPr="00045A6D">
        <w:rPr>
          <w:shd w:val="clear" w:color="auto" w:fill="FFFFFF"/>
          <w:lang w:val="hy-AM"/>
        </w:rPr>
        <w:t xml:space="preserve"> փոփոխություններ կատարելու մասին»</w:t>
      </w:r>
      <w:r>
        <w:rPr>
          <w:shd w:val="clear" w:color="auto" w:fill="FFFFFF"/>
          <w:lang w:val="hy-AM"/>
        </w:rPr>
        <w:t xml:space="preserve"> </w:t>
      </w:r>
      <w:r w:rsidRPr="00045A6D">
        <w:rPr>
          <w:shd w:val="clear" w:color="auto" w:fill="FFFFFF"/>
          <w:lang w:val="hy-AM"/>
        </w:rPr>
        <w:t>ՀՕ-149-Ն օրենք</w:t>
      </w:r>
      <w:r>
        <w:rPr>
          <w:shd w:val="clear" w:color="auto" w:fill="FFFFFF"/>
          <w:lang w:val="hy-AM"/>
        </w:rPr>
        <w:t xml:space="preserve">ի փոփոխության արդյունքում </w:t>
      </w:r>
      <w:r w:rsidRPr="00045A6D">
        <w:rPr>
          <w:rFonts w:cs="GHEA Grapalat"/>
          <w:shd w:val="clear" w:color="auto" w:fill="FFFFFF"/>
          <w:lang w:val="hy-AM"/>
        </w:rPr>
        <w:t>«Շահումով</w:t>
      </w:r>
      <w:r w:rsidR="002E7433">
        <w:rPr>
          <w:rFonts w:cs="GHEA Grapalat"/>
          <w:shd w:val="clear" w:color="auto" w:fill="FFFFFF"/>
          <w:lang w:val="hy-AM"/>
        </w:rPr>
        <w:t xml:space="preserve"> </w:t>
      </w:r>
      <w:r w:rsidRPr="00045A6D">
        <w:rPr>
          <w:shd w:val="clear" w:color="auto" w:fill="FFFFFF"/>
          <w:lang w:val="hy-AM"/>
        </w:rPr>
        <w:t>խաղերի և խաղատների մասին» Հ</w:t>
      </w:r>
      <w:r>
        <w:rPr>
          <w:shd w:val="clear" w:color="auto" w:fill="FFFFFF"/>
          <w:lang w:val="hy-AM"/>
        </w:rPr>
        <w:t>Հ</w:t>
      </w:r>
      <w:r w:rsidRPr="00045A6D">
        <w:rPr>
          <w:shd w:val="clear" w:color="auto" w:fill="FFFFFF"/>
          <w:lang w:val="hy-AM"/>
        </w:rPr>
        <w:t xml:space="preserve"> </w:t>
      </w:r>
      <w:r>
        <w:rPr>
          <w:shd w:val="clear" w:color="auto" w:fill="FFFFFF"/>
          <w:lang w:val="hy-AM"/>
        </w:rPr>
        <w:t>13.12.</w:t>
      </w:r>
      <w:r w:rsidRPr="00045A6D">
        <w:rPr>
          <w:shd w:val="clear" w:color="auto" w:fill="FFFFFF"/>
          <w:lang w:val="hy-AM"/>
        </w:rPr>
        <w:t>2003</w:t>
      </w:r>
      <w:r>
        <w:rPr>
          <w:shd w:val="clear" w:color="auto" w:fill="FFFFFF"/>
          <w:lang w:val="hy-AM"/>
        </w:rPr>
        <w:t>թ.</w:t>
      </w:r>
      <w:r w:rsidRPr="00045A6D">
        <w:rPr>
          <w:shd w:val="clear" w:color="auto" w:fill="FFFFFF"/>
          <w:lang w:val="hy-AM"/>
        </w:rPr>
        <w:t xml:space="preserve"> ՀՕ-1-Ն օրենքի 2-րդ և 3-րդ գլուխների վերնագրերը, ինչպես նաև 4-րդ, 4.1-ին, 5-10-րդ հոդվածների վերնագրերը «խաղերի» բառից հետո լրաց</w:t>
      </w:r>
      <w:r>
        <w:rPr>
          <w:shd w:val="clear" w:color="auto" w:fill="FFFFFF"/>
          <w:lang w:val="hy-AM"/>
        </w:rPr>
        <w:t>վ</w:t>
      </w:r>
      <w:r w:rsidRPr="00045A6D">
        <w:rPr>
          <w:shd w:val="clear" w:color="auto" w:fill="FFFFFF"/>
          <w:lang w:val="hy-AM"/>
        </w:rPr>
        <w:t xml:space="preserve">ել </w:t>
      </w:r>
      <w:r w:rsidR="00424A9E">
        <w:rPr>
          <w:shd w:val="clear" w:color="auto" w:fill="FFFFFF"/>
          <w:lang w:val="hy-AM"/>
        </w:rPr>
        <w:t xml:space="preserve">է </w:t>
      </w:r>
      <w:r w:rsidRPr="00045A6D">
        <w:rPr>
          <w:shd w:val="clear" w:color="auto" w:fill="FFFFFF"/>
          <w:lang w:val="hy-AM"/>
        </w:rPr>
        <w:t>«, ինտերնետ</w:t>
      </w:r>
      <w:r w:rsidR="002E7433">
        <w:rPr>
          <w:shd w:val="clear" w:color="auto" w:fill="FFFFFF"/>
          <w:lang w:val="hy-AM"/>
        </w:rPr>
        <w:t xml:space="preserve"> </w:t>
      </w:r>
      <w:r w:rsidRPr="00045A6D">
        <w:rPr>
          <w:rFonts w:cs="GHEA Grapalat"/>
          <w:shd w:val="clear" w:color="auto" w:fill="FFFFFF"/>
          <w:lang w:val="hy-AM"/>
        </w:rPr>
        <w:t>շահումով</w:t>
      </w:r>
      <w:r w:rsidR="002E7433">
        <w:rPr>
          <w:rFonts w:cs="GHEA Grapalat"/>
          <w:shd w:val="clear" w:color="auto" w:fill="FFFFFF"/>
          <w:lang w:val="hy-AM"/>
        </w:rPr>
        <w:t xml:space="preserve"> </w:t>
      </w:r>
      <w:r w:rsidRPr="00045A6D">
        <w:rPr>
          <w:rFonts w:cs="GHEA Grapalat"/>
          <w:shd w:val="clear" w:color="auto" w:fill="FFFFFF"/>
          <w:lang w:val="hy-AM"/>
        </w:rPr>
        <w:t>խաղեր</w:t>
      </w:r>
      <w:r w:rsidRPr="00045A6D">
        <w:rPr>
          <w:shd w:val="clear" w:color="auto" w:fill="FFFFFF"/>
          <w:lang w:val="hy-AM"/>
        </w:rPr>
        <w:t>ի» բառերով</w:t>
      </w:r>
      <w:r>
        <w:rPr>
          <w:shd w:val="clear" w:color="auto" w:fill="FFFFFF"/>
          <w:lang w:val="hy-AM"/>
        </w:rPr>
        <w:t xml:space="preserve">, ինչի արդյունքում </w:t>
      </w:r>
      <w:r w:rsidRPr="00045A6D">
        <w:rPr>
          <w:rFonts w:cs="GHEA Grapalat"/>
          <w:shd w:val="clear" w:color="auto" w:fill="FFFFFF"/>
          <w:lang w:val="hy-AM"/>
        </w:rPr>
        <w:t>«Շահումով</w:t>
      </w:r>
      <w:r w:rsidR="002E7433">
        <w:rPr>
          <w:rFonts w:cs="GHEA Grapalat"/>
          <w:shd w:val="clear" w:color="auto" w:fill="FFFFFF"/>
          <w:lang w:val="hy-AM"/>
        </w:rPr>
        <w:t xml:space="preserve"> </w:t>
      </w:r>
      <w:r w:rsidRPr="00045A6D">
        <w:rPr>
          <w:shd w:val="clear" w:color="auto" w:fill="FFFFFF"/>
          <w:lang w:val="hy-AM"/>
        </w:rPr>
        <w:t>խաղերի</w:t>
      </w:r>
      <w:r w:rsidRPr="002E7433">
        <w:rPr>
          <w:shd w:val="clear" w:color="auto" w:fill="FFFFFF"/>
          <w:lang w:val="hy-AM"/>
        </w:rPr>
        <w:t>, ինտերնետ շահումով խաղերի</w:t>
      </w:r>
      <w:r w:rsidRPr="00045A6D">
        <w:rPr>
          <w:shd w:val="clear" w:color="auto" w:fill="FFFFFF"/>
          <w:lang w:val="hy-AM"/>
        </w:rPr>
        <w:t xml:space="preserve"> և խաղատների մասին»</w:t>
      </w:r>
      <w:r>
        <w:rPr>
          <w:shd w:val="clear" w:color="auto" w:fill="FFFFFF"/>
          <w:lang w:val="hy-AM"/>
        </w:rPr>
        <w:t xml:space="preserve"> ՀՀ օրենքի 10-րդ հոդվածով սահմանվել է շ</w:t>
      </w:r>
      <w:r w:rsidRPr="00C462CD">
        <w:rPr>
          <w:shd w:val="clear" w:color="auto" w:fill="FFFFFF"/>
          <w:lang w:val="hy-AM"/>
        </w:rPr>
        <w:t>ահումով խաղերի, ինտերնետ շահումով խաղերի</w:t>
      </w:r>
      <w:r w:rsidR="002E7433">
        <w:rPr>
          <w:shd w:val="clear" w:color="auto" w:fill="FFFFFF"/>
          <w:lang w:val="hy-AM"/>
        </w:rPr>
        <w:t xml:space="preserve"> </w:t>
      </w:r>
      <w:r w:rsidRPr="00C462CD">
        <w:rPr>
          <w:shd w:val="clear" w:color="auto" w:fill="FFFFFF"/>
          <w:lang w:val="hy-AM"/>
        </w:rPr>
        <w:t>և խաղատան կազմակերպման վերաբերյալ տեղեկությունների (հաշվետվությունների) ներկայացման կարգը</w:t>
      </w:r>
      <w:r>
        <w:rPr>
          <w:shd w:val="clear" w:color="auto" w:fill="FFFFFF"/>
          <w:lang w:val="hy-AM"/>
        </w:rPr>
        <w:t xml:space="preserve">, </w:t>
      </w:r>
      <w:r w:rsidR="00BC37E8">
        <w:rPr>
          <w:shd w:val="clear" w:color="auto" w:fill="FFFFFF"/>
          <w:lang w:val="hy-AM"/>
        </w:rPr>
        <w:t>որն</w:t>
      </w:r>
      <w:r>
        <w:rPr>
          <w:lang w:val="hy-AM"/>
        </w:rPr>
        <w:t xml:space="preserve"> էլ</w:t>
      </w:r>
      <w:r w:rsidR="00EB6BAE">
        <w:rPr>
          <w:lang w:val="hy-AM"/>
        </w:rPr>
        <w:t xml:space="preserve"> հակասություն է առաջաց</w:t>
      </w:r>
      <w:r w:rsidR="00BC37E8">
        <w:rPr>
          <w:lang w:val="hy-AM"/>
        </w:rPr>
        <w:t>ր</w:t>
      </w:r>
      <w:r w:rsidR="00EB6BAE">
        <w:rPr>
          <w:lang w:val="hy-AM"/>
        </w:rPr>
        <w:t xml:space="preserve">ել </w:t>
      </w:r>
      <w:r w:rsidR="00EB6BAE">
        <w:rPr>
          <w:rStyle w:val="Strong"/>
          <w:b w:val="0"/>
          <w:color w:val="000000"/>
          <w:lang w:val="hy-AM"/>
        </w:rPr>
        <w:t>Հ</w:t>
      </w:r>
      <w:r w:rsidR="00EB6BAE" w:rsidRPr="002E7433">
        <w:rPr>
          <w:rStyle w:val="Strong"/>
          <w:b w:val="0"/>
          <w:color w:val="000000"/>
          <w:lang w:val="hy-AM"/>
        </w:rPr>
        <w:t xml:space="preserve">այաստանի </w:t>
      </w:r>
      <w:r w:rsidR="00EB6BAE">
        <w:rPr>
          <w:rStyle w:val="Strong"/>
          <w:b w:val="0"/>
          <w:color w:val="000000"/>
          <w:lang w:val="hy-AM"/>
        </w:rPr>
        <w:t>Հ</w:t>
      </w:r>
      <w:r w:rsidR="00EB6BAE" w:rsidRPr="002E7433">
        <w:rPr>
          <w:rStyle w:val="Strong"/>
          <w:b w:val="0"/>
          <w:color w:val="000000"/>
          <w:lang w:val="hy-AM"/>
        </w:rPr>
        <w:t xml:space="preserve">անրապետության </w:t>
      </w:r>
      <w:r w:rsidR="00EB6BAE" w:rsidRPr="002E7433">
        <w:rPr>
          <w:rStyle w:val="Strong"/>
          <w:b w:val="0"/>
          <w:color w:val="000000"/>
          <w:lang w:val="hy-AM"/>
        </w:rPr>
        <w:lastRenderedPageBreak/>
        <w:t>կառավարության 201</w:t>
      </w:r>
      <w:r w:rsidR="00EB6BAE">
        <w:rPr>
          <w:rStyle w:val="Strong"/>
          <w:b w:val="0"/>
          <w:color w:val="000000"/>
          <w:lang w:val="hy-AM"/>
        </w:rPr>
        <w:t>1</w:t>
      </w:r>
      <w:r w:rsidR="00EB6BAE" w:rsidRPr="002E7433">
        <w:rPr>
          <w:rStyle w:val="Strong"/>
          <w:b w:val="0"/>
          <w:color w:val="000000"/>
          <w:lang w:val="hy-AM"/>
        </w:rPr>
        <w:t xml:space="preserve"> թվականի</w:t>
      </w:r>
      <w:r w:rsidR="00EB6BAE" w:rsidRPr="004E1F6F">
        <w:rPr>
          <w:rStyle w:val="Strong"/>
          <w:b w:val="0"/>
          <w:color w:val="000000"/>
          <w:lang w:val="hy-AM"/>
        </w:rPr>
        <w:t xml:space="preserve"> </w:t>
      </w:r>
      <w:r w:rsidR="00EB6BAE">
        <w:rPr>
          <w:rStyle w:val="Strong"/>
          <w:b w:val="0"/>
          <w:color w:val="000000"/>
          <w:lang w:val="hy-AM"/>
        </w:rPr>
        <w:t>սեպ</w:t>
      </w:r>
      <w:r w:rsidR="00EB6BAE" w:rsidRPr="004E1F6F">
        <w:rPr>
          <w:rStyle w:val="Strong"/>
          <w:b w:val="0"/>
          <w:color w:val="000000"/>
          <w:lang w:val="hy-AM"/>
        </w:rPr>
        <w:t>տեմբերի</w:t>
      </w:r>
      <w:r w:rsidR="00EB6BAE" w:rsidRPr="002E7433">
        <w:rPr>
          <w:rStyle w:val="Strong"/>
          <w:b w:val="0"/>
          <w:color w:val="000000"/>
          <w:lang w:val="hy-AM"/>
        </w:rPr>
        <w:t xml:space="preserve"> </w:t>
      </w:r>
      <w:r w:rsidR="00EB6BAE">
        <w:rPr>
          <w:rStyle w:val="Strong"/>
          <w:b w:val="0"/>
          <w:color w:val="000000"/>
          <w:lang w:val="hy-AM"/>
        </w:rPr>
        <w:t>08</w:t>
      </w:r>
      <w:r w:rsidR="00EB6BAE" w:rsidRPr="002E7433">
        <w:rPr>
          <w:rStyle w:val="Strong"/>
          <w:b w:val="0"/>
          <w:color w:val="000000"/>
          <w:lang w:val="hy-AM"/>
        </w:rPr>
        <w:t xml:space="preserve">-ի N </w:t>
      </w:r>
      <w:r w:rsidR="00EB6BAE">
        <w:rPr>
          <w:rStyle w:val="Strong"/>
          <w:b w:val="0"/>
          <w:color w:val="000000"/>
          <w:lang w:val="hy-AM"/>
        </w:rPr>
        <w:t>135</w:t>
      </w:r>
      <w:r w:rsidR="00EB6BAE" w:rsidRPr="004E1F6F">
        <w:rPr>
          <w:rStyle w:val="Strong"/>
          <w:b w:val="0"/>
          <w:color w:val="000000"/>
          <w:lang w:val="hy-AM"/>
        </w:rPr>
        <w:t>5</w:t>
      </w:r>
      <w:r w:rsidR="00EB6BAE" w:rsidRPr="002E7433">
        <w:rPr>
          <w:rStyle w:val="Strong"/>
          <w:b w:val="0"/>
          <w:color w:val="000000"/>
          <w:lang w:val="hy-AM"/>
        </w:rPr>
        <w:t>-ն որոշմա</w:t>
      </w:r>
      <w:r w:rsidR="00EB6BAE">
        <w:rPr>
          <w:rStyle w:val="Strong"/>
          <w:b w:val="0"/>
          <w:color w:val="000000"/>
          <w:lang w:val="hy-AM"/>
        </w:rPr>
        <w:t xml:space="preserve">ն </w:t>
      </w:r>
      <w:r w:rsidR="00EB6BAE" w:rsidRPr="002E7433">
        <w:rPr>
          <w:rStyle w:val="Strong"/>
          <w:b w:val="0"/>
          <w:color w:val="000000"/>
          <w:lang w:val="hy-AM"/>
        </w:rPr>
        <w:t>N</w:t>
      </w:r>
      <w:r w:rsidR="00EB6BAE">
        <w:rPr>
          <w:rStyle w:val="Strong"/>
          <w:b w:val="0"/>
          <w:color w:val="000000"/>
          <w:lang w:val="hy-AM"/>
        </w:rPr>
        <w:t xml:space="preserve"> 1 հավելվածի 2-րդ կետի 2-րդ ենթակետով սահմանված պահանջի հետ:</w:t>
      </w:r>
    </w:p>
    <w:p w:rsidR="00F127DD" w:rsidRPr="00DE62EE" w:rsidRDefault="00F127DD" w:rsidP="002879CB">
      <w:pPr>
        <w:tabs>
          <w:tab w:val="left" w:pos="851"/>
        </w:tabs>
        <w:spacing w:after="0" w:line="360" w:lineRule="auto"/>
        <w:ind w:firstLine="567"/>
        <w:jc w:val="both"/>
        <w:rPr>
          <w:rStyle w:val="Strong"/>
          <w:b w:val="0"/>
          <w:color w:val="000000"/>
          <w:lang w:val="hy-AM"/>
        </w:rPr>
      </w:pPr>
      <w:r>
        <w:rPr>
          <w:lang w:val="hy-AM"/>
        </w:rPr>
        <w:t xml:space="preserve">«Վիճակախաղերի մասին» Հայաստանի Հանրապետության օրենքում փոփոխություններ և լրացում կատարելու մասին» N ՀՕ-309-Ն օրենքով վիճակախաղերի կազմակերպիչների նկատմամբ վերահսկող մարմնի իրավասությունը վերապահվել է ՀՀ պետական եկամուտների կոմիտեին, որի արդյունքում էլ անհրաժեշտություն է առաջացել </w:t>
      </w:r>
      <w:r>
        <w:rPr>
          <w:rStyle w:val="Strong"/>
          <w:b w:val="0"/>
          <w:color w:val="000000"/>
          <w:lang w:val="hy-AM"/>
        </w:rPr>
        <w:t>ՀՀ</w:t>
      </w:r>
      <w:r w:rsidRPr="002E7433">
        <w:rPr>
          <w:rStyle w:val="Strong"/>
          <w:b w:val="0"/>
          <w:color w:val="000000"/>
          <w:lang w:val="hy-AM"/>
        </w:rPr>
        <w:t xml:space="preserve"> կառավարության</w:t>
      </w:r>
      <w:r>
        <w:rPr>
          <w:rStyle w:val="Strong"/>
          <w:b w:val="0"/>
          <w:color w:val="000000"/>
          <w:lang w:val="hy-AM"/>
        </w:rPr>
        <w:t xml:space="preserve"> </w:t>
      </w:r>
      <w:r w:rsidRPr="002E7433">
        <w:rPr>
          <w:rStyle w:val="Strong"/>
          <w:b w:val="0"/>
          <w:color w:val="000000"/>
          <w:lang w:val="hy-AM"/>
        </w:rPr>
        <w:t>2004</w:t>
      </w:r>
      <w:r w:rsidRPr="002E7433">
        <w:rPr>
          <w:rStyle w:val="Strong"/>
          <w:bCs w:val="0"/>
          <w:lang w:val="hy-AM"/>
        </w:rPr>
        <w:t xml:space="preserve"> </w:t>
      </w:r>
      <w:r w:rsidRPr="002E7433">
        <w:rPr>
          <w:rStyle w:val="Strong"/>
          <w:b w:val="0"/>
          <w:color w:val="000000"/>
          <w:lang w:val="hy-AM"/>
        </w:rPr>
        <w:t>թվականի փետրվարի 12-ի N 288-</w:t>
      </w:r>
      <w:r>
        <w:rPr>
          <w:rStyle w:val="Strong"/>
          <w:b w:val="0"/>
          <w:color w:val="000000"/>
          <w:lang w:val="hy-AM"/>
        </w:rPr>
        <w:t>Ն որոշման</w:t>
      </w:r>
      <w:r w:rsidR="0001575E">
        <w:rPr>
          <w:rStyle w:val="Strong"/>
          <w:b w:val="0"/>
          <w:color w:val="000000"/>
          <w:lang w:val="hy-AM"/>
        </w:rPr>
        <w:t xml:space="preserve"> </w:t>
      </w:r>
      <w:r w:rsidR="0001575E" w:rsidRPr="002E7433">
        <w:rPr>
          <w:rStyle w:val="Strong"/>
          <w:b w:val="0"/>
          <w:color w:val="000000"/>
          <w:lang w:val="hy-AM"/>
        </w:rPr>
        <w:t xml:space="preserve">N 7 հավելվածում կատարել </w:t>
      </w:r>
      <w:r w:rsidR="0001575E">
        <w:rPr>
          <w:rStyle w:val="Strong"/>
          <w:b w:val="0"/>
          <w:color w:val="000000"/>
          <w:lang w:val="hy-AM"/>
        </w:rPr>
        <w:t xml:space="preserve">համապատասխան փոփոխություններ, քանի որ վիճակախաղերի կազմակերպիչների կողմից ներկայացվող հաշվետվությունները </w:t>
      </w:r>
      <w:r w:rsidR="0001575E" w:rsidRPr="002E7433">
        <w:rPr>
          <w:rStyle w:val="Strong"/>
          <w:b w:val="0"/>
          <w:color w:val="000000"/>
          <w:lang w:val="hy-AM"/>
        </w:rPr>
        <w:t>(</w:t>
      </w:r>
      <w:r w:rsidR="0001575E">
        <w:rPr>
          <w:rStyle w:val="Strong"/>
          <w:b w:val="0"/>
          <w:color w:val="000000"/>
          <w:lang w:val="hy-AM"/>
        </w:rPr>
        <w:t>տեղեկությունները</w:t>
      </w:r>
      <w:r w:rsidR="0001575E" w:rsidRPr="002E7433">
        <w:rPr>
          <w:rStyle w:val="Strong"/>
          <w:b w:val="0"/>
          <w:color w:val="000000"/>
          <w:lang w:val="hy-AM"/>
        </w:rPr>
        <w:t>)</w:t>
      </w:r>
      <w:r w:rsidR="0001575E">
        <w:rPr>
          <w:rStyle w:val="Strong"/>
          <w:b w:val="0"/>
          <w:color w:val="000000"/>
          <w:lang w:val="hy-AM"/>
        </w:rPr>
        <w:t xml:space="preserve"> </w:t>
      </w:r>
      <w:r w:rsidR="0001575E" w:rsidRPr="00DE62EE">
        <w:rPr>
          <w:rStyle w:val="Strong"/>
          <w:b w:val="0"/>
          <w:color w:val="000000"/>
          <w:lang w:val="hy-AM"/>
        </w:rPr>
        <w:t>ներկայացվում են վերահսկող մարմնին` ՀՀ պետական եկամուտների կոմիտեին:</w:t>
      </w:r>
    </w:p>
    <w:p w:rsidR="002E7433" w:rsidRPr="00422FB8" w:rsidRDefault="002E7433" w:rsidP="002879CB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b/>
          <w:lang w:val="fr-FR"/>
        </w:rPr>
      </w:pPr>
      <w:r w:rsidRPr="00422FB8">
        <w:rPr>
          <w:b/>
        </w:rPr>
        <w:t>Առկա</w:t>
      </w:r>
      <w:r w:rsidRPr="00422FB8">
        <w:rPr>
          <w:b/>
          <w:lang w:val="fr-FR"/>
        </w:rPr>
        <w:t xml:space="preserve"> </w:t>
      </w:r>
      <w:r w:rsidRPr="00422FB8">
        <w:rPr>
          <w:b/>
        </w:rPr>
        <w:t>խնդիրների</w:t>
      </w:r>
      <w:r w:rsidRPr="00422FB8">
        <w:rPr>
          <w:b/>
          <w:lang w:val="fr-FR"/>
        </w:rPr>
        <w:t xml:space="preserve"> </w:t>
      </w:r>
      <w:r w:rsidRPr="00422FB8">
        <w:rPr>
          <w:b/>
        </w:rPr>
        <w:t>առաջարկվող</w:t>
      </w:r>
      <w:r w:rsidRPr="00422FB8">
        <w:rPr>
          <w:b/>
          <w:lang w:val="fr-FR"/>
        </w:rPr>
        <w:t xml:space="preserve"> </w:t>
      </w:r>
      <w:r w:rsidRPr="00422FB8">
        <w:rPr>
          <w:b/>
        </w:rPr>
        <w:t>լուծումները</w:t>
      </w:r>
      <w:r w:rsidRPr="00422FB8">
        <w:rPr>
          <w:b/>
          <w:lang w:val="fr-FR"/>
        </w:rPr>
        <w:t>.</w:t>
      </w:r>
    </w:p>
    <w:p w:rsidR="00DE62EE" w:rsidRPr="00DE62EE" w:rsidRDefault="00DE62EE" w:rsidP="002879CB">
      <w:pPr>
        <w:tabs>
          <w:tab w:val="left" w:pos="851"/>
        </w:tabs>
        <w:spacing w:after="0" w:line="360" w:lineRule="auto"/>
        <w:ind w:firstLine="567"/>
        <w:jc w:val="both"/>
        <w:rPr>
          <w:lang w:val="hy-AM"/>
        </w:rPr>
      </w:pPr>
      <w:r w:rsidRPr="00422FB8">
        <w:rPr>
          <w:lang w:val="hy-AM"/>
        </w:rPr>
        <w:t>Նախագծով առաջարկվում է փոփոխություններ կատարել Հայաստանի Հանրապետության կառավարության 2004 թվականի փետրվարի 12-ի N 288-Ն և 2011 թվականի սեպտեմբերի 08-ի N 1355-Ն որոշումներում, որոնց արդյունքում վերը նշված որոշումները կհամապատասխանեցվեն «Վիճակախաղերի մասին» և «Շահումով խաղերի, ինտերնետ շահումով խաղերի և խաղատների մասին» ՀՀ օրենքներով սահմանված պահանջներին:</w:t>
      </w:r>
    </w:p>
    <w:p w:rsidR="002E7433" w:rsidRPr="00760BBF" w:rsidRDefault="002E7433" w:rsidP="002879CB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eastAsia="Calibri" w:cs="Times New Roman"/>
          <w:szCs w:val="24"/>
          <w:lang w:val="hy-AM" w:eastAsia="hy-AM"/>
        </w:rPr>
      </w:pPr>
      <w:r w:rsidRPr="00760BBF">
        <w:rPr>
          <w:rFonts w:eastAsia="Times New Roman" w:cs="Sylfaen"/>
          <w:b/>
          <w:szCs w:val="24"/>
          <w:lang w:val="hy-AM"/>
        </w:rPr>
        <w:t>Նախագծի</w:t>
      </w:r>
      <w:r w:rsidRPr="00760BBF">
        <w:rPr>
          <w:rFonts w:eastAsia="Times New Roman" w:cs="Times New Roman"/>
          <w:b/>
          <w:szCs w:val="24"/>
          <w:lang w:val="hy-AM"/>
        </w:rPr>
        <w:t xml:space="preserve"> մշակման գործընթացում ներգրավված ինստիտուտները և անձինք.</w:t>
      </w:r>
    </w:p>
    <w:p w:rsidR="002E7433" w:rsidRPr="006A021D" w:rsidRDefault="002E7433" w:rsidP="002879CB">
      <w:pPr>
        <w:pStyle w:val="norm"/>
        <w:tabs>
          <w:tab w:val="left" w:pos="851"/>
        </w:tabs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6A021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6A021D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6A021D">
        <w:rPr>
          <w:rFonts w:ascii="GHEA Grapalat" w:hAnsi="GHEA Grapalat"/>
          <w:sz w:val="24"/>
          <w:szCs w:val="24"/>
          <w:lang w:val="hy-AM"/>
        </w:rPr>
        <w:t>պետական եկամուտների կոմիտեի կողմից</w:t>
      </w:r>
      <w:r w:rsidRPr="006A021D">
        <w:rPr>
          <w:rFonts w:ascii="GHEA Grapalat" w:hAnsi="GHEA Grapalat"/>
          <w:b/>
          <w:sz w:val="24"/>
          <w:szCs w:val="24"/>
          <w:lang w:val="hy-AM"/>
        </w:rPr>
        <w:t>:</w:t>
      </w:r>
    </w:p>
    <w:p w:rsidR="002E7433" w:rsidRDefault="002E7433" w:rsidP="002879CB">
      <w:pPr>
        <w:numPr>
          <w:ilvl w:val="0"/>
          <w:numId w:val="3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eastAsia="Calibri" w:cs="GHEA Grapalat"/>
          <w:b/>
          <w:szCs w:val="24"/>
          <w:lang w:val="hy-AM"/>
        </w:rPr>
      </w:pPr>
      <w:r w:rsidRPr="00760BBF">
        <w:rPr>
          <w:rFonts w:eastAsia="Calibri" w:cs="Sylfaen"/>
          <w:b/>
          <w:szCs w:val="24"/>
          <w:lang w:val="hy-AM"/>
        </w:rPr>
        <w:t>Իրավական</w:t>
      </w:r>
      <w:r w:rsidRPr="00760BBF">
        <w:rPr>
          <w:rFonts w:eastAsia="Calibri" w:cs="GHEA Grapalat"/>
          <w:b/>
          <w:szCs w:val="24"/>
          <w:lang w:val="hy-AM"/>
        </w:rPr>
        <w:t xml:space="preserve"> </w:t>
      </w:r>
      <w:r w:rsidRPr="00760BBF">
        <w:rPr>
          <w:rFonts w:eastAsia="Calibri" w:cs="Sylfaen"/>
          <w:b/>
          <w:szCs w:val="24"/>
          <w:lang w:val="hy-AM"/>
        </w:rPr>
        <w:t>ակտի</w:t>
      </w:r>
      <w:r w:rsidRPr="00760BBF">
        <w:rPr>
          <w:rFonts w:eastAsia="Calibri" w:cs="GHEA Grapalat"/>
          <w:b/>
          <w:szCs w:val="24"/>
          <w:lang w:val="hy-AM"/>
        </w:rPr>
        <w:t xml:space="preserve"> </w:t>
      </w:r>
      <w:r w:rsidRPr="00760BBF">
        <w:rPr>
          <w:rFonts w:eastAsia="Calibri" w:cs="Sylfaen"/>
          <w:b/>
          <w:szCs w:val="24"/>
          <w:lang w:val="hy-AM"/>
        </w:rPr>
        <w:t>կիրառման</w:t>
      </w:r>
      <w:r w:rsidRPr="00760BBF">
        <w:rPr>
          <w:rFonts w:eastAsia="Calibri" w:cs="GHEA Grapalat"/>
          <w:b/>
          <w:szCs w:val="24"/>
          <w:lang w:val="hy-AM"/>
        </w:rPr>
        <w:t xml:space="preserve"> </w:t>
      </w:r>
      <w:r w:rsidRPr="00760BBF">
        <w:rPr>
          <w:rFonts w:eastAsia="Calibri" w:cs="Sylfaen"/>
          <w:b/>
          <w:szCs w:val="24"/>
          <w:lang w:val="hy-AM"/>
        </w:rPr>
        <w:t>դեպքում</w:t>
      </w:r>
      <w:r w:rsidRPr="00760BBF">
        <w:rPr>
          <w:rFonts w:eastAsia="Calibri" w:cs="GHEA Grapalat"/>
          <w:b/>
          <w:szCs w:val="24"/>
          <w:lang w:val="hy-AM"/>
        </w:rPr>
        <w:t xml:space="preserve"> </w:t>
      </w:r>
      <w:r w:rsidRPr="00760BBF">
        <w:rPr>
          <w:rFonts w:eastAsia="Calibri" w:cs="Sylfaen"/>
          <w:b/>
          <w:szCs w:val="24"/>
          <w:lang w:val="hy-AM"/>
        </w:rPr>
        <w:t>ակնկալվող</w:t>
      </w:r>
      <w:r w:rsidRPr="00760BBF">
        <w:rPr>
          <w:rFonts w:eastAsia="Calibri" w:cs="GHEA Grapalat"/>
          <w:b/>
          <w:szCs w:val="24"/>
          <w:lang w:val="hy-AM"/>
        </w:rPr>
        <w:t xml:space="preserve"> </w:t>
      </w:r>
      <w:r w:rsidRPr="00760BBF">
        <w:rPr>
          <w:rFonts w:eastAsia="Calibri" w:cs="Sylfaen"/>
          <w:b/>
          <w:szCs w:val="24"/>
          <w:lang w:val="hy-AM"/>
        </w:rPr>
        <w:t>արդյունքը</w:t>
      </w:r>
      <w:r w:rsidRPr="00760BBF">
        <w:rPr>
          <w:rFonts w:eastAsia="Calibri" w:cs="GHEA Grapalat"/>
          <w:b/>
          <w:szCs w:val="24"/>
          <w:lang w:val="hy-AM"/>
        </w:rPr>
        <w:t>.</w:t>
      </w:r>
    </w:p>
    <w:p w:rsidR="002E7433" w:rsidRPr="002E7433" w:rsidRDefault="002E7433" w:rsidP="002879CB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eastAsia="Calibri" w:cs="GHEA Grapalat"/>
          <w:b/>
          <w:szCs w:val="24"/>
          <w:lang w:val="hy-AM"/>
        </w:rPr>
      </w:pPr>
      <w:r w:rsidRPr="002E7433">
        <w:rPr>
          <w:bCs/>
          <w:szCs w:val="24"/>
          <w:lang w:val="hy-AM"/>
        </w:rPr>
        <w:t xml:space="preserve">Նախագծի ընդունման արդյունքում ակնկալվում է </w:t>
      </w:r>
      <w:r w:rsidRPr="002E7433">
        <w:rPr>
          <w:szCs w:val="24"/>
          <w:lang w:val="hy-AM"/>
        </w:rPr>
        <w:t>Հայաստանի Հանրապետության կառավարության 2004</w:t>
      </w:r>
      <w:r w:rsidRPr="002E7433">
        <w:rPr>
          <w:b/>
          <w:szCs w:val="24"/>
          <w:lang w:val="hy-AM"/>
        </w:rPr>
        <w:t xml:space="preserve"> </w:t>
      </w:r>
      <w:r w:rsidRPr="002E7433">
        <w:rPr>
          <w:szCs w:val="24"/>
          <w:lang w:val="hy-AM"/>
        </w:rPr>
        <w:t>թվականի փետրվարի 12-ի N 288-Ն և 2011 թվականի սեպտեմբերի 08-ի N 1355-Ն որոշումները</w:t>
      </w:r>
      <w:r w:rsidRPr="002E7433">
        <w:rPr>
          <w:bCs/>
          <w:szCs w:val="24"/>
          <w:lang w:val="hy-AM"/>
        </w:rPr>
        <w:t xml:space="preserve"> համապատասխանեցնել «Շահումով խաղերի, ինտերնետ շահումով խաղերի և խաղատների մասին» </w:t>
      </w:r>
      <w:r w:rsidR="00DE62EE">
        <w:rPr>
          <w:bCs/>
          <w:szCs w:val="24"/>
          <w:lang w:val="hy-AM"/>
        </w:rPr>
        <w:t xml:space="preserve">և </w:t>
      </w:r>
      <w:r w:rsidR="00DE62EE">
        <w:rPr>
          <w:lang w:val="hy-AM"/>
        </w:rPr>
        <w:t>«Վիճակախաղերի մասին» Հայաստանի Հանրապետության օրենքների</w:t>
      </w:r>
      <w:r w:rsidRPr="002E7433">
        <w:rPr>
          <w:bCs/>
          <w:szCs w:val="24"/>
          <w:lang w:val="hy-AM"/>
        </w:rPr>
        <w:t xml:space="preserve"> պահանջներին:</w:t>
      </w:r>
    </w:p>
    <w:p w:rsidR="002E7433" w:rsidRPr="002879CB" w:rsidRDefault="002E7433" w:rsidP="002879CB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b/>
          <w:color w:val="000000"/>
          <w:szCs w:val="24"/>
          <w:lang w:val="hy-AM"/>
        </w:rPr>
      </w:pPr>
      <w:r w:rsidRPr="002879CB">
        <w:rPr>
          <w:b/>
          <w:color w:val="000000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E7433" w:rsidRPr="00A0318D" w:rsidRDefault="002E7433" w:rsidP="002879CB">
      <w:pPr>
        <w:tabs>
          <w:tab w:val="left" w:pos="851"/>
        </w:tabs>
        <w:spacing w:after="0" w:line="360" w:lineRule="auto"/>
        <w:ind w:firstLine="567"/>
        <w:jc w:val="both"/>
        <w:rPr>
          <w:color w:val="000000"/>
          <w:szCs w:val="24"/>
          <w:lang w:val="hy-AM"/>
        </w:rPr>
      </w:pPr>
      <w:r>
        <w:rPr>
          <w:color w:val="000000"/>
          <w:szCs w:val="24"/>
          <w:lang w:val="hy-AM"/>
        </w:rPr>
        <w:lastRenderedPageBreak/>
        <w:t>Նախագծ</w:t>
      </w:r>
      <w:r w:rsidRPr="00A0318D">
        <w:rPr>
          <w:color w:val="000000"/>
          <w:szCs w:val="24"/>
          <w:lang w:val="hy-AM"/>
        </w:rPr>
        <w:t>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A0318D">
        <w:rPr>
          <w:color w:val="000000"/>
          <w:szCs w:val="24"/>
          <w:lang w:val="hy-AM"/>
        </w:rPr>
        <w:softHyphen/>
        <w:t>յուններ չի նախատեսվում։</w:t>
      </w:r>
    </w:p>
    <w:p w:rsidR="002E7433" w:rsidRPr="00441486" w:rsidRDefault="002E7433" w:rsidP="002879CB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b/>
          <w:color w:val="000000"/>
          <w:szCs w:val="24"/>
          <w:lang w:val="hy-AM"/>
        </w:rPr>
      </w:pPr>
      <w:r w:rsidRPr="00441486">
        <w:rPr>
          <w:b/>
          <w:color w:val="000000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441486" w:rsidRPr="00441486" w:rsidRDefault="00441486" w:rsidP="002879CB">
      <w:pPr>
        <w:tabs>
          <w:tab w:val="left" w:pos="851"/>
        </w:tabs>
        <w:spacing w:after="0" w:line="360" w:lineRule="auto"/>
        <w:ind w:firstLine="567"/>
        <w:rPr>
          <w:rFonts w:ascii="Calibri" w:hAnsi="Calibri"/>
          <w:sz w:val="22"/>
          <w:lang w:val="hy-AM"/>
        </w:rPr>
      </w:pPr>
      <w:r w:rsidRPr="00441486">
        <w:rPr>
          <w:lang w:val="hy-AM"/>
        </w:rPr>
        <w:t>Նախագծի ընդունումը կապված է հետ</w:t>
      </w:r>
      <w:r w:rsidR="0001028D">
        <w:rPr>
          <w:lang w:val="hy-AM"/>
        </w:rPr>
        <w:t>և</w:t>
      </w:r>
      <w:r w:rsidRPr="00441486">
        <w:rPr>
          <w:lang w:val="hy-AM"/>
        </w:rPr>
        <w:t>յալ ռազմավարական փաստաթղթերի հետ.</w:t>
      </w:r>
    </w:p>
    <w:p w:rsidR="00441486" w:rsidRPr="002879CB" w:rsidRDefault="00441486" w:rsidP="002879CB">
      <w:pPr>
        <w:tabs>
          <w:tab w:val="left" w:pos="851"/>
        </w:tabs>
        <w:spacing w:after="0" w:line="360" w:lineRule="auto"/>
        <w:ind w:firstLine="567"/>
        <w:jc w:val="both"/>
        <w:rPr>
          <w:lang w:val="hy-AM"/>
        </w:rPr>
      </w:pPr>
      <w:r w:rsidRPr="00A425E0">
        <w:rPr>
          <w:lang w:val="hy-AM"/>
        </w:rPr>
        <w:t>-</w:t>
      </w:r>
      <w:r w:rsidR="002879CB">
        <w:rPr>
          <w:lang w:val="hy-AM"/>
        </w:rPr>
        <w:tab/>
      </w:r>
      <w:r w:rsidRPr="00A425E0">
        <w:rPr>
          <w:lang w:val="hy-AM"/>
        </w:rPr>
        <w:t>ՀՀ կառավարության 18.11.2021թ. N1902-Լ որոշմա</w:t>
      </w:r>
      <w:r w:rsidR="00A425E0">
        <w:rPr>
          <w:lang w:val="hy-AM"/>
        </w:rPr>
        <w:t>մ</w:t>
      </w:r>
      <w:r w:rsidR="00A0797B">
        <w:rPr>
          <w:lang w:val="hy-AM"/>
        </w:rPr>
        <w:t>բ</w:t>
      </w:r>
      <w:r w:rsidR="00A425E0">
        <w:rPr>
          <w:lang w:val="hy-AM"/>
        </w:rPr>
        <w:t xml:space="preserve"> հաստատված</w:t>
      </w:r>
      <w:r w:rsidRPr="00A425E0">
        <w:rPr>
          <w:lang w:val="hy-AM"/>
        </w:rPr>
        <w:t xml:space="preserve"> N1 հավելված</w:t>
      </w:r>
      <w:r w:rsidR="00A425E0">
        <w:rPr>
          <w:lang w:val="hy-AM"/>
        </w:rPr>
        <w:t>ի</w:t>
      </w:r>
      <w:r w:rsidRPr="00A425E0">
        <w:rPr>
          <w:lang w:val="hy-AM"/>
        </w:rPr>
        <w:t xml:space="preserve">՝ Հայաստանի Հանրապետության կառավարության 2021-2026 թվականների գործունեության միջոցառումների ծրագրի՝ «3. </w:t>
      </w:r>
      <w:r w:rsidRPr="002879CB">
        <w:rPr>
          <w:lang w:val="hy-AM"/>
        </w:rPr>
        <w:t>Հարկային հսկողության ռիսկերի կառավարման համա</w:t>
      </w:r>
      <w:r w:rsidR="002879CB">
        <w:rPr>
          <w:lang w:val="hy-AM"/>
        </w:rPr>
        <w:softHyphen/>
      </w:r>
      <w:bookmarkStart w:id="0" w:name="_GoBack"/>
      <w:bookmarkEnd w:id="0"/>
      <w:r w:rsidRPr="002879CB">
        <w:rPr>
          <w:lang w:val="hy-AM"/>
        </w:rPr>
        <w:t>կարգերի կատարելագործմամբ ստվերի կրճատում» նպատակի «3.1 Տնտեսավարող սուբյեկտների կողմից իրականացվող գործունեության օրինականության կամ գործարքների լիարժեք փաստաթղթավորման կարգապահության բարելավում, հսկողական գործիքակազմի կատարելագործում» միջոցառուման հետ,</w:t>
      </w:r>
    </w:p>
    <w:p w:rsidR="00441486" w:rsidRPr="002879CB" w:rsidRDefault="00441486" w:rsidP="002879CB">
      <w:pPr>
        <w:tabs>
          <w:tab w:val="left" w:pos="851"/>
        </w:tabs>
        <w:spacing w:after="0" w:line="360" w:lineRule="auto"/>
        <w:ind w:firstLine="567"/>
        <w:jc w:val="both"/>
        <w:rPr>
          <w:lang w:val="hy-AM"/>
        </w:rPr>
      </w:pPr>
      <w:r w:rsidRPr="002879CB">
        <w:rPr>
          <w:lang w:val="hy-AM"/>
        </w:rPr>
        <w:t>-</w:t>
      </w:r>
      <w:r w:rsidR="002879CB">
        <w:rPr>
          <w:lang w:val="hy-AM"/>
        </w:rPr>
        <w:tab/>
      </w:r>
      <w:r w:rsidRPr="002879CB">
        <w:rPr>
          <w:lang w:val="hy-AM"/>
        </w:rPr>
        <w:t>ՀՀ կառավարության 12.12.2019թ</w:t>
      </w:r>
      <w:r w:rsidR="002879CB">
        <w:rPr>
          <w:lang w:val="hy-AM"/>
        </w:rPr>
        <w:t>. N</w:t>
      </w:r>
      <w:r w:rsidRPr="002879CB">
        <w:rPr>
          <w:lang w:val="hy-AM"/>
        </w:rPr>
        <w:t>1830-Լ որոշմամբ հաստատված</w:t>
      </w:r>
      <w:r w:rsidR="00A0797B">
        <w:rPr>
          <w:lang w:val="hy-AM"/>
        </w:rPr>
        <w:t xml:space="preserve"> </w:t>
      </w:r>
      <w:r w:rsidR="00A0797B" w:rsidRPr="00A425E0">
        <w:rPr>
          <w:lang w:val="hy-AM"/>
        </w:rPr>
        <w:t>N1 հավելված</w:t>
      </w:r>
      <w:r w:rsidR="00A0797B">
        <w:rPr>
          <w:lang w:val="hy-AM"/>
        </w:rPr>
        <w:t>ի</w:t>
      </w:r>
      <w:r w:rsidRPr="002879CB">
        <w:rPr>
          <w:lang w:val="hy-AM"/>
        </w:rPr>
        <w:t xml:space="preserve">՝ </w:t>
      </w:r>
      <w:r w:rsidR="00A0797B" w:rsidRPr="002879CB">
        <w:rPr>
          <w:lang w:val="hy-AM"/>
        </w:rPr>
        <w:t>Հայաստանի Հանրապետության պետական եկամուտների կոմիտեի զարգացման և վարչարարության բարելավման ռազմավարությունը</w:t>
      </w:r>
      <w:r w:rsidRPr="002879CB">
        <w:rPr>
          <w:lang w:val="hy-AM"/>
        </w:rPr>
        <w:t xml:space="preserve"> «</w:t>
      </w:r>
      <w:r w:rsidR="00A953D0">
        <w:rPr>
          <w:lang w:val="hy-AM"/>
        </w:rPr>
        <w:t>2․Վ</w:t>
      </w:r>
      <w:r w:rsidR="00A953D0" w:rsidRPr="002879CB">
        <w:rPr>
          <w:bCs/>
          <w:lang w:val="hy-AM"/>
        </w:rPr>
        <w:t>արչարարության արդյունա</w:t>
      </w:r>
      <w:r w:rsidR="002879CB">
        <w:rPr>
          <w:bCs/>
          <w:lang w:val="hy-AM"/>
        </w:rPr>
        <w:softHyphen/>
      </w:r>
      <w:r w:rsidR="00A953D0" w:rsidRPr="002879CB">
        <w:rPr>
          <w:bCs/>
          <w:lang w:val="hy-AM"/>
        </w:rPr>
        <w:t>վե</w:t>
      </w:r>
      <w:r w:rsidR="002879CB">
        <w:rPr>
          <w:bCs/>
          <w:lang w:val="hy-AM"/>
        </w:rPr>
        <w:softHyphen/>
      </w:r>
      <w:r w:rsidR="00A953D0" w:rsidRPr="002879CB">
        <w:rPr>
          <w:bCs/>
          <w:lang w:val="hy-AM"/>
        </w:rPr>
        <w:t>տության բարձրացում, եկամուտների ավելացում, ստվերի կրճատում</w:t>
      </w:r>
      <w:r w:rsidR="00A953D0" w:rsidRPr="002879CB">
        <w:rPr>
          <w:lang w:val="hy-AM"/>
        </w:rPr>
        <w:t xml:space="preserve">» նպատակի </w:t>
      </w:r>
      <w:r w:rsidRPr="002879CB">
        <w:rPr>
          <w:lang w:val="hy-AM"/>
        </w:rPr>
        <w:t>«</w:t>
      </w:r>
      <w:r w:rsidR="00A953D0">
        <w:rPr>
          <w:lang w:val="hy-AM"/>
        </w:rPr>
        <w:t xml:space="preserve">2․1 </w:t>
      </w:r>
      <w:r w:rsidR="00A953D0" w:rsidRPr="002879CB">
        <w:rPr>
          <w:bCs/>
          <w:lang w:val="hy-AM"/>
        </w:rPr>
        <w:t>Հարկային և մաքսային իրավախախտումների կանխարգելում</w:t>
      </w:r>
      <w:r w:rsidR="00A953D0" w:rsidRPr="002879CB">
        <w:rPr>
          <w:lang w:val="hy-AM"/>
        </w:rPr>
        <w:t xml:space="preserve">» </w:t>
      </w:r>
      <w:r w:rsidR="00A953D0">
        <w:rPr>
          <w:lang w:val="hy-AM"/>
        </w:rPr>
        <w:t>ենթա</w:t>
      </w:r>
      <w:r w:rsidR="00A953D0" w:rsidRPr="002879CB">
        <w:rPr>
          <w:lang w:val="hy-AM"/>
        </w:rPr>
        <w:t>նպատակի</w:t>
      </w:r>
      <w:r w:rsidR="00A953D0" w:rsidRPr="00A953D0">
        <w:rPr>
          <w:lang w:val="hy-AM"/>
        </w:rPr>
        <w:t xml:space="preserve"> </w:t>
      </w:r>
      <w:r w:rsidR="00A953D0" w:rsidRPr="002879CB">
        <w:rPr>
          <w:lang w:val="hy-AM"/>
        </w:rPr>
        <w:t>«</w:t>
      </w:r>
      <w:r w:rsidR="00A953D0" w:rsidRPr="002879CB">
        <w:rPr>
          <w:bCs/>
          <w:lang w:val="hy-AM"/>
        </w:rPr>
        <w:t>2</w:t>
      </w:r>
      <w:r w:rsidR="00A953D0" w:rsidRPr="002879CB">
        <w:rPr>
          <w:rFonts w:ascii="Cambria Math" w:hAnsi="Cambria Math" w:cs="Cambria Math"/>
          <w:bCs/>
          <w:lang w:val="hy-AM"/>
        </w:rPr>
        <w:t>․</w:t>
      </w:r>
      <w:r w:rsidRPr="002879CB">
        <w:rPr>
          <w:bCs/>
          <w:lang w:val="hy-AM"/>
        </w:rPr>
        <w:t>1.</w:t>
      </w:r>
      <w:r w:rsidR="00A953D0" w:rsidRPr="002879CB">
        <w:rPr>
          <w:bCs/>
          <w:lang w:val="hy-AM"/>
        </w:rPr>
        <w:t>5</w:t>
      </w:r>
      <w:r w:rsidRPr="002879CB">
        <w:rPr>
          <w:bCs/>
          <w:lang w:val="hy-AM"/>
        </w:rPr>
        <w:t xml:space="preserve"> </w:t>
      </w:r>
      <w:r w:rsidR="00A953D0" w:rsidRPr="002879CB">
        <w:rPr>
          <w:lang w:val="hy-AM"/>
        </w:rPr>
        <w:t>Շահումով խաղերի, խաղատների և վիճակախաղերի գործունեություն»</w:t>
      </w:r>
      <w:r w:rsidR="00A953D0">
        <w:rPr>
          <w:lang w:val="hy-AM"/>
        </w:rPr>
        <w:t xml:space="preserve"> </w:t>
      </w:r>
      <w:r w:rsidR="00A953D0">
        <w:rPr>
          <w:bCs/>
          <w:lang w:val="hy-AM"/>
        </w:rPr>
        <w:t xml:space="preserve">միջոցառման </w:t>
      </w:r>
      <w:r w:rsidRPr="002879CB">
        <w:rPr>
          <w:lang w:val="hy-AM"/>
        </w:rPr>
        <w:t>հետ:</w:t>
      </w:r>
    </w:p>
    <w:p w:rsidR="00DF4469" w:rsidRPr="002879CB" w:rsidRDefault="00DF4469" w:rsidP="002E7433">
      <w:pPr>
        <w:tabs>
          <w:tab w:val="left" w:pos="851"/>
        </w:tabs>
        <w:spacing w:after="0" w:line="360" w:lineRule="auto"/>
        <w:ind w:firstLine="567"/>
        <w:jc w:val="both"/>
        <w:rPr>
          <w:color w:val="000000"/>
          <w:szCs w:val="24"/>
          <w:lang w:val="hy-AM"/>
        </w:rPr>
      </w:pPr>
    </w:p>
    <w:sectPr w:rsidR="00DF4469" w:rsidRPr="002879CB" w:rsidSect="006A021D">
      <w:pgSz w:w="11907" w:h="16839" w:code="9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234B"/>
    <w:multiLevelType w:val="hybridMultilevel"/>
    <w:tmpl w:val="65FE4048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92A6A"/>
    <w:multiLevelType w:val="hybridMultilevel"/>
    <w:tmpl w:val="161C6F4C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E9D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776EA6"/>
    <w:multiLevelType w:val="hybridMultilevel"/>
    <w:tmpl w:val="DA3E1AB8"/>
    <w:lvl w:ilvl="0" w:tplc="5E32296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F4196"/>
    <w:multiLevelType w:val="hybridMultilevel"/>
    <w:tmpl w:val="B81A64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15AF4"/>
    <w:multiLevelType w:val="hybridMultilevel"/>
    <w:tmpl w:val="4664D4D0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61F"/>
    <w:rsid w:val="0001028D"/>
    <w:rsid w:val="0001575E"/>
    <w:rsid w:val="00035765"/>
    <w:rsid w:val="000E6BC5"/>
    <w:rsid w:val="00147711"/>
    <w:rsid w:val="00187D60"/>
    <w:rsid w:val="002879CB"/>
    <w:rsid w:val="002B4B65"/>
    <w:rsid w:val="002E7433"/>
    <w:rsid w:val="00422FB8"/>
    <w:rsid w:val="00424A9E"/>
    <w:rsid w:val="00441486"/>
    <w:rsid w:val="00444577"/>
    <w:rsid w:val="0049061F"/>
    <w:rsid w:val="0063454A"/>
    <w:rsid w:val="006A021D"/>
    <w:rsid w:val="006B7909"/>
    <w:rsid w:val="00840558"/>
    <w:rsid w:val="009F55F7"/>
    <w:rsid w:val="00A02349"/>
    <w:rsid w:val="00A0797B"/>
    <w:rsid w:val="00A425E0"/>
    <w:rsid w:val="00A953D0"/>
    <w:rsid w:val="00B0262F"/>
    <w:rsid w:val="00B80D72"/>
    <w:rsid w:val="00BC37E8"/>
    <w:rsid w:val="00C372F0"/>
    <w:rsid w:val="00C462CD"/>
    <w:rsid w:val="00CC753E"/>
    <w:rsid w:val="00D42D24"/>
    <w:rsid w:val="00D832CD"/>
    <w:rsid w:val="00DE62EE"/>
    <w:rsid w:val="00DF4469"/>
    <w:rsid w:val="00E27DB5"/>
    <w:rsid w:val="00E87800"/>
    <w:rsid w:val="00EB6BAE"/>
    <w:rsid w:val="00F127DD"/>
    <w:rsid w:val="00F6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60474"/>
  <w15:docId w15:val="{75C37DDD-CF0E-4579-B707-1FA8D80E3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061F"/>
    <w:pPr>
      <w:spacing w:after="200" w:line="276" w:lineRule="auto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49061F"/>
    <w:pPr>
      <w:spacing w:after="0" w:line="240" w:lineRule="auto"/>
      <w:jc w:val="center"/>
    </w:pPr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mechtexChar">
    <w:name w:val="mechtex Char"/>
    <w:link w:val="mechtex"/>
    <w:rsid w:val="0049061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4906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9061F"/>
    <w:pPr>
      <w:spacing w:after="0" w:line="480" w:lineRule="auto"/>
      <w:ind w:firstLine="709"/>
      <w:jc w:val="both"/>
    </w:pPr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A02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62C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5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4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Sargis Grigoryan</dc:creator>
  <cp:keywords>Mulberry 2.0</cp:keywords>
  <cp:lastModifiedBy>Irina Vardanyan</cp:lastModifiedBy>
  <cp:revision>3</cp:revision>
  <cp:lastPrinted>2022-01-27T07:56:00Z</cp:lastPrinted>
  <dcterms:created xsi:type="dcterms:W3CDTF">2022-02-11T06:43:00Z</dcterms:created>
  <dcterms:modified xsi:type="dcterms:W3CDTF">2022-02-11T06:43:00Z</dcterms:modified>
</cp:coreProperties>
</file>