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B7A77F" w14:textId="77777777" w:rsidR="00FB55B6" w:rsidRPr="00252203" w:rsidRDefault="00FB55B6" w:rsidP="00252203">
      <w:pPr>
        <w:spacing w:after="0" w:line="360" w:lineRule="auto"/>
        <w:jc w:val="center"/>
        <w:rPr>
          <w:rFonts w:ascii="GHEA Grapalat" w:hAnsi="GHEA Grapalat"/>
          <w:b/>
          <w:sz w:val="24"/>
          <w:szCs w:val="24"/>
          <w:lang w:val="hy-AM"/>
        </w:rPr>
      </w:pPr>
      <w:r w:rsidRPr="00252203">
        <w:rPr>
          <w:rFonts w:ascii="GHEA Grapalat" w:hAnsi="GHEA Grapalat"/>
          <w:b/>
          <w:sz w:val="24"/>
          <w:szCs w:val="24"/>
          <w:lang w:val="hy-AM"/>
        </w:rPr>
        <w:t>ՀԻՄՆԱՎՈՐՈՒՄ</w:t>
      </w:r>
    </w:p>
    <w:p w14:paraId="3AA1AE3F" w14:textId="77777777" w:rsidR="00FB55B6" w:rsidRPr="00252203" w:rsidRDefault="00FB55B6" w:rsidP="00252203">
      <w:pPr>
        <w:spacing w:after="0" w:line="360" w:lineRule="auto"/>
        <w:jc w:val="center"/>
        <w:rPr>
          <w:rFonts w:ascii="GHEA Grapalat" w:hAnsi="GHEA Grapalat"/>
          <w:b/>
          <w:sz w:val="24"/>
          <w:szCs w:val="24"/>
          <w:lang w:val="hy-AM"/>
        </w:rPr>
      </w:pPr>
    </w:p>
    <w:p w14:paraId="67A66B12" w14:textId="6860C66C" w:rsidR="00FB55B6" w:rsidRPr="00252203" w:rsidRDefault="00FB55B6" w:rsidP="00252203">
      <w:pPr>
        <w:spacing w:after="0" w:line="360" w:lineRule="auto"/>
        <w:jc w:val="center"/>
        <w:rPr>
          <w:rFonts w:ascii="GHEA Grapalat" w:hAnsi="GHEA Grapalat" w:cs="Sylfaen"/>
          <w:b/>
          <w:bCs/>
          <w:sz w:val="24"/>
          <w:szCs w:val="24"/>
          <w:lang w:val="hy-AM"/>
        </w:rPr>
      </w:pPr>
      <w:r w:rsidRPr="00252203">
        <w:rPr>
          <w:rFonts w:ascii="GHEA Grapalat" w:hAnsi="GHEA Grapalat"/>
          <w:b/>
          <w:bCs/>
          <w:sz w:val="24"/>
          <w:szCs w:val="24"/>
          <w:lang w:val="hy-AM"/>
        </w:rPr>
        <w:t>«ԲԱՐՁՐԱՎՈԼՏ ԷԼԵԿՏՐԱՑԱՆՑԵՐ» ՓԱԿ ԲԱԺՆԵՏԻՐԱԿԱՆ ԸՆԿԵՐՈՒԹՅԱՆ 220/110/35/10/6</w:t>
      </w:r>
      <w:r w:rsidRPr="00252203">
        <w:rPr>
          <w:rFonts w:ascii="GHEA Grapalat" w:hAnsi="GHEA Grapalat" w:cs="Calibri"/>
          <w:b/>
          <w:bCs/>
          <w:sz w:val="24"/>
          <w:szCs w:val="24"/>
          <w:lang w:val="hy-AM"/>
        </w:rPr>
        <w:t xml:space="preserve"> </w:t>
      </w:r>
      <w:r w:rsidRPr="00252203">
        <w:rPr>
          <w:rFonts w:ascii="GHEA Grapalat" w:hAnsi="GHEA Grapalat"/>
          <w:b/>
          <w:bCs/>
          <w:sz w:val="24"/>
          <w:szCs w:val="24"/>
          <w:lang w:val="hy-AM"/>
        </w:rPr>
        <w:t>ԿՎ «ՇԻՆՈՒՀԱՅՐ» ԵՎ 220/110/6</w:t>
      </w:r>
      <w:r w:rsidRPr="00252203">
        <w:rPr>
          <w:rFonts w:ascii="GHEA Grapalat" w:hAnsi="GHEA Grapalat" w:cs="Calibri"/>
          <w:b/>
          <w:bCs/>
          <w:sz w:val="24"/>
          <w:szCs w:val="24"/>
          <w:lang w:val="hy-AM"/>
        </w:rPr>
        <w:t xml:space="preserve"> </w:t>
      </w:r>
      <w:r w:rsidRPr="00252203">
        <w:rPr>
          <w:rFonts w:ascii="GHEA Grapalat" w:hAnsi="GHEA Grapalat"/>
          <w:b/>
          <w:bCs/>
          <w:sz w:val="24"/>
          <w:szCs w:val="24"/>
          <w:lang w:val="hy-AM"/>
        </w:rPr>
        <w:t>ԿՎ «ԱԳԱՐԱԿ-2» ԵՆԹԱԿԱՅԱՆՆԵՐԻ ՎԵՐԱԿԱՌՈՒՑՄԱՆ ԱՇԽԱՏԱՆՔՆԵՐԻ ԳՆՄԱՆ ԸՆԹԱՑԱԿԱՐԳ</w:t>
      </w:r>
      <w:r w:rsidR="00DE4149">
        <w:rPr>
          <w:rFonts w:ascii="GHEA Grapalat" w:hAnsi="GHEA Grapalat"/>
          <w:b/>
          <w:bCs/>
          <w:sz w:val="24"/>
          <w:szCs w:val="24"/>
          <w:lang w:val="hy-AM"/>
        </w:rPr>
        <w:t>ՈՒՄ</w:t>
      </w:r>
      <w:r w:rsidRPr="00252203">
        <w:rPr>
          <w:rFonts w:ascii="GHEA Grapalat" w:hAnsi="GHEA Grapalat"/>
          <w:b/>
          <w:bCs/>
          <w:sz w:val="24"/>
          <w:szCs w:val="24"/>
          <w:lang w:val="hy-AM"/>
        </w:rPr>
        <w:t xml:space="preserve"> ՄԱՍՆԱԿԻՑՆԵՐԻ ՈՐԱԿԱՎՈՐՄԱՆ ՉԱՓԱՆԻՇՆԵՐ</w:t>
      </w:r>
      <w:r w:rsidR="00DE4149">
        <w:rPr>
          <w:rFonts w:ascii="GHEA Grapalat" w:hAnsi="GHEA Grapalat"/>
          <w:b/>
          <w:bCs/>
          <w:sz w:val="24"/>
          <w:szCs w:val="24"/>
          <w:lang w:val="hy-AM"/>
        </w:rPr>
        <w:t xml:space="preserve"> ԿԻՐԱՌԵԼՈՒ </w:t>
      </w:r>
      <w:r w:rsidRPr="00252203">
        <w:rPr>
          <w:rFonts w:ascii="GHEA Grapalat" w:hAnsi="GHEA Grapalat"/>
          <w:b/>
          <w:bCs/>
          <w:sz w:val="24"/>
          <w:szCs w:val="24"/>
          <w:lang w:val="hy-AM"/>
        </w:rPr>
        <w:t xml:space="preserve">ՄԱՍԻՆ» </w:t>
      </w:r>
      <w:r w:rsidRPr="00252203">
        <w:rPr>
          <w:rFonts w:ascii="GHEA Grapalat" w:hAnsi="GHEA Grapalat" w:cs="Sylfaen"/>
          <w:b/>
          <w:bCs/>
          <w:sz w:val="24"/>
          <w:szCs w:val="24"/>
          <w:lang w:val="hy-AM"/>
        </w:rPr>
        <w:t>ՀՀ ԿԱՌԱՎԱՐՈՒԹՅԱՆ ՈՐՈՇՄԱՆ ԸՆԴՈՒՆՄԱՆ ԱՆՀՐԱԺԵՇՏՈՒԹՅԱՆ ՎԵՐԱԲԵՐՅԱԼ</w:t>
      </w:r>
    </w:p>
    <w:p w14:paraId="7CECEEE6" w14:textId="77777777" w:rsidR="00252203" w:rsidRPr="00252203" w:rsidRDefault="00252203" w:rsidP="00252203">
      <w:pPr>
        <w:spacing w:after="0" w:line="360" w:lineRule="auto"/>
        <w:jc w:val="center"/>
        <w:rPr>
          <w:rFonts w:ascii="GHEA Grapalat" w:hAnsi="GHEA Grapalat" w:cs="Sylfaen"/>
          <w:b/>
          <w:bCs/>
          <w:sz w:val="24"/>
          <w:szCs w:val="24"/>
          <w:lang w:val="hy-AM"/>
        </w:rPr>
      </w:pPr>
    </w:p>
    <w:tbl>
      <w:tblPr>
        <w:tblW w:w="5424" w:type="pct"/>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5"/>
        <w:gridCol w:w="10523"/>
      </w:tblGrid>
      <w:tr w:rsidR="00FB55B6" w:rsidRPr="00252203" w14:paraId="53E16683" w14:textId="77777777" w:rsidTr="00252203">
        <w:tc>
          <w:tcPr>
            <w:tcW w:w="5000" w:type="pct"/>
            <w:gridSpan w:val="2"/>
            <w:shd w:val="clear" w:color="auto" w:fill="D9D9D9"/>
            <w:vAlign w:val="center"/>
          </w:tcPr>
          <w:p w14:paraId="7666769D" w14:textId="77777777" w:rsidR="00FB55B6" w:rsidRPr="00252203" w:rsidRDefault="00FB55B6" w:rsidP="00252203">
            <w:pPr>
              <w:spacing w:after="0" w:line="360" w:lineRule="auto"/>
              <w:jc w:val="center"/>
              <w:rPr>
                <w:rFonts w:ascii="GHEA Grapalat" w:hAnsi="GHEA Grapalat"/>
                <w:b/>
                <w:sz w:val="24"/>
                <w:szCs w:val="24"/>
              </w:rPr>
            </w:pPr>
            <w:proofErr w:type="spellStart"/>
            <w:r w:rsidRPr="00252203">
              <w:rPr>
                <w:rFonts w:ascii="GHEA Grapalat" w:hAnsi="GHEA Grapalat"/>
                <w:b/>
                <w:sz w:val="24"/>
                <w:szCs w:val="24"/>
              </w:rPr>
              <w:t>Իրավական</w:t>
            </w:r>
            <w:proofErr w:type="spellEnd"/>
            <w:r w:rsidRPr="00252203">
              <w:rPr>
                <w:rFonts w:ascii="GHEA Grapalat" w:hAnsi="GHEA Grapalat"/>
                <w:b/>
                <w:sz w:val="24"/>
                <w:szCs w:val="24"/>
              </w:rPr>
              <w:t xml:space="preserve"> </w:t>
            </w:r>
            <w:proofErr w:type="spellStart"/>
            <w:r w:rsidRPr="00252203">
              <w:rPr>
                <w:rFonts w:ascii="GHEA Grapalat" w:hAnsi="GHEA Grapalat"/>
                <w:b/>
                <w:sz w:val="24"/>
                <w:szCs w:val="24"/>
              </w:rPr>
              <w:t>ակտի</w:t>
            </w:r>
            <w:proofErr w:type="spellEnd"/>
            <w:r w:rsidRPr="00252203">
              <w:rPr>
                <w:rFonts w:ascii="GHEA Grapalat" w:hAnsi="GHEA Grapalat"/>
                <w:b/>
                <w:sz w:val="24"/>
                <w:szCs w:val="24"/>
              </w:rPr>
              <w:t xml:space="preserve"> </w:t>
            </w:r>
            <w:proofErr w:type="spellStart"/>
            <w:r w:rsidRPr="00252203">
              <w:rPr>
                <w:rFonts w:ascii="GHEA Grapalat" w:hAnsi="GHEA Grapalat"/>
                <w:b/>
                <w:sz w:val="24"/>
                <w:szCs w:val="24"/>
              </w:rPr>
              <w:t>հիմնավորումը</w:t>
            </w:r>
            <w:proofErr w:type="spellEnd"/>
          </w:p>
        </w:tc>
      </w:tr>
      <w:tr w:rsidR="00FB55B6" w:rsidRPr="00252203" w14:paraId="1604313E" w14:textId="77777777" w:rsidTr="00252203">
        <w:tc>
          <w:tcPr>
            <w:tcW w:w="242" w:type="pct"/>
          </w:tcPr>
          <w:p w14:paraId="092684A3" w14:textId="77777777" w:rsidR="00FB55B6" w:rsidRPr="00252203" w:rsidRDefault="00FB55B6" w:rsidP="00252203">
            <w:pPr>
              <w:spacing w:after="0" w:line="360" w:lineRule="auto"/>
              <w:jc w:val="center"/>
              <w:rPr>
                <w:rFonts w:ascii="GHEA Grapalat" w:hAnsi="GHEA Grapalat"/>
                <w:sz w:val="24"/>
                <w:szCs w:val="24"/>
              </w:rPr>
            </w:pPr>
          </w:p>
        </w:tc>
        <w:tc>
          <w:tcPr>
            <w:tcW w:w="4758" w:type="pct"/>
          </w:tcPr>
          <w:p w14:paraId="25BB1AE9" w14:textId="77777777" w:rsidR="00FB55B6" w:rsidRPr="00252203" w:rsidRDefault="00FB55B6" w:rsidP="00252203">
            <w:pPr>
              <w:pStyle w:val="ListParagraph"/>
              <w:spacing w:after="0" w:line="360" w:lineRule="auto"/>
              <w:ind w:left="0"/>
              <w:jc w:val="both"/>
              <w:rPr>
                <w:rFonts w:ascii="GHEA Grapalat" w:hAnsi="GHEA Grapalat" w:cs="Calibri"/>
                <w:b/>
                <w:sz w:val="24"/>
                <w:szCs w:val="24"/>
                <w:lang w:val="hy-AM"/>
              </w:rPr>
            </w:pPr>
            <w:r w:rsidRPr="00252203">
              <w:rPr>
                <w:rFonts w:ascii="GHEA Grapalat" w:eastAsia="Times New Roman" w:hAnsi="GHEA Grapalat"/>
                <w:b/>
                <w:sz w:val="24"/>
                <w:szCs w:val="24"/>
                <w:lang w:val="hy-AM"/>
              </w:rPr>
              <w:t>Կարգավորման ենթակա խնդրի սահմանումը և առկա իրավիճակը</w:t>
            </w:r>
          </w:p>
        </w:tc>
      </w:tr>
      <w:tr w:rsidR="00FB55B6" w:rsidRPr="00446473" w14:paraId="22BFE30D" w14:textId="77777777" w:rsidTr="00252203">
        <w:tc>
          <w:tcPr>
            <w:tcW w:w="242" w:type="pct"/>
          </w:tcPr>
          <w:p w14:paraId="39E1CDC6" w14:textId="77777777" w:rsidR="00FB55B6" w:rsidRPr="00252203" w:rsidRDefault="00FB55B6" w:rsidP="00252203">
            <w:pPr>
              <w:spacing w:after="0" w:line="360" w:lineRule="auto"/>
              <w:rPr>
                <w:rFonts w:ascii="GHEA Grapalat" w:hAnsi="GHEA Grapalat"/>
                <w:sz w:val="24"/>
                <w:szCs w:val="24"/>
              </w:rPr>
            </w:pPr>
          </w:p>
        </w:tc>
        <w:tc>
          <w:tcPr>
            <w:tcW w:w="4758" w:type="pct"/>
          </w:tcPr>
          <w:p w14:paraId="269FEBE3" w14:textId="77777777" w:rsidR="00FB55B6" w:rsidRPr="00252203" w:rsidRDefault="00FB55B6" w:rsidP="00252203">
            <w:pPr>
              <w:spacing w:after="0" w:line="360" w:lineRule="auto"/>
              <w:jc w:val="both"/>
              <w:rPr>
                <w:rFonts w:ascii="GHEA Grapalat" w:hAnsi="GHEA Grapalat" w:cs="Sylfaen"/>
                <w:sz w:val="24"/>
                <w:szCs w:val="24"/>
                <w:lang w:val="hy-AM"/>
              </w:rPr>
            </w:pPr>
            <w:r w:rsidRPr="00252203">
              <w:rPr>
                <w:rFonts w:ascii="GHEA Grapalat" w:hAnsi="GHEA Grapalat" w:cs="Sylfaen"/>
                <w:sz w:val="24"/>
                <w:szCs w:val="24"/>
                <w:lang w:val="hy-AM"/>
              </w:rPr>
              <w:t>220/110/35/10/6</w:t>
            </w:r>
            <w:r w:rsidRPr="00252203">
              <w:rPr>
                <w:rFonts w:ascii="Calibri" w:hAnsi="Calibri" w:cs="Calibri"/>
                <w:sz w:val="24"/>
                <w:szCs w:val="24"/>
                <w:lang w:val="hy-AM"/>
              </w:rPr>
              <w:t> </w:t>
            </w:r>
            <w:r w:rsidRPr="00252203">
              <w:rPr>
                <w:rFonts w:ascii="GHEA Grapalat" w:hAnsi="GHEA Grapalat" w:cs="Sylfaen"/>
                <w:sz w:val="24"/>
                <w:szCs w:val="24"/>
                <w:lang w:val="hy-AM"/>
              </w:rPr>
              <w:t>կՎ «Շինուհայր» ենթակայանը կառուցվել է դեռևս 1961թ.: 2004թ. իրականացվել է ենթակայանի մասնակի վերակառուցում՝ փոխարինելով սարքավորումների մի մասը: 220</w:t>
            </w:r>
            <w:r w:rsidRPr="00252203">
              <w:rPr>
                <w:rFonts w:ascii="GHEA Grapalat" w:hAnsi="GHEA Grapalat" w:cs="Sylfaen"/>
                <w:sz w:val="24"/>
                <w:szCs w:val="24"/>
              </w:rPr>
              <w:t xml:space="preserve"> </w:t>
            </w:r>
            <w:r w:rsidRPr="00252203">
              <w:rPr>
                <w:rFonts w:ascii="GHEA Grapalat" w:hAnsi="GHEA Grapalat" w:cs="Sylfaen"/>
                <w:sz w:val="24"/>
                <w:szCs w:val="24"/>
                <w:lang w:val="hy-AM"/>
              </w:rPr>
              <w:t xml:space="preserve">կՎ «Ագարակ-2» ենթակայանը կառուցվել է </w:t>
            </w:r>
            <w:r w:rsidRPr="00252203">
              <w:rPr>
                <w:rFonts w:ascii="GHEA Grapalat" w:hAnsi="GHEA Grapalat" w:cs="Sylfaen"/>
                <w:sz w:val="24"/>
                <w:szCs w:val="24"/>
                <w:lang w:val="hy-AM"/>
              </w:rPr>
              <w:br/>
              <w:t>2002թ.-ին` որպես 220</w:t>
            </w:r>
            <w:r w:rsidRPr="00252203">
              <w:rPr>
                <w:rFonts w:ascii="GHEA Grapalat" w:hAnsi="GHEA Grapalat" w:cs="Sylfaen"/>
                <w:sz w:val="24"/>
                <w:szCs w:val="24"/>
              </w:rPr>
              <w:t xml:space="preserve"> </w:t>
            </w:r>
            <w:r w:rsidRPr="00252203">
              <w:rPr>
                <w:rFonts w:ascii="GHEA Grapalat" w:hAnsi="GHEA Grapalat" w:cs="Sylfaen"/>
                <w:sz w:val="24"/>
                <w:szCs w:val="24"/>
                <w:lang w:val="hy-AM"/>
              </w:rPr>
              <w:t xml:space="preserve">կՎ փոխանջատման կետ: </w:t>
            </w:r>
          </w:p>
          <w:p w14:paraId="60293DD4" w14:textId="77777777" w:rsidR="00FB55B6" w:rsidRPr="00252203" w:rsidRDefault="00FB55B6" w:rsidP="00252203">
            <w:pPr>
              <w:spacing w:after="0" w:line="360" w:lineRule="auto"/>
              <w:jc w:val="both"/>
              <w:rPr>
                <w:rFonts w:ascii="GHEA Grapalat" w:hAnsi="GHEA Grapalat" w:cs="Sylfaen"/>
                <w:sz w:val="24"/>
                <w:szCs w:val="24"/>
                <w:lang w:val="hy-AM"/>
              </w:rPr>
            </w:pPr>
            <w:r w:rsidRPr="00252203">
              <w:rPr>
                <w:rFonts w:ascii="GHEA Grapalat" w:hAnsi="GHEA Grapalat" w:cs="Sylfaen"/>
                <w:sz w:val="24"/>
                <w:szCs w:val="24"/>
                <w:lang w:val="hy-AM"/>
              </w:rPr>
              <w:t xml:space="preserve">Հաշվի առնելով </w:t>
            </w:r>
            <w:r w:rsidRPr="00252203">
              <w:rPr>
                <w:rFonts w:ascii="GHEA Grapalat" w:hAnsi="GHEA Grapalat"/>
                <w:sz w:val="24"/>
                <w:szCs w:val="24"/>
                <w:lang w:val="hy-AM"/>
              </w:rPr>
              <w:t xml:space="preserve">երկարամյա շահագործման արդյունքում </w:t>
            </w:r>
            <w:r w:rsidRPr="00252203">
              <w:rPr>
                <w:rFonts w:ascii="GHEA Grapalat" w:hAnsi="GHEA Grapalat" w:cs="Sylfaen"/>
                <w:sz w:val="24"/>
                <w:szCs w:val="24"/>
                <w:lang w:val="hy-AM"/>
              </w:rPr>
              <w:t>«Շինուհայր» ենթակայանի</w:t>
            </w:r>
            <w:r w:rsidRPr="00252203">
              <w:rPr>
                <w:rFonts w:ascii="GHEA Grapalat" w:hAnsi="GHEA Grapalat"/>
                <w:sz w:val="24"/>
                <w:szCs w:val="24"/>
                <w:lang w:val="hy-AM"/>
              </w:rPr>
              <w:t xml:space="preserve"> էլեկտրական սարքավորումների և ենթակառուցվածքների ֆիզիկական և բարոյական մաշվածությունը, ինչպես նաև երկրի հարավային հատվածում </w:t>
            </w:r>
            <w:r w:rsidRPr="00252203">
              <w:rPr>
                <w:rFonts w:ascii="GHEA Grapalat" w:hAnsi="GHEA Grapalat" w:cs="Sylfaen"/>
                <w:sz w:val="24"/>
                <w:szCs w:val="24"/>
                <w:lang w:val="hy-AM"/>
              </w:rPr>
              <w:t>էներգահոսքերի էֆեկտիվ կառավարման անհրաժեշտությունը,</w:t>
            </w:r>
            <w:r w:rsidRPr="00252203">
              <w:rPr>
                <w:rFonts w:ascii="GHEA Grapalat" w:hAnsi="GHEA Grapalat"/>
                <w:sz w:val="24"/>
                <w:szCs w:val="24"/>
                <w:lang w:val="hy-AM"/>
              </w:rPr>
              <w:t xml:space="preserve"> </w:t>
            </w:r>
            <w:r w:rsidRPr="00252203">
              <w:rPr>
                <w:rFonts w:ascii="GHEA Grapalat" w:hAnsi="GHEA Grapalat" w:cs="Sylfaen"/>
                <w:sz w:val="24"/>
                <w:szCs w:val="24"/>
                <w:lang w:val="hy-AM"/>
              </w:rPr>
              <w:t xml:space="preserve">2017-2018թթ. Ասիական զարգացման բանկի աջակցությամբ նախաձեռնվել է «Շինուհայր» ենթակայանի ամբողջական վերակառուցման և 220 կՎ «Ագարակ-2» փոխանջատիչ կետը՝ 220/110/6 կՎ </w:t>
            </w:r>
            <w:r w:rsidRPr="00252203">
              <w:rPr>
                <w:rFonts w:ascii="GHEA Grapalat" w:hAnsi="GHEA Grapalat" w:cs="Sylfaen"/>
                <w:sz w:val="24"/>
                <w:szCs w:val="24"/>
                <w:lang w:val="hy-AM"/>
              </w:rPr>
              <w:br/>
              <w:t>«Ագարակ-2» ենթակայանի վերակառուցման աշխատանքները:</w:t>
            </w:r>
          </w:p>
          <w:p w14:paraId="2935CA1B" w14:textId="77777777" w:rsidR="00FB55B6" w:rsidRPr="00252203" w:rsidRDefault="00FB55B6" w:rsidP="00252203">
            <w:pPr>
              <w:spacing w:after="0" w:line="360" w:lineRule="auto"/>
              <w:jc w:val="both"/>
              <w:rPr>
                <w:rFonts w:ascii="GHEA Grapalat" w:hAnsi="GHEA Grapalat" w:cs="Sylfaen"/>
                <w:sz w:val="24"/>
                <w:szCs w:val="24"/>
                <w:lang w:val="hy-AM"/>
              </w:rPr>
            </w:pPr>
            <w:r w:rsidRPr="00252203">
              <w:rPr>
                <w:rFonts w:ascii="GHEA Grapalat" w:hAnsi="GHEA Grapalat" w:cs="Sylfaen"/>
                <w:sz w:val="24"/>
                <w:szCs w:val="24"/>
                <w:lang w:val="hy-AM"/>
              </w:rPr>
              <w:t>Ընտրված չինական կապալառուի կողմից ենթակայանների վերակառուցման համար անհրաժեշտ սարքերի, սարքավորումների և նյութերի շուրջ 95</w:t>
            </w:r>
            <w:r w:rsidRPr="00252203">
              <w:rPr>
                <w:rFonts w:ascii="Calibri" w:hAnsi="Calibri" w:cs="Calibri"/>
                <w:sz w:val="24"/>
                <w:szCs w:val="24"/>
                <w:lang w:val="hy-AM"/>
              </w:rPr>
              <w:t> </w:t>
            </w:r>
            <w:r w:rsidRPr="00252203">
              <w:rPr>
                <w:rFonts w:ascii="GHEA Grapalat" w:hAnsi="GHEA Grapalat" w:cs="Sylfaen"/>
                <w:sz w:val="24"/>
                <w:szCs w:val="24"/>
                <w:lang w:val="hy-AM"/>
              </w:rPr>
              <w:t xml:space="preserve">%-ը մատակարարելուց,  մասամբ մոնտաժելուց հետո տեղանքը լքելու և աշխատանքներն ավարտին չհասցնելու հիմքով պատվիրատուի կողմից պայմանագրով սահմանված տույժը գանձելուց հետո չինական կապալառուի հետ կնքված պայմանագիրը միակողմանի լուծվել է և որոշում է կայացվել ենթակայանների վերակառուցման աշխատանքներն ավարտին հասցնել «Բարձրավոլտ էլեկտրացանցեր» ՓԲԸ-ի (այսուհետ՝ Ընկերություն) միջոցներով: </w:t>
            </w:r>
          </w:p>
          <w:p w14:paraId="0F972A5B" w14:textId="77777777" w:rsidR="00FB55B6" w:rsidRPr="00252203" w:rsidRDefault="00FB55B6" w:rsidP="00252203">
            <w:pPr>
              <w:spacing w:after="0" w:line="360" w:lineRule="auto"/>
              <w:jc w:val="both"/>
              <w:rPr>
                <w:rFonts w:ascii="GHEA Grapalat" w:hAnsi="GHEA Grapalat" w:cs="Sylfaen"/>
                <w:sz w:val="24"/>
                <w:szCs w:val="24"/>
                <w:lang w:val="hy-AM"/>
              </w:rPr>
            </w:pPr>
            <w:r w:rsidRPr="00252203">
              <w:rPr>
                <w:rFonts w:ascii="GHEA Grapalat" w:hAnsi="GHEA Grapalat" w:cs="Sylfaen"/>
                <w:sz w:val="24"/>
                <w:szCs w:val="24"/>
                <w:lang w:val="hy-AM"/>
              </w:rPr>
              <w:t xml:space="preserve">Ենթակայանների վերակառուցման աշխատանքների՝ ՀՀ օրենսդրությամբ գնման ընթացակարգ նախաձեռնելու նպատակով, իրականացվել են ենթակայանների </w:t>
            </w:r>
            <w:r w:rsidRPr="00252203">
              <w:rPr>
                <w:rFonts w:ascii="GHEA Grapalat" w:hAnsi="GHEA Grapalat" w:cs="Sylfaen"/>
                <w:sz w:val="24"/>
                <w:szCs w:val="24"/>
                <w:lang w:val="hy-AM"/>
              </w:rPr>
              <w:lastRenderedPageBreak/>
              <w:t>վերակառուցման աշխատանքների նախագծային փաստաթղթերի մշակում և փորձաքննություն:</w:t>
            </w:r>
          </w:p>
          <w:p w14:paraId="35408F8B" w14:textId="77777777" w:rsidR="00FB55B6" w:rsidRPr="00252203" w:rsidRDefault="00FB55B6" w:rsidP="00252203">
            <w:pPr>
              <w:spacing w:after="0" w:line="360" w:lineRule="auto"/>
              <w:jc w:val="both"/>
              <w:rPr>
                <w:rFonts w:ascii="GHEA Grapalat" w:hAnsi="GHEA Grapalat" w:cs="Sylfaen"/>
                <w:sz w:val="24"/>
                <w:szCs w:val="24"/>
                <w:lang w:val="hy-AM"/>
              </w:rPr>
            </w:pPr>
            <w:r w:rsidRPr="00252203">
              <w:rPr>
                <w:rFonts w:ascii="GHEA Grapalat" w:hAnsi="GHEA Grapalat" w:cs="Sylfaen"/>
                <w:sz w:val="24"/>
                <w:szCs w:val="24"/>
                <w:lang w:val="hy-AM"/>
              </w:rPr>
              <w:t>Ընկերության՝ նախկինում վերակառուցված և ներկայումս վերակառուցման ընթացքում գտնվող բարձրավոլտ ենթակայաններում աշխատանքներն իրականացվել և այժմ էլ իրականացվում են միջազգային վարկատու կազմակերպությունների (Վերակառուցման և զարգացման միջազգային բանկ, Գերմանիայի վերականգնման վարկերի բանկ, Ասիական զարգացման բանկ և այլն) ֆինանսավորմամբ՝ Հայաստանի Հանրապետության հետ ստորագրված միջազգային պայմանագրերի շրջանակներում, ինչով պայմանավորված, ծրագրերի շրջանակներում մրցույթներն իրականացվել և իրականացվում են ֆինանսավորող կազմակերպությունների կողմից հաստատված կանոնակարգերով և ուղեցույցերով, որոնց համաձայն, պայմանագրի շնորհման նպատակով հայտարարված մրցույթի հրավերով պարտադիր սահմանվում են մասնակիցների որակավորման, մասնավորապես՝ ֆինանսական և փորձառության չափանիշներ: Որակավորման չափանաշների սահմանումը հնարավորութուն է ընձեռում զերծ մնալ ֆինանսապես անկայուն և երբևէ նմանատիպ առաջադրանք չիրականացրած ընկերությանը երկրի ռազմավարական նշանակություն ունեցող ենթակառուցվածքների վերակառուցման առաջադրանքի պատվիրման ռիսկից:</w:t>
            </w:r>
          </w:p>
          <w:p w14:paraId="08CFA0F7" w14:textId="77777777" w:rsidR="00FB55B6" w:rsidRPr="00252203" w:rsidRDefault="00FB55B6" w:rsidP="00252203">
            <w:pPr>
              <w:spacing w:after="0" w:line="360" w:lineRule="auto"/>
              <w:jc w:val="both"/>
              <w:rPr>
                <w:rFonts w:ascii="GHEA Grapalat" w:hAnsi="GHEA Grapalat" w:cs="Sylfaen"/>
                <w:sz w:val="24"/>
                <w:szCs w:val="24"/>
                <w:lang w:val="hy-AM"/>
              </w:rPr>
            </w:pPr>
            <w:r w:rsidRPr="00252203">
              <w:rPr>
                <w:rFonts w:ascii="GHEA Grapalat" w:hAnsi="GHEA Grapalat" w:cs="Sylfaen"/>
                <w:sz w:val="24"/>
                <w:szCs w:val="24"/>
                <w:lang w:val="hy-AM"/>
              </w:rPr>
              <w:t>Ի համեմատություն միջազգային զարգացման բանկերի գնման ուղեցույցերով սահմանված որակավորման ընթացակարգերի, ՀՀ օրենսդրությամբ՝ ենթաօրենսդրական մակարդակում, մասնակիցների որակավորման չափանիշների սահմանումը սահմանափակված է որակավորման և կատարման ապահովման երաշխիքների ներկայացումով: Մասնավորապես՝</w:t>
            </w:r>
          </w:p>
          <w:p w14:paraId="205ED290" w14:textId="77777777" w:rsidR="00FB55B6" w:rsidRPr="00252203" w:rsidRDefault="00FB55B6" w:rsidP="00252203">
            <w:pPr>
              <w:spacing w:after="0" w:line="360" w:lineRule="auto"/>
              <w:jc w:val="both"/>
              <w:rPr>
                <w:rFonts w:ascii="GHEA Grapalat" w:hAnsi="GHEA Grapalat" w:cs="Sylfaen"/>
                <w:sz w:val="24"/>
                <w:szCs w:val="24"/>
                <w:lang w:val="hy-AM"/>
              </w:rPr>
            </w:pPr>
            <w:r w:rsidRPr="00252203">
              <w:rPr>
                <w:rFonts w:ascii="GHEA Grapalat" w:hAnsi="GHEA Grapalat" w:cs="Sylfaen"/>
                <w:sz w:val="24"/>
                <w:szCs w:val="24"/>
                <w:lang w:val="hy-AM"/>
              </w:rPr>
              <w:t>«Գնումների մասին» ՀՀ օրենքի 6-րդ հոդվածի 3-րդ մասի համաձայն՝ մասնակիցը պետք է բավարարի հրավերով սահմանված որակավորման չափանիշները: Մասնակիցը պետք է ունենա պայմանագրով նախատեսված պարտավորությունների կատարման համար հրավերով պահանջվող` մասնագիտական գործունեության համապատասխանություն պայմանագրով նախատեսված գործունեությանը, մասնագիտական փորձառություն, տեխնիկական միջոցներ, ֆինանսական միջոցներ, աշխատանքային ռեսուրսներ:</w:t>
            </w:r>
          </w:p>
          <w:p w14:paraId="70C0A5F1" w14:textId="77777777" w:rsidR="00FB55B6" w:rsidRPr="00252203" w:rsidRDefault="00FB55B6" w:rsidP="00252203">
            <w:pPr>
              <w:spacing w:after="0" w:line="360" w:lineRule="auto"/>
              <w:jc w:val="both"/>
              <w:rPr>
                <w:rFonts w:ascii="GHEA Grapalat" w:hAnsi="GHEA Grapalat" w:cs="Sylfaen"/>
                <w:sz w:val="24"/>
                <w:szCs w:val="24"/>
                <w:lang w:val="hy-AM"/>
              </w:rPr>
            </w:pPr>
            <w:r w:rsidRPr="00252203">
              <w:rPr>
                <w:rFonts w:ascii="GHEA Grapalat" w:hAnsi="GHEA Grapalat" w:cs="Sylfaen"/>
                <w:sz w:val="24"/>
                <w:szCs w:val="24"/>
                <w:lang w:val="hy-AM"/>
              </w:rPr>
              <w:t xml:space="preserve">Նույն հոդվածի 4-րդ մասի համաձայն՝ չեն կարող սահմանվել մասնակցի` գնումներին մասնակցելու իրավունքի և որակավորման հետ կապված այնպիսի չափանիշներ, որոնք նախատեսված չեն սույն հոդվածով, խտրական են և սահմանափակում են մրցակցությունը` անհիմն կերպով բարդացնում կամ պարզեցնում են հնարավոր մասնակցությունը գնման </w:t>
            </w:r>
            <w:r w:rsidRPr="00252203">
              <w:rPr>
                <w:rFonts w:ascii="GHEA Grapalat" w:hAnsi="GHEA Grapalat" w:cs="Sylfaen"/>
                <w:sz w:val="24"/>
                <w:szCs w:val="24"/>
                <w:lang w:val="hy-AM"/>
              </w:rPr>
              <w:lastRenderedPageBreak/>
              <w:t>գործընթացին, համարժեք չեն` ուղղակիորեն չեն բխում պայմանագրով նախատեսված պարտավորությունների կատարման անհրաժեշտությունից:</w:t>
            </w:r>
          </w:p>
          <w:p w14:paraId="29AB0145" w14:textId="77777777" w:rsidR="00FB55B6" w:rsidRPr="00252203" w:rsidRDefault="00FB55B6" w:rsidP="00252203">
            <w:pPr>
              <w:spacing w:after="0" w:line="360" w:lineRule="auto"/>
              <w:jc w:val="both"/>
              <w:rPr>
                <w:rFonts w:ascii="GHEA Grapalat" w:hAnsi="GHEA Grapalat" w:cs="Sylfaen"/>
                <w:sz w:val="24"/>
                <w:szCs w:val="24"/>
                <w:lang w:val="hy-AM"/>
              </w:rPr>
            </w:pPr>
            <w:r w:rsidRPr="00252203">
              <w:rPr>
                <w:rFonts w:ascii="GHEA Grapalat" w:hAnsi="GHEA Grapalat" w:cs="Sylfaen"/>
                <w:sz w:val="24"/>
                <w:szCs w:val="24"/>
                <w:lang w:val="hy-AM"/>
              </w:rPr>
              <w:t xml:space="preserve">ՀՀ կառավարության 2017թ. մայիսի 4-ի N 526-Ն որոշման N 1 հավելվածով հաստատված գնումների գործընթացի կազմակերպման կարգի (այսուհետ՝ Կարգ) </w:t>
            </w:r>
            <w:r w:rsidRPr="00252203">
              <w:rPr>
                <w:rFonts w:ascii="GHEA Grapalat" w:hAnsi="GHEA Grapalat" w:cs="Sylfaen"/>
                <w:sz w:val="24"/>
                <w:szCs w:val="24"/>
                <w:lang w:val="hy-AM"/>
              </w:rPr>
              <w:br/>
              <w:t>32-րդ կետի 1-ին ենթակետի «գ» պարբերության համաձայն՝ հրավերով նախատեսվում է նաև, որ մասնակիցը հայտով ներկայացնում է իր կողմից հաստատված հավաստում՝ […] որակավորման ապահովում ներկայացնելու պարտավորության մասին: Որակավորման ապահովում չի ներկայացվում, եթե ընտրված մասնակիցը […] հայտերը բացելու օրվա դրությամբ ունի միջազգային հեղինակավոր կազմակերպությունների (Fitch, Moodys, Standard &amp; Poor’s ) կողմից շնորհված վարկունակության վարկանիշ […]: Եթե գնման հայտով տվյալ ընթացակարգի շրջանակում գնվելիք ապրանքի, աշխատանքի կամ ծառայության գինը չի գերազանցում գնումների բազային միավորի յոթանասունապատիկը, որակավորման ապահովման չափը հավասար է ընտրված մասնակցի գնային առաջարկի տասնհինգ, իսկ գերազանցելու դեպքում՝ երեսուն տոկոսին […]:</w:t>
            </w:r>
          </w:p>
          <w:p w14:paraId="205C6B24" w14:textId="77777777" w:rsidR="00FB55B6" w:rsidRPr="00252203" w:rsidRDefault="00FB55B6" w:rsidP="00252203">
            <w:pPr>
              <w:spacing w:after="0" w:line="360" w:lineRule="auto"/>
              <w:jc w:val="both"/>
              <w:rPr>
                <w:rFonts w:ascii="GHEA Grapalat" w:hAnsi="GHEA Grapalat" w:cs="Sylfaen"/>
                <w:sz w:val="24"/>
                <w:szCs w:val="24"/>
                <w:lang w:val="hy-AM"/>
              </w:rPr>
            </w:pPr>
            <w:r w:rsidRPr="00252203">
              <w:rPr>
                <w:rFonts w:ascii="GHEA Grapalat" w:hAnsi="GHEA Grapalat" w:cs="Sylfaen"/>
                <w:sz w:val="24"/>
                <w:szCs w:val="24"/>
                <w:lang w:val="hy-AM"/>
              </w:rPr>
              <w:t>Վերոնշյալ իրավական նորմերի, ինչպես նաև Կարգի փոփոխությունների և ինկորպորացիաների համակարգային ուսումնասիրությունը փաստում է, որ Կարգը չի սահմանում մասնակիցների որակավորման չափանիշներ: Մասնակցի որակավորումը գնահատվում է միայն կանխիկ փողի, բանկային երաշխիքի կամ տուժանքի մասին համաձայնության ձևով ներկայացված ապահովումների տեսքով, մինչդեռ որակավորման ապահովան նման կառուցակարգը չի կարող ապահովել պատվիրատուի կարիքին համապատասխանող արդյունքի ստացումը, այն որոշ չափով կարող է միայն մեղմել պայմանագրի ձախողման հետևանքով Ընկերության կրած վնասները: Ասվածը հիմնավորվում է ՀՀ էներգահամակարգի այլ կազմակերպությունների կողմից առանց որակավորման չափանիշների սահմանման՝ ռազմավարական նշանակություն ունեցող ենթակառուցվածքներում աշխատանքների կամ ծառայությունների ձեռք բերման նպատակով իրականացված մրցույթների արդյունքներով ունեցած վատ պրակտիկայով և (կամ) հետևանքներով:</w:t>
            </w:r>
          </w:p>
          <w:p w14:paraId="14870AF7" w14:textId="54E4BFD8" w:rsidR="00FB55B6" w:rsidRPr="00252203" w:rsidRDefault="00FB55B6" w:rsidP="00252203">
            <w:pPr>
              <w:spacing w:after="0" w:line="360" w:lineRule="auto"/>
              <w:jc w:val="both"/>
              <w:rPr>
                <w:rFonts w:ascii="GHEA Grapalat" w:hAnsi="GHEA Grapalat" w:cs="Sylfaen"/>
                <w:sz w:val="24"/>
                <w:szCs w:val="24"/>
                <w:lang w:val="hy-AM"/>
              </w:rPr>
            </w:pPr>
            <w:r w:rsidRPr="00252203">
              <w:rPr>
                <w:rFonts w:ascii="GHEA Grapalat" w:hAnsi="GHEA Grapalat" w:cs="Sylfaen"/>
                <w:sz w:val="24"/>
                <w:szCs w:val="24"/>
                <w:lang w:val="hy-AM"/>
              </w:rPr>
              <w:t xml:space="preserve">Հաշվի առնելով ենթակայանների վերակառուցման աշխատանքները հրատապ և պատշաճ կատարելու համար որակավորված և փորձառու կապալառուի ներգրավման անհրաժեշտությունն, ինչպես նաև այն հանգամանքը, որ ենթակայանների վերակառուցման աշխատանքներն ունեն խիստ սպեցիֆիկ բնույթ և միայն ֆինանսական միջոցների </w:t>
            </w:r>
            <w:r w:rsidRPr="00252203">
              <w:rPr>
                <w:rFonts w:ascii="GHEA Grapalat" w:hAnsi="GHEA Grapalat" w:cs="Sylfaen"/>
                <w:sz w:val="24"/>
                <w:szCs w:val="24"/>
                <w:lang w:val="hy-AM"/>
              </w:rPr>
              <w:lastRenderedPageBreak/>
              <w:t>առկայությունը չի կարող բավարար լինել կապալառուի՝ ենթակայանի վերակառուցման որակավորում ունենալու հանգամանքը հավաստելու համար, ուստի առաջարկվում է ՀՀ կառավարության որոշմամբ ենթակայանների վերակառուցման աշխատանքների գնման ընթացակարգ</w:t>
            </w:r>
            <w:r w:rsidR="00446473">
              <w:rPr>
                <w:rFonts w:ascii="GHEA Grapalat" w:hAnsi="GHEA Grapalat" w:cs="Sylfaen"/>
                <w:sz w:val="24"/>
                <w:szCs w:val="24"/>
                <w:lang w:val="hy-AM"/>
              </w:rPr>
              <w:t xml:space="preserve">ում կիրառել </w:t>
            </w:r>
            <w:r w:rsidRPr="00252203">
              <w:rPr>
                <w:rFonts w:ascii="GHEA Grapalat" w:hAnsi="GHEA Grapalat" w:cs="Sylfaen"/>
                <w:sz w:val="24"/>
                <w:szCs w:val="24"/>
                <w:lang w:val="hy-AM"/>
              </w:rPr>
              <w:t>մասնակիցների որակավորման՝ նմանատիպ աշխատանքների իրականացման փորձառության չափանիշներ, միաժամանակ պահպանելով նաև ընտրված մասնակից ճանաչվելու դեպքում, Օրենքի 35-րդ հոդվածով սահմանված ժամկետում, որակավորման ապահովում ներկայացնելու պահանջը:</w:t>
            </w:r>
          </w:p>
          <w:p w14:paraId="1BBC52C4" w14:textId="77777777" w:rsidR="00FB55B6" w:rsidRPr="00252203" w:rsidRDefault="00FB55B6" w:rsidP="00252203">
            <w:pPr>
              <w:spacing w:after="0" w:line="360" w:lineRule="auto"/>
              <w:jc w:val="both"/>
              <w:rPr>
                <w:rFonts w:ascii="GHEA Grapalat" w:hAnsi="GHEA Grapalat" w:cs="Sylfaen"/>
                <w:sz w:val="24"/>
                <w:szCs w:val="24"/>
                <w:lang w:val="hy-AM"/>
              </w:rPr>
            </w:pPr>
            <w:r w:rsidRPr="00252203">
              <w:rPr>
                <w:rFonts w:ascii="GHEA Grapalat" w:hAnsi="GHEA Grapalat" w:cs="Sylfaen"/>
                <w:sz w:val="24"/>
                <w:szCs w:val="24"/>
                <w:lang w:val="hy-AM"/>
              </w:rPr>
              <w:t xml:space="preserve">Մասնակիցների որակավորման չափանիշները մշակվել են միջազգային վարկատու կազմակերպությունների աջակցությամբ իրականացվող ենթակայանների վերակառուցման ծրագրերում կիրառվող որակավորման չափանիշների հաշվարկման ընթացակարգերի համաձայն, և չեն հակասում «Գնումների մասին» ՀՀ օրենքի 6-րդ հոդվածի 4-րդ մասի կարգավորումներին, քանի որ, առաջարկվող չափանիշները բխում են նախատեսվող պարտավորությունների կատարման անհրաժեշտությունից և Ընկերությունում առկա տեղեկատվության համաձայն՝ առաջարկվող չափանիշներին կարող են բավարարել առնվազն տեղական երեք պոտենցիալ մասնակիցներ՝ որպես մեկ կազմակերպություն կամ միավորման (համատեղ ձեռնակրկության կամ կոնսորցիումի ստեղծման) միջոցով, որոնք մինչ այժմ մասնակցել են ՀՀ-ում իրականացված նմանատիպ ենթակայանների վերակառուցման կամ կառուցման գործընթացում որպես կապալառու կամ ենթակապալառու (ցանկը կցվում է): </w:t>
            </w:r>
          </w:p>
        </w:tc>
      </w:tr>
      <w:tr w:rsidR="00FB55B6" w:rsidRPr="00252203" w14:paraId="0C151C3D" w14:textId="77777777" w:rsidTr="00252203">
        <w:tc>
          <w:tcPr>
            <w:tcW w:w="242" w:type="pct"/>
          </w:tcPr>
          <w:p w14:paraId="367625E4" w14:textId="77777777" w:rsidR="00FB55B6" w:rsidRPr="00252203" w:rsidRDefault="00FB55B6" w:rsidP="00252203">
            <w:pPr>
              <w:spacing w:after="0" w:line="360" w:lineRule="auto"/>
              <w:jc w:val="center"/>
              <w:rPr>
                <w:rFonts w:ascii="GHEA Grapalat" w:hAnsi="GHEA Grapalat"/>
                <w:sz w:val="24"/>
                <w:szCs w:val="24"/>
                <w:lang w:val="hy-AM"/>
              </w:rPr>
            </w:pPr>
          </w:p>
        </w:tc>
        <w:tc>
          <w:tcPr>
            <w:tcW w:w="4758" w:type="pct"/>
          </w:tcPr>
          <w:p w14:paraId="6D987032" w14:textId="77777777" w:rsidR="00FB55B6" w:rsidRPr="00252203" w:rsidRDefault="00FB55B6" w:rsidP="00252203">
            <w:pPr>
              <w:tabs>
                <w:tab w:val="left" w:pos="709"/>
                <w:tab w:val="left" w:pos="851"/>
                <w:tab w:val="left" w:pos="993"/>
              </w:tabs>
              <w:spacing w:line="360" w:lineRule="auto"/>
              <w:jc w:val="both"/>
              <w:rPr>
                <w:rFonts w:ascii="GHEA Grapalat" w:hAnsi="GHEA Grapalat"/>
                <w:b/>
                <w:sz w:val="24"/>
                <w:szCs w:val="24"/>
                <w:lang w:val="hy-AM"/>
              </w:rPr>
            </w:pPr>
            <w:r w:rsidRPr="00252203">
              <w:rPr>
                <w:rFonts w:ascii="GHEA Grapalat" w:hAnsi="GHEA Grapalat"/>
                <w:b/>
                <w:sz w:val="24"/>
                <w:szCs w:val="24"/>
                <w:lang w:val="hy-AM"/>
              </w:rPr>
              <w:t>Կարգավորման նպատակը</w:t>
            </w:r>
          </w:p>
        </w:tc>
      </w:tr>
      <w:tr w:rsidR="00FB55B6" w:rsidRPr="00252203" w14:paraId="0E6D2C43" w14:textId="77777777" w:rsidTr="00252203">
        <w:trPr>
          <w:trHeight w:val="564"/>
        </w:trPr>
        <w:tc>
          <w:tcPr>
            <w:tcW w:w="242" w:type="pct"/>
          </w:tcPr>
          <w:p w14:paraId="20E8FD32" w14:textId="77777777" w:rsidR="00FB55B6" w:rsidRPr="00252203" w:rsidRDefault="00FB55B6" w:rsidP="00252203">
            <w:pPr>
              <w:spacing w:after="0" w:line="360" w:lineRule="auto"/>
              <w:rPr>
                <w:rFonts w:ascii="GHEA Grapalat" w:hAnsi="GHEA Grapalat"/>
                <w:sz w:val="24"/>
                <w:szCs w:val="24"/>
              </w:rPr>
            </w:pPr>
          </w:p>
        </w:tc>
        <w:tc>
          <w:tcPr>
            <w:tcW w:w="4758" w:type="pct"/>
          </w:tcPr>
          <w:p w14:paraId="25462103" w14:textId="3A48AF79" w:rsidR="00FB55B6" w:rsidRPr="00252203" w:rsidRDefault="00FB55B6" w:rsidP="00252203">
            <w:pPr>
              <w:spacing w:after="0" w:line="360" w:lineRule="auto"/>
              <w:jc w:val="both"/>
              <w:rPr>
                <w:rFonts w:ascii="GHEA Grapalat" w:hAnsi="GHEA Grapalat" w:cs="Sylfaen"/>
                <w:sz w:val="24"/>
                <w:szCs w:val="24"/>
                <w:lang w:val="hy-AM"/>
              </w:rPr>
            </w:pPr>
            <w:r w:rsidRPr="00252203">
              <w:rPr>
                <w:rFonts w:ascii="GHEA Grapalat" w:hAnsi="GHEA Grapalat"/>
                <w:sz w:val="24"/>
                <w:szCs w:val="24"/>
                <w:lang w:val="hy-AM"/>
              </w:rPr>
              <w:t xml:space="preserve">ՀՀ կառավարության առաջարկվող որոշման նախագծի </w:t>
            </w:r>
            <w:r w:rsidRPr="00252203">
              <w:rPr>
                <w:rFonts w:ascii="GHEA Grapalat" w:hAnsi="GHEA Grapalat" w:cs="Sylfaen"/>
                <w:sz w:val="24"/>
                <w:szCs w:val="24"/>
                <w:lang w:val="hy-AM"/>
              </w:rPr>
              <w:t>ընդունմամբ առաջարկվում է ենթակայանների վերակառուցման աշխատանքների գնման ընթացակարգ</w:t>
            </w:r>
            <w:r w:rsidR="00DE4149">
              <w:rPr>
                <w:rFonts w:ascii="GHEA Grapalat" w:hAnsi="GHEA Grapalat" w:cs="Sylfaen"/>
                <w:sz w:val="24"/>
                <w:szCs w:val="24"/>
                <w:lang w:val="hy-AM"/>
              </w:rPr>
              <w:t xml:space="preserve">ում կիրառել </w:t>
            </w:r>
            <w:r w:rsidRPr="00252203">
              <w:rPr>
                <w:rFonts w:ascii="GHEA Grapalat" w:hAnsi="GHEA Grapalat" w:cs="Sylfaen"/>
                <w:sz w:val="24"/>
                <w:szCs w:val="24"/>
                <w:lang w:val="hy-AM"/>
              </w:rPr>
              <w:t>մասնակիցների որակավորման չափանիշներ, որի նպատակն է վերոնշյալ աշխատանքներն իրականացնել անհրաժեշտ փորձառություն ունեցող կապալառուի միջոցով:</w:t>
            </w:r>
          </w:p>
        </w:tc>
      </w:tr>
      <w:tr w:rsidR="00FB55B6" w:rsidRPr="00446473" w14:paraId="7D2F8CF3" w14:textId="77777777" w:rsidTr="00252203">
        <w:tc>
          <w:tcPr>
            <w:tcW w:w="242" w:type="pct"/>
          </w:tcPr>
          <w:p w14:paraId="0D47B459" w14:textId="77777777" w:rsidR="00FB55B6" w:rsidRPr="00252203" w:rsidRDefault="00FB55B6" w:rsidP="00252203">
            <w:pPr>
              <w:spacing w:after="0" w:line="360" w:lineRule="auto"/>
              <w:jc w:val="center"/>
              <w:rPr>
                <w:rFonts w:ascii="GHEA Grapalat" w:hAnsi="GHEA Grapalat"/>
                <w:sz w:val="24"/>
                <w:szCs w:val="24"/>
              </w:rPr>
            </w:pPr>
          </w:p>
        </w:tc>
        <w:tc>
          <w:tcPr>
            <w:tcW w:w="4758" w:type="pct"/>
          </w:tcPr>
          <w:p w14:paraId="12DE820B" w14:textId="77777777" w:rsidR="00FB55B6" w:rsidRPr="00252203" w:rsidRDefault="00FB55B6" w:rsidP="00252203">
            <w:pPr>
              <w:pStyle w:val="NormalWeb"/>
              <w:tabs>
                <w:tab w:val="left" w:pos="284"/>
                <w:tab w:val="left" w:pos="851"/>
                <w:tab w:val="left" w:pos="993"/>
              </w:tabs>
              <w:spacing w:before="0" w:beforeAutospacing="0" w:after="0" w:afterAutospacing="0" w:line="360" w:lineRule="auto"/>
              <w:ind w:right="232"/>
              <w:jc w:val="both"/>
              <w:rPr>
                <w:rFonts w:ascii="GHEA Grapalat" w:hAnsi="GHEA Grapalat"/>
                <w:b/>
                <w:u w:val="single"/>
                <w:lang w:val="hy-AM" w:eastAsia="lt-LT"/>
              </w:rPr>
            </w:pPr>
            <w:r w:rsidRPr="00252203">
              <w:rPr>
                <w:rFonts w:ascii="GHEA Grapalat" w:hAnsi="GHEA Grapalat"/>
                <w:b/>
                <w:bCs/>
                <w:bdr w:val="none" w:sz="0" w:space="0" w:color="auto" w:frame="1"/>
                <w:shd w:val="clear" w:color="auto" w:fill="FFFFFF"/>
                <w:lang w:val="hy-AM" w:eastAsia="lt-LT"/>
              </w:rPr>
              <w:t xml:space="preserve"> Նախագծի մշակման գործընթացում ներգրավված</w:t>
            </w:r>
            <w:r w:rsidRPr="00252203">
              <w:rPr>
                <w:rFonts w:ascii="Calibri" w:hAnsi="Calibri" w:cs="Calibri"/>
                <w:shd w:val="clear" w:color="auto" w:fill="FFFFFF"/>
                <w:lang w:val="hy-AM" w:eastAsia="lt-LT"/>
              </w:rPr>
              <w:t> </w:t>
            </w:r>
            <w:r w:rsidRPr="00252203">
              <w:rPr>
                <w:rFonts w:ascii="GHEA Grapalat" w:hAnsi="GHEA Grapalat"/>
                <w:b/>
                <w:bCs/>
                <w:bdr w:val="none" w:sz="0" w:space="0" w:color="auto" w:frame="1"/>
                <w:shd w:val="clear" w:color="auto" w:fill="FFFFFF"/>
                <w:lang w:val="hy-AM" w:eastAsia="lt-LT"/>
              </w:rPr>
              <w:t>ինստիտուտները և անձինք</w:t>
            </w:r>
          </w:p>
        </w:tc>
      </w:tr>
      <w:tr w:rsidR="00FB55B6" w:rsidRPr="00252203" w14:paraId="29BE9C46" w14:textId="77777777" w:rsidTr="00252203">
        <w:tc>
          <w:tcPr>
            <w:tcW w:w="242" w:type="pct"/>
          </w:tcPr>
          <w:p w14:paraId="243F45E2" w14:textId="77777777" w:rsidR="00FB55B6" w:rsidRPr="00252203" w:rsidRDefault="00FB55B6" w:rsidP="00252203">
            <w:pPr>
              <w:spacing w:after="0" w:line="360" w:lineRule="auto"/>
              <w:jc w:val="center"/>
              <w:rPr>
                <w:rFonts w:ascii="GHEA Grapalat" w:hAnsi="GHEA Grapalat"/>
                <w:sz w:val="24"/>
                <w:szCs w:val="24"/>
                <w:lang w:val="hy-AM"/>
              </w:rPr>
            </w:pPr>
          </w:p>
        </w:tc>
        <w:tc>
          <w:tcPr>
            <w:tcW w:w="4758" w:type="pct"/>
          </w:tcPr>
          <w:p w14:paraId="2A68AF77" w14:textId="54530D37" w:rsidR="00FB55B6" w:rsidRPr="00252203" w:rsidRDefault="008B5158" w:rsidP="00252203">
            <w:pPr>
              <w:tabs>
                <w:tab w:val="left" w:pos="1830"/>
              </w:tabs>
              <w:spacing w:after="0" w:line="360" w:lineRule="auto"/>
              <w:jc w:val="both"/>
              <w:rPr>
                <w:rFonts w:ascii="GHEA Grapalat" w:hAnsi="GHEA Grapalat"/>
                <w:sz w:val="24"/>
                <w:szCs w:val="24"/>
                <w:lang w:val="hy-AM"/>
              </w:rPr>
            </w:pPr>
            <w:r w:rsidRPr="00252203">
              <w:rPr>
                <w:rFonts w:ascii="GHEA Grapalat" w:hAnsi="GHEA Grapalat"/>
                <w:sz w:val="24"/>
                <w:szCs w:val="24"/>
                <w:lang w:val="hy-AM"/>
              </w:rPr>
              <w:t>Տ</w:t>
            </w:r>
            <w:r w:rsidR="00FB55B6" w:rsidRPr="00252203">
              <w:rPr>
                <w:rFonts w:ascii="GHEA Grapalat" w:hAnsi="GHEA Grapalat"/>
                <w:sz w:val="24"/>
                <w:szCs w:val="24"/>
                <w:lang w:val="hy-AM"/>
              </w:rPr>
              <w:t>արածքային կառավարման և ենթակառուցվածքների նախարարություն,</w:t>
            </w:r>
          </w:p>
          <w:p w14:paraId="0D204332" w14:textId="77777777" w:rsidR="00FB55B6" w:rsidRPr="00252203" w:rsidRDefault="00FB55B6" w:rsidP="00252203">
            <w:pPr>
              <w:spacing w:after="0" w:line="360" w:lineRule="auto"/>
              <w:jc w:val="both"/>
              <w:rPr>
                <w:rFonts w:ascii="GHEA Grapalat" w:hAnsi="GHEA Grapalat"/>
                <w:sz w:val="24"/>
                <w:szCs w:val="24"/>
              </w:rPr>
            </w:pPr>
            <w:r w:rsidRPr="00252203">
              <w:rPr>
                <w:rFonts w:ascii="GHEA Grapalat" w:hAnsi="GHEA Grapalat"/>
                <w:sz w:val="24"/>
                <w:szCs w:val="24"/>
              </w:rPr>
              <w:t>«</w:t>
            </w:r>
            <w:proofErr w:type="spellStart"/>
            <w:r w:rsidRPr="00252203">
              <w:rPr>
                <w:rFonts w:ascii="GHEA Grapalat" w:hAnsi="GHEA Grapalat"/>
                <w:sz w:val="24"/>
                <w:szCs w:val="24"/>
              </w:rPr>
              <w:t>Բարձրավոլտ</w:t>
            </w:r>
            <w:proofErr w:type="spellEnd"/>
            <w:r w:rsidRPr="00252203">
              <w:rPr>
                <w:rFonts w:ascii="GHEA Grapalat" w:hAnsi="GHEA Grapalat"/>
                <w:sz w:val="24"/>
                <w:szCs w:val="24"/>
              </w:rPr>
              <w:t xml:space="preserve"> </w:t>
            </w:r>
            <w:proofErr w:type="spellStart"/>
            <w:r w:rsidRPr="00252203">
              <w:rPr>
                <w:rFonts w:ascii="GHEA Grapalat" w:hAnsi="GHEA Grapalat"/>
                <w:sz w:val="24"/>
                <w:szCs w:val="24"/>
              </w:rPr>
              <w:t>էլեկտրացանցեր</w:t>
            </w:r>
            <w:proofErr w:type="spellEnd"/>
            <w:r w:rsidRPr="00252203">
              <w:rPr>
                <w:rFonts w:ascii="GHEA Grapalat" w:hAnsi="GHEA Grapalat"/>
                <w:sz w:val="24"/>
                <w:szCs w:val="24"/>
              </w:rPr>
              <w:t xml:space="preserve">» </w:t>
            </w:r>
            <w:r w:rsidRPr="00252203">
              <w:rPr>
                <w:rFonts w:ascii="GHEA Grapalat" w:hAnsi="GHEA Grapalat"/>
                <w:sz w:val="24"/>
                <w:szCs w:val="24"/>
                <w:lang w:val="hy-AM"/>
              </w:rPr>
              <w:t>ՓԲԸ</w:t>
            </w:r>
          </w:p>
        </w:tc>
      </w:tr>
      <w:tr w:rsidR="00FB55B6" w:rsidRPr="00252203" w14:paraId="30EC1BEE" w14:textId="77777777" w:rsidTr="00252203">
        <w:tc>
          <w:tcPr>
            <w:tcW w:w="242" w:type="pct"/>
          </w:tcPr>
          <w:p w14:paraId="107DEB5F" w14:textId="77777777" w:rsidR="00FB55B6" w:rsidRPr="00252203" w:rsidRDefault="00FB55B6" w:rsidP="00252203">
            <w:pPr>
              <w:spacing w:after="0" w:line="360" w:lineRule="auto"/>
              <w:jc w:val="center"/>
              <w:rPr>
                <w:rFonts w:ascii="GHEA Grapalat" w:hAnsi="GHEA Grapalat"/>
                <w:sz w:val="24"/>
                <w:szCs w:val="24"/>
              </w:rPr>
            </w:pPr>
          </w:p>
        </w:tc>
        <w:tc>
          <w:tcPr>
            <w:tcW w:w="4758" w:type="pct"/>
          </w:tcPr>
          <w:p w14:paraId="49BB48FE" w14:textId="77777777" w:rsidR="00FB55B6" w:rsidRPr="00252203" w:rsidRDefault="00FB55B6" w:rsidP="00252203">
            <w:pPr>
              <w:spacing w:after="0" w:line="360" w:lineRule="auto"/>
              <w:jc w:val="both"/>
              <w:rPr>
                <w:rFonts w:ascii="GHEA Grapalat" w:hAnsi="GHEA Grapalat"/>
                <w:b/>
                <w:sz w:val="24"/>
                <w:szCs w:val="24"/>
              </w:rPr>
            </w:pPr>
            <w:proofErr w:type="spellStart"/>
            <w:r w:rsidRPr="00252203">
              <w:rPr>
                <w:rFonts w:ascii="GHEA Grapalat" w:hAnsi="GHEA Grapalat"/>
                <w:b/>
                <w:sz w:val="24"/>
                <w:szCs w:val="24"/>
              </w:rPr>
              <w:t>Ակնկալվող</w:t>
            </w:r>
            <w:proofErr w:type="spellEnd"/>
            <w:r w:rsidRPr="00252203">
              <w:rPr>
                <w:rFonts w:ascii="GHEA Grapalat" w:hAnsi="GHEA Grapalat"/>
                <w:b/>
                <w:sz w:val="24"/>
                <w:szCs w:val="24"/>
              </w:rPr>
              <w:t xml:space="preserve"> </w:t>
            </w:r>
            <w:proofErr w:type="spellStart"/>
            <w:r w:rsidRPr="00252203">
              <w:rPr>
                <w:rFonts w:ascii="GHEA Grapalat" w:hAnsi="GHEA Grapalat"/>
                <w:b/>
                <w:sz w:val="24"/>
                <w:szCs w:val="24"/>
              </w:rPr>
              <w:t>արդյունքը</w:t>
            </w:r>
            <w:proofErr w:type="spellEnd"/>
          </w:p>
        </w:tc>
      </w:tr>
      <w:tr w:rsidR="00FB55B6" w:rsidRPr="00252203" w14:paraId="32E448BB" w14:textId="77777777" w:rsidTr="00252203">
        <w:tc>
          <w:tcPr>
            <w:tcW w:w="242" w:type="pct"/>
          </w:tcPr>
          <w:p w14:paraId="6CF84343" w14:textId="77777777" w:rsidR="00FB55B6" w:rsidRPr="00252203" w:rsidRDefault="00FB55B6" w:rsidP="00252203">
            <w:pPr>
              <w:spacing w:after="0" w:line="360" w:lineRule="auto"/>
              <w:jc w:val="center"/>
              <w:rPr>
                <w:rFonts w:ascii="GHEA Grapalat" w:hAnsi="GHEA Grapalat"/>
                <w:sz w:val="24"/>
                <w:szCs w:val="24"/>
              </w:rPr>
            </w:pPr>
          </w:p>
        </w:tc>
        <w:tc>
          <w:tcPr>
            <w:tcW w:w="4758" w:type="pct"/>
          </w:tcPr>
          <w:p w14:paraId="0B395E53" w14:textId="77777777" w:rsidR="00FB55B6" w:rsidRPr="00252203" w:rsidRDefault="00FB55B6" w:rsidP="00252203">
            <w:pPr>
              <w:spacing w:after="120" w:line="360" w:lineRule="auto"/>
              <w:jc w:val="both"/>
              <w:rPr>
                <w:rFonts w:ascii="GHEA Grapalat" w:hAnsi="GHEA Grapalat"/>
                <w:sz w:val="24"/>
                <w:szCs w:val="24"/>
              </w:rPr>
            </w:pPr>
            <w:r w:rsidRPr="00252203">
              <w:rPr>
                <w:rFonts w:ascii="GHEA Grapalat" w:hAnsi="GHEA Grapalat"/>
                <w:sz w:val="24"/>
                <w:szCs w:val="24"/>
              </w:rPr>
              <w:t xml:space="preserve">ՀՀ </w:t>
            </w:r>
            <w:proofErr w:type="spellStart"/>
            <w:r w:rsidRPr="00252203">
              <w:rPr>
                <w:rFonts w:ascii="GHEA Grapalat" w:hAnsi="GHEA Grapalat"/>
                <w:sz w:val="24"/>
                <w:szCs w:val="24"/>
              </w:rPr>
              <w:t>էներգահամակարգի</w:t>
            </w:r>
            <w:proofErr w:type="spellEnd"/>
            <w:r w:rsidRPr="00252203">
              <w:rPr>
                <w:rFonts w:ascii="GHEA Grapalat" w:hAnsi="GHEA Grapalat"/>
                <w:sz w:val="24"/>
                <w:szCs w:val="24"/>
              </w:rPr>
              <w:t xml:space="preserve"> </w:t>
            </w:r>
            <w:proofErr w:type="spellStart"/>
            <w:r w:rsidRPr="00252203">
              <w:rPr>
                <w:rFonts w:ascii="GHEA Grapalat" w:hAnsi="GHEA Grapalat"/>
                <w:sz w:val="24"/>
                <w:szCs w:val="24"/>
              </w:rPr>
              <w:t>արդյունավետութ</w:t>
            </w:r>
            <w:proofErr w:type="spellEnd"/>
            <w:r w:rsidRPr="00252203">
              <w:rPr>
                <w:rFonts w:ascii="GHEA Grapalat" w:hAnsi="GHEA Grapalat"/>
                <w:sz w:val="24"/>
                <w:szCs w:val="24"/>
                <w:lang w:val="hy-AM"/>
              </w:rPr>
              <w:t>յան</w:t>
            </w:r>
            <w:r w:rsidRPr="00252203">
              <w:rPr>
                <w:rFonts w:ascii="GHEA Grapalat" w:hAnsi="GHEA Grapalat"/>
                <w:sz w:val="24"/>
                <w:szCs w:val="24"/>
              </w:rPr>
              <w:t xml:space="preserve"> </w:t>
            </w:r>
            <w:proofErr w:type="spellStart"/>
            <w:r w:rsidRPr="00252203">
              <w:rPr>
                <w:rFonts w:ascii="GHEA Grapalat" w:hAnsi="GHEA Grapalat"/>
                <w:sz w:val="24"/>
                <w:szCs w:val="24"/>
              </w:rPr>
              <w:t>բարելավ</w:t>
            </w:r>
            <w:proofErr w:type="spellEnd"/>
            <w:r w:rsidRPr="00252203">
              <w:rPr>
                <w:rFonts w:ascii="GHEA Grapalat" w:hAnsi="GHEA Grapalat"/>
                <w:sz w:val="24"/>
                <w:szCs w:val="24"/>
                <w:lang w:val="hy-AM"/>
              </w:rPr>
              <w:t xml:space="preserve">ում, </w:t>
            </w:r>
            <w:proofErr w:type="spellStart"/>
            <w:r w:rsidRPr="00252203">
              <w:rPr>
                <w:rFonts w:ascii="GHEA Grapalat" w:hAnsi="GHEA Grapalat"/>
                <w:sz w:val="24"/>
                <w:szCs w:val="24"/>
              </w:rPr>
              <w:t>ներքին</w:t>
            </w:r>
            <w:proofErr w:type="spellEnd"/>
            <w:r w:rsidRPr="00252203">
              <w:rPr>
                <w:rFonts w:ascii="GHEA Grapalat" w:hAnsi="GHEA Grapalat"/>
                <w:sz w:val="24"/>
                <w:szCs w:val="24"/>
              </w:rPr>
              <w:t xml:space="preserve"> է</w:t>
            </w:r>
            <w:r w:rsidRPr="00252203">
              <w:rPr>
                <w:rFonts w:ascii="GHEA Grapalat" w:hAnsi="GHEA Grapalat"/>
                <w:sz w:val="24"/>
                <w:szCs w:val="24"/>
                <w:lang w:val="hy-AM"/>
              </w:rPr>
              <w:t>լեկտր</w:t>
            </w:r>
            <w:proofErr w:type="spellStart"/>
            <w:r w:rsidRPr="00252203">
              <w:rPr>
                <w:rFonts w:ascii="GHEA Grapalat" w:hAnsi="GHEA Grapalat"/>
                <w:sz w:val="24"/>
                <w:szCs w:val="24"/>
              </w:rPr>
              <w:t>ահաղորդման</w:t>
            </w:r>
            <w:proofErr w:type="spellEnd"/>
            <w:r w:rsidRPr="00252203">
              <w:rPr>
                <w:rFonts w:ascii="GHEA Grapalat" w:hAnsi="GHEA Grapalat"/>
                <w:sz w:val="24"/>
                <w:szCs w:val="24"/>
              </w:rPr>
              <w:t xml:space="preserve"> </w:t>
            </w:r>
            <w:proofErr w:type="spellStart"/>
            <w:r w:rsidRPr="00252203">
              <w:rPr>
                <w:rFonts w:ascii="GHEA Grapalat" w:hAnsi="GHEA Grapalat"/>
                <w:sz w:val="24"/>
                <w:szCs w:val="24"/>
              </w:rPr>
              <w:t>ցանցի</w:t>
            </w:r>
            <w:proofErr w:type="spellEnd"/>
            <w:r w:rsidRPr="00252203">
              <w:rPr>
                <w:rFonts w:ascii="GHEA Grapalat" w:hAnsi="GHEA Grapalat"/>
                <w:sz w:val="24"/>
                <w:szCs w:val="24"/>
              </w:rPr>
              <w:t xml:space="preserve"> </w:t>
            </w:r>
            <w:proofErr w:type="spellStart"/>
            <w:r w:rsidRPr="00252203">
              <w:rPr>
                <w:rFonts w:ascii="GHEA Grapalat" w:hAnsi="GHEA Grapalat"/>
                <w:sz w:val="24"/>
                <w:szCs w:val="24"/>
              </w:rPr>
              <w:t>արդյունավետությ</w:t>
            </w:r>
            <w:proofErr w:type="spellEnd"/>
            <w:r w:rsidRPr="00252203">
              <w:rPr>
                <w:rFonts w:ascii="GHEA Grapalat" w:hAnsi="GHEA Grapalat"/>
                <w:sz w:val="24"/>
                <w:szCs w:val="24"/>
                <w:lang w:val="hy-AM"/>
              </w:rPr>
              <w:t>ան,</w:t>
            </w:r>
            <w:r w:rsidRPr="00252203">
              <w:rPr>
                <w:rFonts w:ascii="GHEA Grapalat" w:hAnsi="GHEA Grapalat"/>
                <w:sz w:val="24"/>
                <w:szCs w:val="24"/>
              </w:rPr>
              <w:t xml:space="preserve"> </w:t>
            </w:r>
            <w:proofErr w:type="spellStart"/>
            <w:r w:rsidRPr="00252203">
              <w:rPr>
                <w:rFonts w:ascii="GHEA Grapalat" w:hAnsi="GHEA Grapalat"/>
                <w:sz w:val="24"/>
                <w:szCs w:val="24"/>
              </w:rPr>
              <w:t>տարածաշրջանի</w:t>
            </w:r>
            <w:proofErr w:type="spellEnd"/>
            <w:r w:rsidRPr="00252203">
              <w:rPr>
                <w:rFonts w:ascii="GHEA Grapalat" w:hAnsi="GHEA Grapalat"/>
                <w:sz w:val="24"/>
                <w:szCs w:val="24"/>
              </w:rPr>
              <w:t xml:space="preserve"> </w:t>
            </w:r>
            <w:proofErr w:type="spellStart"/>
            <w:r w:rsidRPr="00252203">
              <w:rPr>
                <w:rFonts w:ascii="GHEA Grapalat" w:hAnsi="GHEA Grapalat"/>
                <w:sz w:val="24"/>
                <w:szCs w:val="24"/>
              </w:rPr>
              <w:t>սպառողների</w:t>
            </w:r>
            <w:proofErr w:type="spellEnd"/>
            <w:r w:rsidRPr="00252203">
              <w:rPr>
                <w:rFonts w:ascii="GHEA Grapalat" w:hAnsi="GHEA Grapalat"/>
                <w:sz w:val="24"/>
                <w:szCs w:val="24"/>
              </w:rPr>
              <w:t xml:space="preserve"> </w:t>
            </w:r>
            <w:proofErr w:type="spellStart"/>
            <w:r w:rsidRPr="00252203">
              <w:rPr>
                <w:rFonts w:ascii="GHEA Grapalat" w:hAnsi="GHEA Grapalat"/>
                <w:sz w:val="24"/>
                <w:szCs w:val="24"/>
              </w:rPr>
              <w:t>էլեկտրամատակարարման</w:t>
            </w:r>
            <w:proofErr w:type="spellEnd"/>
            <w:r w:rsidRPr="00252203">
              <w:rPr>
                <w:rFonts w:ascii="GHEA Grapalat" w:hAnsi="GHEA Grapalat"/>
                <w:sz w:val="24"/>
                <w:szCs w:val="24"/>
              </w:rPr>
              <w:t xml:space="preserve"> </w:t>
            </w:r>
            <w:proofErr w:type="spellStart"/>
            <w:r w:rsidRPr="00252203">
              <w:rPr>
                <w:rFonts w:ascii="GHEA Grapalat" w:hAnsi="GHEA Grapalat"/>
                <w:sz w:val="24"/>
                <w:szCs w:val="24"/>
              </w:rPr>
              <w:t>հուսալիությ</w:t>
            </w:r>
            <w:proofErr w:type="spellEnd"/>
            <w:r w:rsidRPr="00252203">
              <w:rPr>
                <w:rFonts w:ascii="GHEA Grapalat" w:hAnsi="GHEA Grapalat"/>
                <w:sz w:val="24"/>
                <w:szCs w:val="24"/>
                <w:lang w:val="hy-AM"/>
              </w:rPr>
              <w:t xml:space="preserve">ան բարձրացում, </w:t>
            </w:r>
            <w:r w:rsidRPr="00252203">
              <w:rPr>
                <w:rFonts w:ascii="GHEA Grapalat" w:hAnsi="GHEA Grapalat" w:cs="Sylfaen"/>
                <w:sz w:val="24"/>
                <w:szCs w:val="24"/>
                <w:lang w:val="hy-AM"/>
              </w:rPr>
              <w:t xml:space="preserve">Հայաստանի Հանրապետության և Իրանի Իսլամական </w:t>
            </w:r>
            <w:r w:rsidRPr="00252203">
              <w:rPr>
                <w:rFonts w:ascii="GHEA Grapalat" w:hAnsi="GHEA Grapalat" w:cs="Sylfaen"/>
                <w:sz w:val="24"/>
                <w:szCs w:val="24"/>
                <w:lang w:val="hy-AM"/>
              </w:rPr>
              <w:lastRenderedPageBreak/>
              <w:t>Հանրապետության միջև էլեկտրաէներգիայի հուսալի, ճկուն և փոխշահավետ միջսահմանային փոխանակումների ապահովում:</w:t>
            </w:r>
          </w:p>
        </w:tc>
      </w:tr>
      <w:tr w:rsidR="00FB55B6" w:rsidRPr="00252203" w14:paraId="4247B163" w14:textId="77777777" w:rsidTr="00252203">
        <w:tc>
          <w:tcPr>
            <w:tcW w:w="242" w:type="pct"/>
          </w:tcPr>
          <w:p w14:paraId="7AC6F8B5" w14:textId="77777777" w:rsidR="00FB55B6" w:rsidRPr="00252203" w:rsidRDefault="00FB55B6" w:rsidP="00252203">
            <w:pPr>
              <w:spacing w:after="0" w:line="360" w:lineRule="auto"/>
              <w:jc w:val="center"/>
              <w:rPr>
                <w:rFonts w:ascii="GHEA Grapalat" w:hAnsi="GHEA Grapalat"/>
                <w:sz w:val="24"/>
                <w:szCs w:val="24"/>
              </w:rPr>
            </w:pPr>
          </w:p>
        </w:tc>
        <w:tc>
          <w:tcPr>
            <w:tcW w:w="4758" w:type="pct"/>
          </w:tcPr>
          <w:p w14:paraId="3E404299" w14:textId="77777777" w:rsidR="00FB55B6" w:rsidRPr="00252203" w:rsidRDefault="00FB55B6" w:rsidP="00252203">
            <w:pPr>
              <w:spacing w:after="0" w:line="360" w:lineRule="auto"/>
              <w:jc w:val="both"/>
              <w:rPr>
                <w:rFonts w:ascii="GHEA Grapalat" w:hAnsi="GHEA Grapalat"/>
                <w:b/>
                <w:sz w:val="24"/>
                <w:szCs w:val="24"/>
              </w:rPr>
            </w:pPr>
            <w:proofErr w:type="spellStart"/>
            <w:r w:rsidRPr="00252203">
              <w:rPr>
                <w:rFonts w:ascii="GHEA Grapalat" w:hAnsi="GHEA Grapalat"/>
                <w:b/>
                <w:sz w:val="24"/>
                <w:szCs w:val="24"/>
              </w:rPr>
              <w:t>Տեղեկատվություն</w:t>
            </w:r>
            <w:proofErr w:type="spellEnd"/>
            <w:r w:rsidRPr="00252203">
              <w:rPr>
                <w:rFonts w:ascii="GHEA Grapalat" w:hAnsi="GHEA Grapalat"/>
                <w:b/>
                <w:sz w:val="24"/>
                <w:szCs w:val="24"/>
              </w:rPr>
              <w:t xml:space="preserve"> </w:t>
            </w:r>
            <w:proofErr w:type="spellStart"/>
            <w:r w:rsidRPr="00252203">
              <w:rPr>
                <w:rFonts w:ascii="GHEA Grapalat" w:hAnsi="GHEA Grapalat"/>
                <w:b/>
                <w:color w:val="000000"/>
                <w:sz w:val="24"/>
                <w:szCs w:val="24"/>
              </w:rPr>
              <w:t>լրացուցիչ</w:t>
            </w:r>
            <w:proofErr w:type="spellEnd"/>
            <w:r w:rsidRPr="00252203">
              <w:rPr>
                <w:rFonts w:ascii="GHEA Grapalat" w:hAnsi="GHEA Grapalat"/>
                <w:b/>
                <w:color w:val="000000"/>
                <w:sz w:val="24"/>
                <w:szCs w:val="24"/>
              </w:rPr>
              <w:t xml:space="preserve"> </w:t>
            </w:r>
            <w:proofErr w:type="spellStart"/>
            <w:r w:rsidRPr="00252203">
              <w:rPr>
                <w:rFonts w:ascii="GHEA Grapalat" w:hAnsi="GHEA Grapalat"/>
                <w:b/>
                <w:color w:val="000000"/>
                <w:sz w:val="24"/>
                <w:szCs w:val="24"/>
              </w:rPr>
              <w:t>ֆինանսական</w:t>
            </w:r>
            <w:proofErr w:type="spellEnd"/>
            <w:r w:rsidRPr="00252203">
              <w:rPr>
                <w:rFonts w:ascii="GHEA Grapalat" w:hAnsi="GHEA Grapalat"/>
                <w:b/>
                <w:color w:val="000000"/>
                <w:sz w:val="24"/>
                <w:szCs w:val="24"/>
              </w:rPr>
              <w:t xml:space="preserve"> </w:t>
            </w:r>
            <w:proofErr w:type="spellStart"/>
            <w:r w:rsidRPr="00252203">
              <w:rPr>
                <w:rFonts w:ascii="GHEA Grapalat" w:hAnsi="GHEA Grapalat"/>
                <w:b/>
                <w:color w:val="000000"/>
                <w:sz w:val="24"/>
                <w:szCs w:val="24"/>
              </w:rPr>
              <w:t>միջոցների</w:t>
            </w:r>
            <w:proofErr w:type="spellEnd"/>
            <w:r w:rsidRPr="00252203">
              <w:rPr>
                <w:rFonts w:ascii="GHEA Grapalat" w:hAnsi="GHEA Grapalat"/>
                <w:b/>
                <w:color w:val="000000"/>
                <w:sz w:val="24"/>
                <w:szCs w:val="24"/>
              </w:rPr>
              <w:t xml:space="preserve"> </w:t>
            </w:r>
            <w:proofErr w:type="spellStart"/>
            <w:r w:rsidRPr="00252203">
              <w:rPr>
                <w:rFonts w:ascii="GHEA Grapalat" w:hAnsi="GHEA Grapalat"/>
                <w:b/>
                <w:color w:val="000000"/>
                <w:sz w:val="24"/>
                <w:szCs w:val="24"/>
              </w:rPr>
              <w:t>անհրաժեշտության</w:t>
            </w:r>
            <w:proofErr w:type="spellEnd"/>
            <w:r w:rsidRPr="00252203">
              <w:rPr>
                <w:rFonts w:ascii="GHEA Grapalat" w:hAnsi="GHEA Grapalat"/>
                <w:b/>
                <w:color w:val="000000"/>
                <w:sz w:val="24"/>
                <w:szCs w:val="24"/>
              </w:rPr>
              <w:t xml:space="preserve">, </w:t>
            </w:r>
            <w:r w:rsidRPr="00252203">
              <w:rPr>
                <w:rFonts w:ascii="GHEA Grapalat" w:hAnsi="GHEA Grapalat"/>
                <w:b/>
                <w:color w:val="000000"/>
                <w:sz w:val="24"/>
                <w:szCs w:val="24"/>
                <w:lang w:val="hy-AM"/>
              </w:rPr>
              <w:t>պետական բյուջեում եկամուտներ</w:t>
            </w:r>
            <w:proofErr w:type="spellStart"/>
            <w:r w:rsidRPr="00252203">
              <w:rPr>
                <w:rFonts w:ascii="GHEA Grapalat" w:hAnsi="GHEA Grapalat"/>
                <w:b/>
                <w:color w:val="000000"/>
                <w:sz w:val="24"/>
                <w:szCs w:val="24"/>
              </w:rPr>
              <w:t>ում</w:t>
            </w:r>
            <w:proofErr w:type="spellEnd"/>
            <w:r w:rsidRPr="00252203">
              <w:rPr>
                <w:rFonts w:ascii="GHEA Grapalat" w:hAnsi="GHEA Grapalat"/>
                <w:b/>
                <w:color w:val="000000"/>
                <w:sz w:val="24"/>
                <w:szCs w:val="24"/>
                <w:lang w:val="hy-AM"/>
              </w:rPr>
              <w:t xml:space="preserve"> և ծախսեր</w:t>
            </w:r>
            <w:proofErr w:type="spellStart"/>
            <w:r w:rsidRPr="00252203">
              <w:rPr>
                <w:rFonts w:ascii="GHEA Grapalat" w:hAnsi="GHEA Grapalat"/>
                <w:b/>
                <w:color w:val="000000"/>
                <w:sz w:val="24"/>
                <w:szCs w:val="24"/>
              </w:rPr>
              <w:t>ում</w:t>
            </w:r>
            <w:proofErr w:type="spellEnd"/>
            <w:r w:rsidRPr="00252203">
              <w:rPr>
                <w:rFonts w:ascii="GHEA Grapalat" w:hAnsi="GHEA Grapalat"/>
                <w:b/>
                <w:color w:val="000000"/>
                <w:sz w:val="24"/>
                <w:szCs w:val="24"/>
                <w:lang w:val="hy-AM"/>
              </w:rPr>
              <w:t xml:space="preserve"> </w:t>
            </w:r>
            <w:proofErr w:type="spellStart"/>
            <w:r w:rsidRPr="00252203">
              <w:rPr>
                <w:rFonts w:ascii="GHEA Grapalat" w:hAnsi="GHEA Grapalat"/>
                <w:b/>
                <w:color w:val="000000"/>
                <w:sz w:val="24"/>
                <w:szCs w:val="24"/>
              </w:rPr>
              <w:t>սպասվելիք</w:t>
            </w:r>
            <w:proofErr w:type="spellEnd"/>
            <w:r w:rsidRPr="00252203">
              <w:rPr>
                <w:rFonts w:ascii="GHEA Grapalat" w:hAnsi="GHEA Grapalat"/>
                <w:b/>
                <w:color w:val="000000"/>
                <w:sz w:val="24"/>
                <w:szCs w:val="24"/>
              </w:rPr>
              <w:t xml:space="preserve"> </w:t>
            </w:r>
            <w:proofErr w:type="spellStart"/>
            <w:r w:rsidRPr="00252203">
              <w:rPr>
                <w:rFonts w:ascii="GHEA Grapalat" w:hAnsi="GHEA Grapalat"/>
                <w:b/>
                <w:color w:val="000000"/>
                <w:sz w:val="24"/>
                <w:szCs w:val="24"/>
              </w:rPr>
              <w:t>փոփոխությունների</w:t>
            </w:r>
            <w:proofErr w:type="spellEnd"/>
            <w:r w:rsidRPr="00252203">
              <w:rPr>
                <w:rFonts w:ascii="GHEA Grapalat" w:hAnsi="GHEA Grapalat"/>
                <w:b/>
                <w:color w:val="000000"/>
                <w:sz w:val="24"/>
                <w:szCs w:val="24"/>
              </w:rPr>
              <w:t xml:space="preserve"> </w:t>
            </w:r>
            <w:proofErr w:type="spellStart"/>
            <w:r w:rsidRPr="00252203">
              <w:rPr>
                <w:rFonts w:ascii="GHEA Grapalat" w:hAnsi="GHEA Grapalat"/>
                <w:b/>
                <w:color w:val="000000"/>
                <w:sz w:val="24"/>
                <w:szCs w:val="24"/>
              </w:rPr>
              <w:t>մասին</w:t>
            </w:r>
            <w:proofErr w:type="spellEnd"/>
          </w:p>
        </w:tc>
      </w:tr>
      <w:tr w:rsidR="00FB55B6" w:rsidRPr="00252203" w14:paraId="6AE95751" w14:textId="77777777" w:rsidTr="00252203">
        <w:tc>
          <w:tcPr>
            <w:tcW w:w="242" w:type="pct"/>
          </w:tcPr>
          <w:p w14:paraId="536CF995" w14:textId="77777777" w:rsidR="00FB55B6" w:rsidRPr="00252203" w:rsidRDefault="00FB55B6" w:rsidP="00252203">
            <w:pPr>
              <w:spacing w:after="0" w:line="360" w:lineRule="auto"/>
              <w:rPr>
                <w:rFonts w:ascii="GHEA Grapalat" w:hAnsi="GHEA Grapalat"/>
                <w:sz w:val="24"/>
                <w:szCs w:val="24"/>
              </w:rPr>
            </w:pPr>
          </w:p>
        </w:tc>
        <w:tc>
          <w:tcPr>
            <w:tcW w:w="4758" w:type="pct"/>
          </w:tcPr>
          <w:p w14:paraId="16AFA212" w14:textId="4C611124" w:rsidR="00FB55B6" w:rsidRPr="00252203" w:rsidRDefault="00FB55B6" w:rsidP="00252203">
            <w:pPr>
              <w:tabs>
                <w:tab w:val="left" w:pos="567"/>
              </w:tabs>
              <w:spacing w:after="0" w:line="360" w:lineRule="auto"/>
              <w:jc w:val="both"/>
              <w:rPr>
                <w:rFonts w:ascii="GHEA Grapalat" w:hAnsi="GHEA Grapalat"/>
                <w:sz w:val="24"/>
                <w:szCs w:val="24"/>
                <w:lang w:val="af-ZA"/>
              </w:rPr>
            </w:pPr>
            <w:r w:rsidRPr="00252203">
              <w:rPr>
                <w:rFonts w:ascii="GHEA Grapalat" w:hAnsi="GHEA Grapalat"/>
                <w:sz w:val="24"/>
                <w:szCs w:val="24"/>
                <w:lang w:val="hy-AM"/>
              </w:rPr>
              <w:t>«Բարձրավոլտ էլեկտրացանցեր» փակ բաժնետիրական ընկերության 220/110/35/10/6</w:t>
            </w:r>
            <w:r w:rsidRPr="00252203">
              <w:rPr>
                <w:rFonts w:ascii="GHEA Grapalat" w:hAnsi="GHEA Grapalat"/>
                <w:sz w:val="24"/>
                <w:szCs w:val="24"/>
              </w:rPr>
              <w:t xml:space="preserve"> </w:t>
            </w:r>
            <w:r w:rsidRPr="00252203">
              <w:rPr>
                <w:rFonts w:ascii="GHEA Grapalat" w:hAnsi="GHEA Grapalat"/>
                <w:sz w:val="24"/>
                <w:szCs w:val="24"/>
                <w:lang w:val="hy-AM"/>
              </w:rPr>
              <w:t>կՎ «Շինուհայր» և 220/110/6</w:t>
            </w:r>
            <w:r w:rsidRPr="00252203">
              <w:rPr>
                <w:rFonts w:ascii="GHEA Grapalat" w:hAnsi="GHEA Grapalat"/>
                <w:sz w:val="24"/>
                <w:szCs w:val="24"/>
              </w:rPr>
              <w:t xml:space="preserve"> </w:t>
            </w:r>
            <w:r w:rsidRPr="00252203">
              <w:rPr>
                <w:rFonts w:ascii="GHEA Grapalat" w:hAnsi="GHEA Grapalat"/>
                <w:sz w:val="24"/>
                <w:szCs w:val="24"/>
                <w:lang w:val="hy-AM"/>
              </w:rPr>
              <w:t>կՎ «Ագարակ-2» ենթակայանների վերակառուցման աշխատանքների գնման ընթացակարգ</w:t>
            </w:r>
            <w:r w:rsidR="00D17161">
              <w:rPr>
                <w:rFonts w:ascii="GHEA Grapalat" w:hAnsi="GHEA Grapalat"/>
                <w:sz w:val="24"/>
                <w:szCs w:val="24"/>
                <w:lang w:val="hy-AM"/>
              </w:rPr>
              <w:t>ում</w:t>
            </w:r>
            <w:r w:rsidRPr="00252203">
              <w:rPr>
                <w:rFonts w:ascii="GHEA Grapalat" w:hAnsi="GHEA Grapalat"/>
                <w:sz w:val="24"/>
                <w:szCs w:val="24"/>
                <w:lang w:val="hy-AM"/>
              </w:rPr>
              <w:t xml:space="preserve"> մասնակիցների որակավորման չափանիշներ</w:t>
            </w:r>
            <w:r w:rsidR="00D17161">
              <w:rPr>
                <w:rFonts w:ascii="GHEA Grapalat" w:hAnsi="GHEA Grapalat"/>
                <w:sz w:val="24"/>
                <w:szCs w:val="24"/>
                <w:lang w:val="hy-AM"/>
              </w:rPr>
              <w:t xml:space="preserve"> կիրառելու </w:t>
            </w:r>
            <w:r w:rsidRPr="00252203">
              <w:rPr>
                <w:rFonts w:ascii="GHEA Grapalat" w:hAnsi="GHEA Grapalat"/>
                <w:sz w:val="24"/>
                <w:szCs w:val="24"/>
                <w:lang w:val="hy-AM"/>
              </w:rPr>
              <w:t xml:space="preserve">մասին» ՀՀ կառավարության որոշման նախագծի </w:t>
            </w:r>
            <w:r w:rsidRPr="00252203">
              <w:rPr>
                <w:rFonts w:ascii="GHEA Grapalat" w:hAnsi="GHEA Grapalat" w:cs="Sylfaen"/>
                <w:sz w:val="24"/>
                <w:szCs w:val="24"/>
                <w:lang w:val="hy-AM"/>
              </w:rPr>
              <w:t>ընդունմա</w:t>
            </w:r>
            <w:proofErr w:type="spellStart"/>
            <w:r w:rsidRPr="00252203">
              <w:rPr>
                <w:rFonts w:ascii="GHEA Grapalat" w:hAnsi="GHEA Grapalat" w:cs="Sylfaen"/>
                <w:sz w:val="24"/>
                <w:szCs w:val="24"/>
              </w:rPr>
              <w:t>մբ</w:t>
            </w:r>
            <w:proofErr w:type="spellEnd"/>
            <w:r w:rsidRPr="00252203">
              <w:rPr>
                <w:rFonts w:ascii="GHEA Grapalat" w:hAnsi="GHEA Grapalat" w:cs="Sylfaen"/>
                <w:sz w:val="24"/>
                <w:szCs w:val="24"/>
              </w:rPr>
              <w:t xml:space="preserve"> </w:t>
            </w:r>
            <w:proofErr w:type="spellStart"/>
            <w:r w:rsidRPr="00252203">
              <w:rPr>
                <w:rFonts w:ascii="GHEA Grapalat" w:hAnsi="GHEA Grapalat" w:cs="Sylfaen"/>
                <w:sz w:val="24"/>
                <w:szCs w:val="24"/>
              </w:rPr>
              <w:t>լրացուցիչ</w:t>
            </w:r>
            <w:proofErr w:type="spellEnd"/>
            <w:r w:rsidRPr="00252203">
              <w:rPr>
                <w:rFonts w:ascii="GHEA Grapalat" w:hAnsi="GHEA Grapalat" w:cs="Sylfaen"/>
                <w:sz w:val="24"/>
                <w:szCs w:val="24"/>
              </w:rPr>
              <w:t xml:space="preserve"> </w:t>
            </w:r>
            <w:proofErr w:type="spellStart"/>
            <w:r w:rsidRPr="00252203">
              <w:rPr>
                <w:rFonts w:ascii="GHEA Grapalat" w:hAnsi="GHEA Grapalat" w:cs="Sylfaen"/>
                <w:sz w:val="24"/>
                <w:szCs w:val="24"/>
              </w:rPr>
              <w:t>ֆինանսական</w:t>
            </w:r>
            <w:proofErr w:type="spellEnd"/>
            <w:r w:rsidRPr="00252203">
              <w:rPr>
                <w:rFonts w:ascii="GHEA Grapalat" w:hAnsi="GHEA Grapalat" w:cs="Sylfaen"/>
                <w:sz w:val="24"/>
                <w:szCs w:val="24"/>
              </w:rPr>
              <w:t xml:space="preserve"> </w:t>
            </w:r>
            <w:proofErr w:type="spellStart"/>
            <w:r w:rsidRPr="00252203">
              <w:rPr>
                <w:rFonts w:ascii="GHEA Grapalat" w:hAnsi="GHEA Grapalat" w:cs="Sylfaen"/>
                <w:sz w:val="24"/>
                <w:szCs w:val="24"/>
              </w:rPr>
              <w:t>միջոցների</w:t>
            </w:r>
            <w:proofErr w:type="spellEnd"/>
            <w:r w:rsidRPr="00252203">
              <w:rPr>
                <w:rFonts w:ascii="GHEA Grapalat" w:hAnsi="GHEA Grapalat" w:cs="Sylfaen"/>
                <w:sz w:val="24"/>
                <w:szCs w:val="24"/>
              </w:rPr>
              <w:t xml:space="preserve"> </w:t>
            </w:r>
            <w:proofErr w:type="spellStart"/>
            <w:r w:rsidRPr="00252203">
              <w:rPr>
                <w:rFonts w:ascii="GHEA Grapalat" w:hAnsi="GHEA Grapalat" w:cs="Sylfaen"/>
                <w:sz w:val="24"/>
                <w:szCs w:val="24"/>
              </w:rPr>
              <w:t>անհրաժեշտություն</w:t>
            </w:r>
            <w:proofErr w:type="spellEnd"/>
            <w:r w:rsidRPr="00252203">
              <w:rPr>
                <w:rFonts w:ascii="GHEA Grapalat" w:hAnsi="GHEA Grapalat" w:cs="Sylfaen"/>
                <w:sz w:val="24"/>
                <w:szCs w:val="24"/>
              </w:rPr>
              <w:t xml:space="preserve"> </w:t>
            </w:r>
            <w:proofErr w:type="spellStart"/>
            <w:r w:rsidRPr="00252203">
              <w:rPr>
                <w:rFonts w:ascii="GHEA Grapalat" w:hAnsi="GHEA Grapalat" w:cs="Sylfaen"/>
                <w:sz w:val="24"/>
                <w:szCs w:val="24"/>
              </w:rPr>
              <w:t>չի</w:t>
            </w:r>
            <w:proofErr w:type="spellEnd"/>
            <w:r w:rsidRPr="00252203">
              <w:rPr>
                <w:rFonts w:ascii="GHEA Grapalat" w:hAnsi="GHEA Grapalat" w:cs="Sylfaen"/>
                <w:sz w:val="24"/>
                <w:szCs w:val="24"/>
              </w:rPr>
              <w:t xml:space="preserve"> </w:t>
            </w:r>
            <w:proofErr w:type="spellStart"/>
            <w:r w:rsidRPr="00252203">
              <w:rPr>
                <w:rFonts w:ascii="GHEA Grapalat" w:hAnsi="GHEA Grapalat" w:cs="Sylfaen"/>
                <w:sz w:val="24"/>
                <w:szCs w:val="24"/>
              </w:rPr>
              <w:t>առաջանում</w:t>
            </w:r>
            <w:proofErr w:type="spellEnd"/>
            <w:r w:rsidRPr="00252203">
              <w:rPr>
                <w:rFonts w:ascii="GHEA Grapalat" w:hAnsi="GHEA Grapalat" w:cs="Sylfaen"/>
                <w:sz w:val="24"/>
                <w:szCs w:val="24"/>
              </w:rPr>
              <w:t>,</w:t>
            </w:r>
            <w:r w:rsidRPr="00252203">
              <w:rPr>
                <w:rFonts w:ascii="GHEA Grapalat" w:hAnsi="GHEA Grapalat" w:cs="Sylfaen"/>
                <w:sz w:val="24"/>
                <w:szCs w:val="24"/>
                <w:lang w:val="af-ZA"/>
              </w:rPr>
              <w:t xml:space="preserve"> </w:t>
            </w:r>
            <w:r w:rsidRPr="00252203">
              <w:rPr>
                <w:rFonts w:ascii="GHEA Grapalat" w:hAnsi="GHEA Grapalat" w:cs="Sylfaen"/>
                <w:sz w:val="24"/>
                <w:szCs w:val="24"/>
                <w:lang w:val="hy-AM"/>
              </w:rPr>
              <w:t>պետական</w:t>
            </w:r>
            <w:r w:rsidRPr="00252203">
              <w:rPr>
                <w:rFonts w:ascii="GHEA Grapalat" w:hAnsi="GHEA Grapalat" w:cs="Sylfaen"/>
                <w:sz w:val="24"/>
                <w:szCs w:val="24"/>
                <w:lang w:val="af-ZA"/>
              </w:rPr>
              <w:t xml:space="preserve"> </w:t>
            </w:r>
            <w:r w:rsidRPr="00252203">
              <w:rPr>
                <w:rFonts w:ascii="GHEA Grapalat" w:hAnsi="GHEA Grapalat" w:cs="Sylfaen"/>
                <w:sz w:val="24"/>
                <w:szCs w:val="24"/>
                <w:lang w:val="hy-AM"/>
              </w:rPr>
              <w:t>բյուջեում</w:t>
            </w:r>
            <w:r w:rsidRPr="00252203" w:rsidDel="00752C7F">
              <w:rPr>
                <w:rFonts w:ascii="GHEA Grapalat" w:hAnsi="GHEA Grapalat" w:cs="Sylfaen"/>
                <w:sz w:val="24"/>
                <w:szCs w:val="24"/>
                <w:lang w:val="hy-AM"/>
              </w:rPr>
              <w:t xml:space="preserve"> </w:t>
            </w:r>
            <w:r w:rsidRPr="00252203">
              <w:rPr>
                <w:rFonts w:ascii="GHEA Grapalat" w:hAnsi="GHEA Grapalat" w:cs="Sylfaen"/>
                <w:sz w:val="24"/>
                <w:szCs w:val="24"/>
                <w:lang w:val="af-ZA"/>
              </w:rPr>
              <w:t xml:space="preserve"> </w:t>
            </w:r>
            <w:r w:rsidRPr="00252203">
              <w:rPr>
                <w:rFonts w:ascii="GHEA Grapalat" w:hAnsi="GHEA Grapalat" w:cs="Sylfaen"/>
                <w:sz w:val="24"/>
                <w:szCs w:val="24"/>
                <w:lang w:val="hy-AM"/>
              </w:rPr>
              <w:t>եկամուտների</w:t>
            </w:r>
            <w:r w:rsidRPr="00252203">
              <w:rPr>
                <w:rFonts w:ascii="GHEA Grapalat" w:hAnsi="GHEA Grapalat" w:cs="Sylfaen"/>
                <w:sz w:val="24"/>
                <w:szCs w:val="24"/>
                <w:lang w:val="af-ZA"/>
              </w:rPr>
              <w:t xml:space="preserve"> </w:t>
            </w:r>
            <w:r w:rsidRPr="00252203">
              <w:rPr>
                <w:rFonts w:ascii="GHEA Grapalat" w:hAnsi="GHEA Grapalat" w:cs="Sylfaen"/>
                <w:sz w:val="24"/>
                <w:szCs w:val="24"/>
                <w:lang w:val="hy-AM"/>
              </w:rPr>
              <w:t>և ծախսերի ավելացում</w:t>
            </w:r>
            <w:r w:rsidRPr="00252203">
              <w:rPr>
                <w:rFonts w:ascii="GHEA Grapalat" w:hAnsi="GHEA Grapalat" w:cs="Sylfaen"/>
                <w:sz w:val="24"/>
                <w:szCs w:val="24"/>
                <w:lang w:val="af-ZA"/>
              </w:rPr>
              <w:t xml:space="preserve"> </w:t>
            </w:r>
            <w:r w:rsidRPr="00252203">
              <w:rPr>
                <w:rFonts w:ascii="GHEA Grapalat" w:hAnsi="GHEA Grapalat" w:cs="Sylfaen"/>
                <w:sz w:val="24"/>
                <w:szCs w:val="24"/>
                <w:lang w:val="hy-AM"/>
              </w:rPr>
              <w:t>կամ</w:t>
            </w:r>
            <w:r w:rsidRPr="00252203">
              <w:rPr>
                <w:rFonts w:ascii="GHEA Grapalat" w:hAnsi="GHEA Grapalat" w:cs="Sylfaen"/>
                <w:sz w:val="24"/>
                <w:szCs w:val="24"/>
                <w:lang w:val="af-ZA"/>
              </w:rPr>
              <w:t xml:space="preserve"> </w:t>
            </w:r>
            <w:r w:rsidRPr="00252203">
              <w:rPr>
                <w:rFonts w:ascii="GHEA Grapalat" w:hAnsi="GHEA Grapalat" w:cs="Sylfaen"/>
                <w:sz w:val="24"/>
                <w:szCs w:val="24"/>
                <w:lang w:val="hy-AM"/>
              </w:rPr>
              <w:t>նվազեցում</w:t>
            </w:r>
            <w:r w:rsidRPr="00252203">
              <w:rPr>
                <w:rFonts w:ascii="GHEA Grapalat" w:hAnsi="GHEA Grapalat" w:cs="Sylfaen"/>
                <w:sz w:val="24"/>
                <w:szCs w:val="24"/>
                <w:lang w:val="af-ZA"/>
              </w:rPr>
              <w:t xml:space="preserve"> </w:t>
            </w:r>
            <w:r w:rsidRPr="00252203">
              <w:rPr>
                <w:rFonts w:ascii="GHEA Grapalat" w:hAnsi="GHEA Grapalat" w:cs="Sylfaen"/>
                <w:sz w:val="24"/>
                <w:szCs w:val="24"/>
                <w:lang w:val="hy-AM"/>
              </w:rPr>
              <w:t>չի</w:t>
            </w:r>
            <w:r w:rsidRPr="00252203">
              <w:rPr>
                <w:rFonts w:ascii="GHEA Grapalat" w:hAnsi="GHEA Grapalat" w:cs="Sylfaen"/>
                <w:sz w:val="24"/>
                <w:szCs w:val="24"/>
                <w:lang w:val="af-ZA"/>
              </w:rPr>
              <w:t xml:space="preserve"> </w:t>
            </w:r>
            <w:r w:rsidRPr="00252203">
              <w:rPr>
                <w:rFonts w:ascii="GHEA Grapalat" w:hAnsi="GHEA Grapalat" w:cs="Sylfaen"/>
                <w:sz w:val="24"/>
                <w:szCs w:val="24"/>
                <w:lang w:val="hy-AM"/>
              </w:rPr>
              <w:t>նախատեսվում</w:t>
            </w:r>
            <w:r w:rsidRPr="00252203">
              <w:rPr>
                <w:rFonts w:ascii="GHEA Grapalat" w:hAnsi="GHEA Grapalat" w:cs="Sylfaen"/>
                <w:sz w:val="24"/>
                <w:szCs w:val="24"/>
                <w:lang w:val="af-ZA"/>
              </w:rPr>
              <w:t>:</w:t>
            </w:r>
          </w:p>
        </w:tc>
      </w:tr>
      <w:tr w:rsidR="00FB55B6" w:rsidRPr="00446473" w14:paraId="1BC2EA9D" w14:textId="77777777" w:rsidTr="00252203">
        <w:tc>
          <w:tcPr>
            <w:tcW w:w="242" w:type="pct"/>
          </w:tcPr>
          <w:p w14:paraId="14C7A2E8" w14:textId="77777777" w:rsidR="00FB55B6" w:rsidRPr="00252203" w:rsidRDefault="00FB55B6" w:rsidP="00252203">
            <w:pPr>
              <w:spacing w:after="0" w:line="360" w:lineRule="auto"/>
              <w:rPr>
                <w:rFonts w:ascii="GHEA Grapalat" w:hAnsi="GHEA Grapalat"/>
                <w:sz w:val="24"/>
                <w:szCs w:val="24"/>
                <w:lang w:val="hy-AM"/>
              </w:rPr>
            </w:pPr>
          </w:p>
        </w:tc>
        <w:tc>
          <w:tcPr>
            <w:tcW w:w="4758" w:type="pct"/>
          </w:tcPr>
          <w:p w14:paraId="49C16816" w14:textId="77777777" w:rsidR="00FB55B6" w:rsidRPr="00252203" w:rsidRDefault="00FB55B6" w:rsidP="00252203">
            <w:pPr>
              <w:spacing w:line="360" w:lineRule="auto"/>
              <w:rPr>
                <w:rFonts w:ascii="GHEA Grapalat" w:hAnsi="GHEA Grapalat" w:cs="Sylfaen"/>
                <w:b/>
                <w:color w:val="000000"/>
                <w:sz w:val="24"/>
                <w:szCs w:val="24"/>
                <w:lang w:val="hy-AM"/>
              </w:rPr>
            </w:pPr>
            <w:r w:rsidRPr="00252203">
              <w:rPr>
                <w:rFonts w:ascii="GHEA Grapalat" w:hAnsi="GHEA Grapalat" w:cs="Sylfaen"/>
                <w:b/>
                <w:color w:val="000000"/>
                <w:sz w:val="24"/>
                <w:szCs w:val="24"/>
                <w:lang w:val="hy-AM"/>
              </w:rPr>
              <w:t>Նախագծի կապը ռազմավարական փաստաթղթերի հետ.</w:t>
            </w:r>
            <w:r w:rsidRPr="00252203">
              <w:rPr>
                <w:rFonts w:ascii="GHEA Grapalat" w:hAnsi="GHEA Grapalat"/>
                <w:color w:val="000000"/>
                <w:sz w:val="24"/>
                <w:szCs w:val="24"/>
                <w:lang w:val="hy-AM"/>
              </w:rPr>
              <w:t xml:space="preserve"> </w:t>
            </w:r>
            <w:r w:rsidRPr="00252203">
              <w:rPr>
                <w:rFonts w:ascii="GHEA Grapalat" w:hAnsi="GHEA Grapalat"/>
                <w:b/>
                <w:color w:val="000000"/>
                <w:sz w:val="24"/>
                <w:szCs w:val="24"/>
                <w:lang w:val="hy-AM"/>
              </w:rPr>
              <w:t>Հայաստանի վերափոխման ռազմավարություն 2050, Կառավարության 2021-2026թթ. ծրագիր, ոլորտային և/կամ այլ ռազմավարություններ</w:t>
            </w:r>
          </w:p>
        </w:tc>
      </w:tr>
      <w:tr w:rsidR="00FB55B6" w:rsidRPr="00446473" w14:paraId="1F87D00B" w14:textId="77777777" w:rsidTr="00252203">
        <w:tc>
          <w:tcPr>
            <w:tcW w:w="242" w:type="pct"/>
          </w:tcPr>
          <w:p w14:paraId="1FAF3B9D" w14:textId="77777777" w:rsidR="00FB55B6" w:rsidRPr="00252203" w:rsidRDefault="00FB55B6" w:rsidP="00252203">
            <w:pPr>
              <w:spacing w:after="0" w:line="360" w:lineRule="auto"/>
              <w:jc w:val="center"/>
              <w:rPr>
                <w:rFonts w:ascii="GHEA Grapalat" w:hAnsi="GHEA Grapalat"/>
                <w:sz w:val="24"/>
                <w:szCs w:val="24"/>
                <w:lang w:val="hy-AM"/>
              </w:rPr>
            </w:pPr>
          </w:p>
        </w:tc>
        <w:tc>
          <w:tcPr>
            <w:tcW w:w="4758" w:type="pct"/>
          </w:tcPr>
          <w:p w14:paraId="208EC0D1" w14:textId="5A933C5F" w:rsidR="00FB55B6" w:rsidRPr="00252203" w:rsidRDefault="00D17161" w:rsidP="00252203">
            <w:pPr>
              <w:spacing w:line="360" w:lineRule="auto"/>
              <w:jc w:val="both"/>
              <w:rPr>
                <w:rFonts w:ascii="GHEA Grapalat" w:hAnsi="GHEA Grapalat" w:cs="Sylfaen"/>
                <w:b/>
                <w:color w:val="000000"/>
                <w:sz w:val="24"/>
                <w:szCs w:val="24"/>
                <w:lang w:val="hy-AM"/>
              </w:rPr>
            </w:pPr>
            <w:r w:rsidRPr="00252203">
              <w:rPr>
                <w:rFonts w:ascii="GHEA Grapalat" w:hAnsi="GHEA Grapalat"/>
                <w:sz w:val="24"/>
                <w:szCs w:val="24"/>
                <w:lang w:val="hy-AM"/>
              </w:rPr>
              <w:t>«Բարձրավոլտ էլեկտրացանցեր» փակ բաժնետիրական ընկերության 220/110/35/10/6</w:t>
            </w:r>
            <w:r w:rsidRPr="00D17161">
              <w:rPr>
                <w:rFonts w:ascii="GHEA Grapalat" w:hAnsi="GHEA Grapalat"/>
                <w:sz w:val="24"/>
                <w:szCs w:val="24"/>
                <w:lang w:val="hy-AM"/>
              </w:rPr>
              <w:t xml:space="preserve"> </w:t>
            </w:r>
            <w:r w:rsidRPr="00252203">
              <w:rPr>
                <w:rFonts w:ascii="GHEA Grapalat" w:hAnsi="GHEA Grapalat"/>
                <w:sz w:val="24"/>
                <w:szCs w:val="24"/>
                <w:lang w:val="hy-AM"/>
              </w:rPr>
              <w:t>կՎ «Շինուհայր» և 220/110/6</w:t>
            </w:r>
            <w:r w:rsidRPr="00D17161">
              <w:rPr>
                <w:rFonts w:ascii="GHEA Grapalat" w:hAnsi="GHEA Grapalat"/>
                <w:sz w:val="24"/>
                <w:szCs w:val="24"/>
                <w:lang w:val="hy-AM"/>
              </w:rPr>
              <w:t xml:space="preserve"> </w:t>
            </w:r>
            <w:r w:rsidRPr="00252203">
              <w:rPr>
                <w:rFonts w:ascii="GHEA Grapalat" w:hAnsi="GHEA Grapalat"/>
                <w:sz w:val="24"/>
                <w:szCs w:val="24"/>
                <w:lang w:val="hy-AM"/>
              </w:rPr>
              <w:t>կՎ «Ագարակ-2» ենթակայանների վերակառուցման աշխատանքների գնման ընթացակարգ</w:t>
            </w:r>
            <w:r>
              <w:rPr>
                <w:rFonts w:ascii="GHEA Grapalat" w:hAnsi="GHEA Grapalat"/>
                <w:sz w:val="24"/>
                <w:szCs w:val="24"/>
                <w:lang w:val="hy-AM"/>
              </w:rPr>
              <w:t>ում</w:t>
            </w:r>
            <w:r w:rsidRPr="00252203">
              <w:rPr>
                <w:rFonts w:ascii="GHEA Grapalat" w:hAnsi="GHEA Grapalat"/>
                <w:sz w:val="24"/>
                <w:szCs w:val="24"/>
                <w:lang w:val="hy-AM"/>
              </w:rPr>
              <w:t xml:space="preserve"> մասնակիցների որակավորման չափանիշներ</w:t>
            </w:r>
            <w:r>
              <w:rPr>
                <w:rFonts w:ascii="GHEA Grapalat" w:hAnsi="GHEA Grapalat"/>
                <w:sz w:val="24"/>
                <w:szCs w:val="24"/>
                <w:lang w:val="hy-AM"/>
              </w:rPr>
              <w:t xml:space="preserve"> կիրառելու </w:t>
            </w:r>
            <w:r w:rsidRPr="00252203">
              <w:rPr>
                <w:rFonts w:ascii="GHEA Grapalat" w:hAnsi="GHEA Grapalat"/>
                <w:sz w:val="24"/>
                <w:szCs w:val="24"/>
                <w:lang w:val="hy-AM"/>
              </w:rPr>
              <w:t xml:space="preserve">մասին» </w:t>
            </w:r>
            <w:r w:rsidR="00FB55B6" w:rsidRPr="00252203">
              <w:rPr>
                <w:rFonts w:ascii="GHEA Grapalat" w:hAnsi="GHEA Grapalat"/>
                <w:color w:val="000000"/>
                <w:sz w:val="24"/>
                <w:szCs w:val="24"/>
                <w:lang w:val="hy-AM"/>
              </w:rPr>
              <w:t xml:space="preserve">Հայաստանի Հանրապետության կառավարության որոշման նախագիծը չի բխում Հայաստանի վերափոխման ռազմավարություն 2050, Կառավարության 2021-2026թթ. ծրագիր, </w:t>
            </w:r>
            <w:r w:rsidR="00FB55B6" w:rsidRPr="00252203">
              <w:rPr>
                <w:rFonts w:ascii="GHEA Grapalat" w:eastAsia="Times New Roman" w:hAnsi="GHEA Grapalat" w:cs="Sylfaen"/>
                <w:bCs/>
                <w:color w:val="000000"/>
                <w:sz w:val="24"/>
                <w:szCs w:val="24"/>
                <w:lang w:val="hy-AM" w:eastAsia="ru-RU"/>
              </w:rPr>
              <w:t>Հայաստանի Հանրապետության էներգետիկայի բնագավառի զարգացման ռազմավարական ծրագիր մինչև 2040 թվականը և այլ  ռազմավարական փաստաթղթերից:</w:t>
            </w:r>
          </w:p>
        </w:tc>
      </w:tr>
    </w:tbl>
    <w:p w14:paraId="44653E7C" w14:textId="71EE6C24" w:rsidR="00D84A89" w:rsidRPr="00252203" w:rsidRDefault="00D84A89" w:rsidP="00252203">
      <w:pPr>
        <w:tabs>
          <w:tab w:val="left" w:pos="2898"/>
        </w:tabs>
        <w:spacing w:after="0" w:line="360" w:lineRule="auto"/>
        <w:rPr>
          <w:rFonts w:ascii="GHEA Grapalat" w:hAnsi="GHEA Grapalat"/>
          <w:sz w:val="24"/>
          <w:szCs w:val="24"/>
          <w:lang w:val="hy-AM"/>
        </w:rPr>
        <w:sectPr w:rsidR="00D84A89" w:rsidRPr="00252203" w:rsidSect="00252203">
          <w:pgSz w:w="11906" w:h="16838"/>
          <w:pgMar w:top="851" w:right="851" w:bottom="851" w:left="851" w:header="709" w:footer="709" w:gutter="0"/>
          <w:cols w:space="708"/>
          <w:docGrid w:linePitch="360"/>
        </w:sectPr>
      </w:pPr>
    </w:p>
    <w:p w14:paraId="58BA3A51" w14:textId="16AB4AE7" w:rsidR="00D84A89" w:rsidRPr="00252203" w:rsidRDefault="00D84A89" w:rsidP="00252203">
      <w:pPr>
        <w:tabs>
          <w:tab w:val="left" w:pos="2898"/>
        </w:tabs>
        <w:spacing w:after="0" w:line="360" w:lineRule="auto"/>
        <w:rPr>
          <w:rFonts w:ascii="GHEA Grapalat" w:hAnsi="GHEA Grapalat"/>
          <w:sz w:val="24"/>
          <w:szCs w:val="24"/>
          <w:lang w:val="hy-AM"/>
        </w:rPr>
      </w:pPr>
    </w:p>
    <w:p w14:paraId="591CA6FC" w14:textId="7B1AE838" w:rsidR="00D84A89" w:rsidRPr="00252203" w:rsidRDefault="00D84A89" w:rsidP="00252203">
      <w:pPr>
        <w:spacing w:after="0" w:line="360" w:lineRule="auto"/>
        <w:jc w:val="center"/>
        <w:rPr>
          <w:rFonts w:ascii="GHEA Grapalat" w:hAnsi="GHEA Grapalat"/>
          <w:sz w:val="24"/>
          <w:szCs w:val="24"/>
          <w:lang w:val="hy-AM"/>
        </w:rPr>
      </w:pPr>
      <w:r w:rsidRPr="00252203">
        <w:rPr>
          <w:rFonts w:ascii="GHEA Grapalat" w:hAnsi="GHEA Grapalat"/>
          <w:sz w:val="24"/>
          <w:szCs w:val="24"/>
          <w:lang w:val="hy-AM"/>
        </w:rPr>
        <w:t>ՑԱՆԿ</w:t>
      </w:r>
    </w:p>
    <w:p w14:paraId="3B3F016A" w14:textId="54FE5EB5" w:rsidR="00D84A89" w:rsidRPr="00252203" w:rsidRDefault="00FB55B6" w:rsidP="00252203">
      <w:pPr>
        <w:spacing w:line="360" w:lineRule="auto"/>
        <w:jc w:val="center"/>
        <w:rPr>
          <w:rFonts w:ascii="GHEA Grapalat" w:hAnsi="GHEA Grapalat"/>
          <w:sz w:val="24"/>
          <w:szCs w:val="24"/>
          <w:lang w:val="hy-AM"/>
        </w:rPr>
      </w:pPr>
      <w:r w:rsidRPr="00252203">
        <w:rPr>
          <w:rFonts w:ascii="GHEA Grapalat" w:hAnsi="GHEA Grapalat"/>
          <w:sz w:val="24"/>
          <w:szCs w:val="24"/>
          <w:lang w:val="hy-AM"/>
        </w:rPr>
        <w:t>220/110/35/10/6</w:t>
      </w:r>
      <w:r w:rsidRPr="00252203">
        <w:rPr>
          <w:rFonts w:ascii="GHEA Grapalat" w:hAnsi="GHEA Grapalat" w:cs="Calibri"/>
          <w:sz w:val="24"/>
          <w:szCs w:val="24"/>
          <w:lang w:val="hy-AM"/>
        </w:rPr>
        <w:t xml:space="preserve"> </w:t>
      </w:r>
      <w:r w:rsidRPr="00252203">
        <w:rPr>
          <w:rFonts w:ascii="GHEA Grapalat" w:hAnsi="GHEA Grapalat"/>
          <w:sz w:val="24"/>
          <w:szCs w:val="24"/>
          <w:lang w:val="hy-AM"/>
        </w:rPr>
        <w:t>ԿՎ «ՇԻՆՈՒՀԱՅՐ» ԵՎ 220/110/6</w:t>
      </w:r>
      <w:r w:rsidRPr="00252203">
        <w:rPr>
          <w:rFonts w:ascii="GHEA Grapalat" w:hAnsi="GHEA Grapalat" w:cs="Calibri"/>
          <w:sz w:val="24"/>
          <w:szCs w:val="24"/>
          <w:lang w:val="hy-AM"/>
        </w:rPr>
        <w:t xml:space="preserve"> </w:t>
      </w:r>
      <w:r w:rsidRPr="00252203">
        <w:rPr>
          <w:rFonts w:ascii="GHEA Grapalat" w:hAnsi="GHEA Grapalat"/>
          <w:sz w:val="24"/>
          <w:szCs w:val="24"/>
          <w:lang w:val="hy-AM"/>
        </w:rPr>
        <w:t>ԿՎ «ԱԳԱՐԱԿ-2» ԵՆԹԱԿԱՅԱՆՆԵՐԻ ՎԵՐԱԿԱՌՈՒՑՄԱՆ ԱՇԽԱՏԱՆՔՆԵՐԻ ԳՆՄԱՆ ԸՆԹԱՑԱԿԱՐԳԻ ՄԱՍՆԱԿԻՑՆԵՐԻ՝ ԱՌԱՋԱՐԿՎՈՂ ՈՐԱԿԱՎՈՐՄԱՆ ՉԱՓԱՆԻՇՆԵՐԻՆ ՀԱՄԱՊԱՏԱՍԽԱՆՈՂ ԸՆԿԵՐՈՒԹՅՈՒՆՆԵՐԻ</w:t>
      </w:r>
    </w:p>
    <w:p w14:paraId="7B26209D" w14:textId="77777777" w:rsidR="00D84A89" w:rsidRPr="00252203" w:rsidRDefault="00D84A89" w:rsidP="00252203">
      <w:pPr>
        <w:spacing w:line="360" w:lineRule="auto"/>
        <w:rPr>
          <w:rFonts w:ascii="GHEA Grapalat" w:hAnsi="GHEA Grapalat"/>
          <w:sz w:val="24"/>
          <w:szCs w:val="24"/>
          <w:lang w:val="hy-AM"/>
        </w:rPr>
      </w:pPr>
    </w:p>
    <w:tbl>
      <w:tblPr>
        <w:tblStyle w:val="TableGrid"/>
        <w:tblW w:w="14596" w:type="dxa"/>
        <w:tblLayout w:type="fixed"/>
        <w:tblLook w:val="04A0" w:firstRow="1" w:lastRow="0" w:firstColumn="1" w:lastColumn="0" w:noHBand="0" w:noVBand="1"/>
      </w:tblPr>
      <w:tblGrid>
        <w:gridCol w:w="4047"/>
        <w:gridCol w:w="1080"/>
        <w:gridCol w:w="1080"/>
        <w:gridCol w:w="1170"/>
        <w:gridCol w:w="1267"/>
        <w:gridCol w:w="5952"/>
      </w:tblGrid>
      <w:tr w:rsidR="00D84A89" w:rsidRPr="00446473" w14:paraId="1F79DF8C" w14:textId="77777777" w:rsidTr="00401A44">
        <w:trPr>
          <w:trHeight w:val="230"/>
        </w:trPr>
        <w:tc>
          <w:tcPr>
            <w:tcW w:w="4047" w:type="dxa"/>
            <w:vMerge w:val="restart"/>
            <w:tcBorders>
              <w:top w:val="single" w:sz="4" w:space="0" w:color="auto"/>
              <w:left w:val="single" w:sz="4" w:space="0" w:color="auto"/>
              <w:bottom w:val="single" w:sz="4" w:space="0" w:color="auto"/>
              <w:right w:val="single" w:sz="4" w:space="0" w:color="auto"/>
            </w:tcBorders>
            <w:vAlign w:val="center"/>
            <w:hideMark/>
          </w:tcPr>
          <w:p w14:paraId="00BE1077" w14:textId="77777777" w:rsidR="00D84A89" w:rsidRPr="00252203" w:rsidRDefault="00D84A89" w:rsidP="00252203">
            <w:pPr>
              <w:spacing w:line="360" w:lineRule="auto"/>
              <w:jc w:val="center"/>
              <w:rPr>
                <w:rFonts w:ascii="GHEA Grapalat" w:hAnsi="GHEA Grapalat"/>
                <w:b/>
                <w:bCs/>
                <w:sz w:val="24"/>
                <w:szCs w:val="24"/>
                <w:lang w:val="hy-AM"/>
              </w:rPr>
            </w:pPr>
            <w:r w:rsidRPr="00252203">
              <w:rPr>
                <w:rFonts w:ascii="GHEA Grapalat" w:hAnsi="GHEA Grapalat"/>
                <w:b/>
                <w:bCs/>
                <w:sz w:val="24"/>
                <w:szCs w:val="24"/>
                <w:lang w:val="hy-AM"/>
              </w:rPr>
              <w:t>Ընկերության անվանումը</w:t>
            </w:r>
          </w:p>
        </w:tc>
        <w:tc>
          <w:tcPr>
            <w:tcW w:w="4597" w:type="dxa"/>
            <w:gridSpan w:val="4"/>
            <w:tcBorders>
              <w:top w:val="single" w:sz="4" w:space="0" w:color="auto"/>
              <w:left w:val="single" w:sz="4" w:space="0" w:color="auto"/>
              <w:bottom w:val="single" w:sz="4" w:space="0" w:color="auto"/>
              <w:right w:val="single" w:sz="4" w:space="0" w:color="auto"/>
            </w:tcBorders>
            <w:hideMark/>
          </w:tcPr>
          <w:p w14:paraId="168A483A" w14:textId="77777777" w:rsidR="00D84A89" w:rsidRPr="00252203" w:rsidRDefault="00D84A89" w:rsidP="00252203">
            <w:pPr>
              <w:spacing w:line="360" w:lineRule="auto"/>
              <w:jc w:val="center"/>
              <w:rPr>
                <w:rFonts w:ascii="GHEA Grapalat" w:hAnsi="GHEA Grapalat"/>
                <w:b/>
                <w:bCs/>
                <w:sz w:val="24"/>
                <w:szCs w:val="24"/>
                <w:lang w:val="hy-AM"/>
              </w:rPr>
            </w:pPr>
            <w:r w:rsidRPr="00252203">
              <w:rPr>
                <w:rFonts w:ascii="GHEA Grapalat" w:hAnsi="GHEA Grapalat"/>
                <w:b/>
                <w:bCs/>
                <w:sz w:val="24"/>
                <w:szCs w:val="24"/>
                <w:lang w:val="hy-AM"/>
              </w:rPr>
              <w:t>Փորձառության չափանիշին համապատասխանությունը</w:t>
            </w:r>
          </w:p>
        </w:tc>
        <w:tc>
          <w:tcPr>
            <w:tcW w:w="5952" w:type="dxa"/>
            <w:vMerge w:val="restart"/>
            <w:tcBorders>
              <w:top w:val="single" w:sz="4" w:space="0" w:color="auto"/>
              <w:left w:val="single" w:sz="4" w:space="0" w:color="auto"/>
              <w:bottom w:val="single" w:sz="4" w:space="0" w:color="auto"/>
              <w:right w:val="single" w:sz="4" w:space="0" w:color="auto"/>
            </w:tcBorders>
            <w:vAlign w:val="center"/>
            <w:hideMark/>
          </w:tcPr>
          <w:p w14:paraId="520185E1" w14:textId="77777777" w:rsidR="00D84A89" w:rsidRPr="00252203" w:rsidRDefault="00D84A89" w:rsidP="00252203">
            <w:pPr>
              <w:spacing w:line="360" w:lineRule="auto"/>
              <w:jc w:val="center"/>
              <w:rPr>
                <w:rFonts w:ascii="GHEA Grapalat" w:hAnsi="GHEA Grapalat"/>
                <w:b/>
                <w:bCs/>
                <w:sz w:val="24"/>
                <w:szCs w:val="24"/>
                <w:lang w:val="hy-AM"/>
              </w:rPr>
            </w:pPr>
            <w:r w:rsidRPr="00252203">
              <w:rPr>
                <w:rFonts w:ascii="GHEA Grapalat" w:hAnsi="GHEA Grapalat"/>
                <w:b/>
                <w:bCs/>
                <w:sz w:val="24"/>
                <w:szCs w:val="24"/>
                <w:lang w:val="hy-AM"/>
              </w:rPr>
              <w:t>Վերակառուցած կամ կառուցած ենթակայանների անվանումը</w:t>
            </w:r>
          </w:p>
        </w:tc>
      </w:tr>
      <w:tr w:rsidR="00D84A89" w:rsidRPr="00252203" w14:paraId="27523DFF" w14:textId="77777777" w:rsidTr="00401A44">
        <w:trPr>
          <w:trHeight w:val="230"/>
        </w:trPr>
        <w:tc>
          <w:tcPr>
            <w:tcW w:w="4047" w:type="dxa"/>
            <w:vMerge/>
            <w:tcBorders>
              <w:top w:val="single" w:sz="4" w:space="0" w:color="auto"/>
              <w:left w:val="single" w:sz="4" w:space="0" w:color="auto"/>
              <w:bottom w:val="single" w:sz="4" w:space="0" w:color="auto"/>
              <w:right w:val="single" w:sz="4" w:space="0" w:color="auto"/>
            </w:tcBorders>
            <w:vAlign w:val="center"/>
            <w:hideMark/>
          </w:tcPr>
          <w:p w14:paraId="2181AEB7" w14:textId="77777777" w:rsidR="00D84A89" w:rsidRPr="00252203" w:rsidRDefault="00D84A89" w:rsidP="00252203">
            <w:pPr>
              <w:spacing w:line="360" w:lineRule="auto"/>
              <w:rPr>
                <w:rFonts w:ascii="GHEA Grapalat" w:hAnsi="GHEA Grapalat"/>
                <w:sz w:val="24"/>
                <w:szCs w:val="24"/>
                <w:lang w:val="hy-AM"/>
              </w:rPr>
            </w:pPr>
          </w:p>
        </w:tc>
        <w:tc>
          <w:tcPr>
            <w:tcW w:w="2160" w:type="dxa"/>
            <w:gridSpan w:val="2"/>
            <w:tcBorders>
              <w:top w:val="single" w:sz="4" w:space="0" w:color="auto"/>
              <w:left w:val="single" w:sz="4" w:space="0" w:color="auto"/>
              <w:bottom w:val="single" w:sz="4" w:space="0" w:color="auto"/>
              <w:right w:val="single" w:sz="4" w:space="0" w:color="auto"/>
            </w:tcBorders>
            <w:hideMark/>
          </w:tcPr>
          <w:p w14:paraId="07186672" w14:textId="77777777" w:rsidR="00D84A89" w:rsidRPr="00252203" w:rsidRDefault="00D84A89" w:rsidP="00252203">
            <w:pPr>
              <w:spacing w:line="360" w:lineRule="auto"/>
              <w:jc w:val="center"/>
              <w:rPr>
                <w:rFonts w:ascii="GHEA Grapalat" w:hAnsi="GHEA Grapalat"/>
                <w:b/>
                <w:bCs/>
                <w:sz w:val="24"/>
                <w:szCs w:val="24"/>
                <w:lang w:val="hy-AM"/>
              </w:rPr>
            </w:pPr>
            <w:r w:rsidRPr="00252203">
              <w:rPr>
                <w:rFonts w:ascii="GHEA Grapalat" w:hAnsi="GHEA Grapalat"/>
                <w:b/>
                <w:bCs/>
                <w:sz w:val="24"/>
                <w:szCs w:val="24"/>
                <w:lang w:val="hy-AM"/>
              </w:rPr>
              <w:t>Էլեկտրական</w:t>
            </w:r>
          </w:p>
        </w:tc>
        <w:tc>
          <w:tcPr>
            <w:tcW w:w="2437" w:type="dxa"/>
            <w:gridSpan w:val="2"/>
            <w:tcBorders>
              <w:top w:val="single" w:sz="4" w:space="0" w:color="auto"/>
              <w:left w:val="single" w:sz="4" w:space="0" w:color="auto"/>
              <w:bottom w:val="single" w:sz="4" w:space="0" w:color="auto"/>
              <w:right w:val="single" w:sz="4" w:space="0" w:color="auto"/>
            </w:tcBorders>
            <w:hideMark/>
          </w:tcPr>
          <w:p w14:paraId="4E1ECD39" w14:textId="77777777" w:rsidR="00D84A89" w:rsidRPr="00252203" w:rsidRDefault="00D84A89" w:rsidP="00252203">
            <w:pPr>
              <w:spacing w:line="360" w:lineRule="auto"/>
              <w:jc w:val="center"/>
              <w:rPr>
                <w:rFonts w:ascii="GHEA Grapalat" w:hAnsi="GHEA Grapalat"/>
                <w:b/>
                <w:bCs/>
                <w:sz w:val="24"/>
                <w:szCs w:val="24"/>
                <w:lang w:val="hy-AM"/>
              </w:rPr>
            </w:pPr>
            <w:r w:rsidRPr="00252203">
              <w:rPr>
                <w:rFonts w:ascii="GHEA Grapalat" w:hAnsi="GHEA Grapalat"/>
                <w:b/>
                <w:bCs/>
                <w:sz w:val="24"/>
                <w:szCs w:val="24"/>
                <w:lang w:val="hy-AM"/>
              </w:rPr>
              <w:t>շինարարական</w:t>
            </w:r>
          </w:p>
        </w:tc>
        <w:tc>
          <w:tcPr>
            <w:tcW w:w="5952" w:type="dxa"/>
            <w:vMerge/>
            <w:tcBorders>
              <w:top w:val="single" w:sz="4" w:space="0" w:color="auto"/>
              <w:left w:val="single" w:sz="4" w:space="0" w:color="auto"/>
              <w:bottom w:val="single" w:sz="4" w:space="0" w:color="auto"/>
              <w:right w:val="single" w:sz="4" w:space="0" w:color="auto"/>
            </w:tcBorders>
            <w:vAlign w:val="center"/>
            <w:hideMark/>
          </w:tcPr>
          <w:p w14:paraId="0EB3EB30" w14:textId="77777777" w:rsidR="00D84A89" w:rsidRPr="00252203" w:rsidRDefault="00D84A89" w:rsidP="00252203">
            <w:pPr>
              <w:spacing w:line="360" w:lineRule="auto"/>
              <w:rPr>
                <w:rFonts w:ascii="GHEA Grapalat" w:hAnsi="GHEA Grapalat"/>
                <w:sz w:val="24"/>
                <w:szCs w:val="24"/>
                <w:lang w:val="hy-AM"/>
              </w:rPr>
            </w:pPr>
          </w:p>
        </w:tc>
      </w:tr>
      <w:tr w:rsidR="00D84A89" w:rsidRPr="00252203" w14:paraId="3BCE98AD" w14:textId="77777777" w:rsidTr="00401A44">
        <w:trPr>
          <w:trHeight w:val="241"/>
        </w:trPr>
        <w:tc>
          <w:tcPr>
            <w:tcW w:w="4047" w:type="dxa"/>
            <w:vMerge/>
            <w:tcBorders>
              <w:top w:val="single" w:sz="4" w:space="0" w:color="auto"/>
              <w:left w:val="single" w:sz="4" w:space="0" w:color="auto"/>
              <w:bottom w:val="single" w:sz="4" w:space="0" w:color="auto"/>
              <w:right w:val="single" w:sz="4" w:space="0" w:color="auto"/>
            </w:tcBorders>
            <w:vAlign w:val="center"/>
            <w:hideMark/>
          </w:tcPr>
          <w:p w14:paraId="192123E6" w14:textId="77777777" w:rsidR="00D84A89" w:rsidRPr="00252203" w:rsidRDefault="00D84A89" w:rsidP="00252203">
            <w:pPr>
              <w:spacing w:line="360" w:lineRule="auto"/>
              <w:rPr>
                <w:rFonts w:ascii="GHEA Grapalat" w:hAnsi="GHEA Grapalat"/>
                <w:sz w:val="24"/>
                <w:szCs w:val="24"/>
                <w:lang w:val="hy-AM"/>
              </w:rPr>
            </w:pPr>
          </w:p>
        </w:tc>
        <w:tc>
          <w:tcPr>
            <w:tcW w:w="1080" w:type="dxa"/>
            <w:tcBorders>
              <w:top w:val="single" w:sz="4" w:space="0" w:color="auto"/>
              <w:left w:val="single" w:sz="4" w:space="0" w:color="auto"/>
              <w:bottom w:val="single" w:sz="4" w:space="0" w:color="auto"/>
              <w:right w:val="single" w:sz="4" w:space="0" w:color="auto"/>
            </w:tcBorders>
            <w:hideMark/>
          </w:tcPr>
          <w:p w14:paraId="276AF43D" w14:textId="77777777" w:rsidR="00D84A89" w:rsidRPr="00252203" w:rsidRDefault="00D84A89" w:rsidP="00252203">
            <w:pPr>
              <w:spacing w:line="360" w:lineRule="auto"/>
              <w:jc w:val="center"/>
              <w:rPr>
                <w:rFonts w:ascii="GHEA Grapalat" w:hAnsi="GHEA Grapalat"/>
                <w:b/>
                <w:bCs/>
                <w:sz w:val="24"/>
                <w:szCs w:val="24"/>
                <w:lang w:val="hy-AM"/>
              </w:rPr>
            </w:pPr>
            <w:r w:rsidRPr="00252203">
              <w:rPr>
                <w:rFonts w:ascii="GHEA Grapalat" w:hAnsi="GHEA Grapalat"/>
                <w:b/>
                <w:bCs/>
                <w:sz w:val="24"/>
                <w:szCs w:val="24"/>
                <w:lang w:val="hy-AM"/>
              </w:rPr>
              <w:t>220 կՎ</w:t>
            </w:r>
          </w:p>
        </w:tc>
        <w:tc>
          <w:tcPr>
            <w:tcW w:w="1080" w:type="dxa"/>
            <w:tcBorders>
              <w:top w:val="single" w:sz="4" w:space="0" w:color="auto"/>
              <w:left w:val="single" w:sz="4" w:space="0" w:color="auto"/>
              <w:bottom w:val="single" w:sz="4" w:space="0" w:color="auto"/>
              <w:right w:val="single" w:sz="4" w:space="0" w:color="auto"/>
            </w:tcBorders>
            <w:hideMark/>
          </w:tcPr>
          <w:p w14:paraId="4D289F27" w14:textId="77777777" w:rsidR="00D84A89" w:rsidRPr="00252203" w:rsidRDefault="00D84A89" w:rsidP="00252203">
            <w:pPr>
              <w:spacing w:line="360" w:lineRule="auto"/>
              <w:jc w:val="center"/>
              <w:rPr>
                <w:rFonts w:ascii="GHEA Grapalat" w:hAnsi="GHEA Grapalat"/>
                <w:b/>
                <w:bCs/>
                <w:sz w:val="24"/>
                <w:szCs w:val="24"/>
                <w:lang w:val="hy-AM"/>
              </w:rPr>
            </w:pPr>
            <w:r w:rsidRPr="00252203">
              <w:rPr>
                <w:rFonts w:ascii="GHEA Grapalat" w:hAnsi="GHEA Grapalat"/>
                <w:b/>
                <w:bCs/>
                <w:sz w:val="24"/>
                <w:szCs w:val="24"/>
                <w:lang w:val="hy-AM"/>
              </w:rPr>
              <w:t>110 կՎ</w:t>
            </w:r>
          </w:p>
        </w:tc>
        <w:tc>
          <w:tcPr>
            <w:tcW w:w="1170" w:type="dxa"/>
            <w:tcBorders>
              <w:top w:val="single" w:sz="4" w:space="0" w:color="auto"/>
              <w:left w:val="single" w:sz="4" w:space="0" w:color="auto"/>
              <w:bottom w:val="single" w:sz="4" w:space="0" w:color="auto"/>
              <w:right w:val="single" w:sz="4" w:space="0" w:color="auto"/>
            </w:tcBorders>
            <w:hideMark/>
          </w:tcPr>
          <w:p w14:paraId="2A6E7096" w14:textId="77777777" w:rsidR="00D84A89" w:rsidRPr="00252203" w:rsidRDefault="00D84A89" w:rsidP="00252203">
            <w:pPr>
              <w:spacing w:line="360" w:lineRule="auto"/>
              <w:jc w:val="center"/>
              <w:rPr>
                <w:rFonts w:ascii="GHEA Grapalat" w:hAnsi="GHEA Grapalat"/>
                <w:b/>
                <w:bCs/>
                <w:sz w:val="24"/>
                <w:szCs w:val="24"/>
                <w:lang w:val="hy-AM"/>
              </w:rPr>
            </w:pPr>
            <w:r w:rsidRPr="00252203">
              <w:rPr>
                <w:rFonts w:ascii="GHEA Grapalat" w:hAnsi="GHEA Grapalat"/>
                <w:b/>
                <w:bCs/>
                <w:sz w:val="24"/>
                <w:szCs w:val="24"/>
                <w:lang w:val="hy-AM"/>
              </w:rPr>
              <w:t>220 կՎ</w:t>
            </w:r>
          </w:p>
        </w:tc>
        <w:tc>
          <w:tcPr>
            <w:tcW w:w="1267" w:type="dxa"/>
            <w:tcBorders>
              <w:top w:val="single" w:sz="4" w:space="0" w:color="auto"/>
              <w:left w:val="single" w:sz="4" w:space="0" w:color="auto"/>
              <w:bottom w:val="single" w:sz="4" w:space="0" w:color="auto"/>
              <w:right w:val="single" w:sz="4" w:space="0" w:color="auto"/>
            </w:tcBorders>
            <w:hideMark/>
          </w:tcPr>
          <w:p w14:paraId="69E20707" w14:textId="77777777" w:rsidR="00D84A89" w:rsidRPr="00252203" w:rsidRDefault="00D84A89" w:rsidP="00252203">
            <w:pPr>
              <w:spacing w:line="360" w:lineRule="auto"/>
              <w:jc w:val="center"/>
              <w:rPr>
                <w:rFonts w:ascii="GHEA Grapalat" w:hAnsi="GHEA Grapalat"/>
                <w:b/>
                <w:bCs/>
                <w:sz w:val="24"/>
                <w:szCs w:val="24"/>
                <w:lang w:val="hy-AM"/>
              </w:rPr>
            </w:pPr>
            <w:r w:rsidRPr="00252203">
              <w:rPr>
                <w:rFonts w:ascii="GHEA Grapalat" w:hAnsi="GHEA Grapalat"/>
                <w:b/>
                <w:bCs/>
                <w:sz w:val="24"/>
                <w:szCs w:val="24"/>
                <w:lang w:val="hy-AM"/>
              </w:rPr>
              <w:t>110 կՎ</w:t>
            </w:r>
          </w:p>
        </w:tc>
        <w:tc>
          <w:tcPr>
            <w:tcW w:w="5952" w:type="dxa"/>
            <w:vMerge/>
            <w:tcBorders>
              <w:top w:val="single" w:sz="4" w:space="0" w:color="auto"/>
              <w:left w:val="single" w:sz="4" w:space="0" w:color="auto"/>
              <w:bottom w:val="single" w:sz="4" w:space="0" w:color="auto"/>
              <w:right w:val="single" w:sz="4" w:space="0" w:color="auto"/>
            </w:tcBorders>
            <w:vAlign w:val="center"/>
            <w:hideMark/>
          </w:tcPr>
          <w:p w14:paraId="1F347DE6" w14:textId="77777777" w:rsidR="00D84A89" w:rsidRPr="00252203" w:rsidRDefault="00D84A89" w:rsidP="00252203">
            <w:pPr>
              <w:spacing w:line="360" w:lineRule="auto"/>
              <w:rPr>
                <w:rFonts w:ascii="GHEA Grapalat" w:hAnsi="GHEA Grapalat"/>
                <w:sz w:val="24"/>
                <w:szCs w:val="24"/>
                <w:lang w:val="hy-AM"/>
              </w:rPr>
            </w:pPr>
          </w:p>
        </w:tc>
      </w:tr>
      <w:tr w:rsidR="00D84A89" w:rsidRPr="00446473" w14:paraId="0200628A" w14:textId="77777777" w:rsidTr="00401A44">
        <w:trPr>
          <w:trHeight w:val="850"/>
        </w:trPr>
        <w:tc>
          <w:tcPr>
            <w:tcW w:w="4047" w:type="dxa"/>
            <w:tcBorders>
              <w:top w:val="single" w:sz="4" w:space="0" w:color="auto"/>
              <w:left w:val="single" w:sz="4" w:space="0" w:color="auto"/>
              <w:bottom w:val="single" w:sz="4" w:space="0" w:color="auto"/>
              <w:right w:val="single" w:sz="4" w:space="0" w:color="auto"/>
            </w:tcBorders>
            <w:vAlign w:val="center"/>
            <w:hideMark/>
          </w:tcPr>
          <w:p w14:paraId="7FC4008E" w14:textId="77777777" w:rsidR="00D84A89" w:rsidRPr="00252203" w:rsidRDefault="00D84A89" w:rsidP="00252203">
            <w:pPr>
              <w:spacing w:line="360" w:lineRule="auto"/>
              <w:rPr>
                <w:rFonts w:ascii="GHEA Grapalat" w:hAnsi="GHEA Grapalat"/>
                <w:sz w:val="24"/>
                <w:szCs w:val="24"/>
                <w:lang w:val="hy-AM"/>
              </w:rPr>
            </w:pPr>
            <w:r w:rsidRPr="00252203">
              <w:rPr>
                <w:rFonts w:ascii="GHEA Grapalat" w:hAnsi="GHEA Grapalat"/>
                <w:sz w:val="24"/>
                <w:szCs w:val="24"/>
                <w:lang w:val="hy-AM"/>
              </w:rPr>
              <w:t>«Հիդրոէլեկտրամոնտաժ» ՓԲԸ</w:t>
            </w:r>
          </w:p>
        </w:tc>
        <w:tc>
          <w:tcPr>
            <w:tcW w:w="1080" w:type="dxa"/>
            <w:tcBorders>
              <w:top w:val="single" w:sz="4" w:space="0" w:color="auto"/>
              <w:left w:val="single" w:sz="4" w:space="0" w:color="auto"/>
              <w:bottom w:val="single" w:sz="4" w:space="0" w:color="auto"/>
              <w:right w:val="single" w:sz="4" w:space="0" w:color="auto"/>
            </w:tcBorders>
            <w:vAlign w:val="center"/>
            <w:hideMark/>
          </w:tcPr>
          <w:p w14:paraId="1D565461" w14:textId="77777777" w:rsidR="00D84A89" w:rsidRPr="00252203" w:rsidRDefault="00D84A89" w:rsidP="00252203">
            <w:pPr>
              <w:spacing w:line="360" w:lineRule="auto"/>
              <w:jc w:val="center"/>
              <w:rPr>
                <w:rFonts w:ascii="GHEA Grapalat" w:hAnsi="GHEA Grapalat"/>
                <w:sz w:val="24"/>
                <w:szCs w:val="24"/>
              </w:rPr>
            </w:pPr>
            <w:r w:rsidRPr="00252203">
              <w:rPr>
                <w:rFonts w:ascii="GHEA Grapalat" w:hAnsi="GHEA Grapalat"/>
                <w:sz w:val="24"/>
                <w:szCs w:val="24"/>
                <w:lang w:val="hy-AM"/>
              </w:rPr>
              <w:t>+</w:t>
            </w:r>
            <w:r w:rsidRPr="00252203">
              <w:rPr>
                <w:rFonts w:ascii="GHEA Grapalat" w:hAnsi="GHEA Grapalat"/>
                <w:sz w:val="24"/>
                <w:szCs w:val="24"/>
              </w:rPr>
              <w:t>(3)</w:t>
            </w:r>
          </w:p>
        </w:tc>
        <w:tc>
          <w:tcPr>
            <w:tcW w:w="1080" w:type="dxa"/>
            <w:tcBorders>
              <w:top w:val="single" w:sz="4" w:space="0" w:color="auto"/>
              <w:left w:val="single" w:sz="4" w:space="0" w:color="auto"/>
              <w:bottom w:val="single" w:sz="4" w:space="0" w:color="auto"/>
              <w:right w:val="single" w:sz="4" w:space="0" w:color="auto"/>
            </w:tcBorders>
            <w:vAlign w:val="center"/>
            <w:hideMark/>
          </w:tcPr>
          <w:p w14:paraId="13EFCC68" w14:textId="77777777" w:rsidR="00D84A89" w:rsidRPr="00252203" w:rsidRDefault="00D84A89" w:rsidP="00252203">
            <w:pPr>
              <w:spacing w:line="360" w:lineRule="auto"/>
              <w:jc w:val="center"/>
              <w:rPr>
                <w:rFonts w:ascii="GHEA Grapalat" w:hAnsi="GHEA Grapalat"/>
                <w:sz w:val="24"/>
                <w:szCs w:val="24"/>
              </w:rPr>
            </w:pPr>
            <w:r w:rsidRPr="00252203">
              <w:rPr>
                <w:rFonts w:ascii="GHEA Grapalat" w:hAnsi="GHEA Grapalat"/>
                <w:sz w:val="24"/>
                <w:szCs w:val="24"/>
                <w:lang w:val="hy-AM"/>
              </w:rPr>
              <w:t>+</w:t>
            </w:r>
            <w:r w:rsidRPr="00252203">
              <w:rPr>
                <w:rFonts w:ascii="GHEA Grapalat" w:hAnsi="GHEA Grapalat"/>
                <w:sz w:val="24"/>
                <w:szCs w:val="24"/>
              </w:rPr>
              <w:t>(3)</w:t>
            </w:r>
          </w:p>
        </w:tc>
        <w:tc>
          <w:tcPr>
            <w:tcW w:w="1170" w:type="dxa"/>
            <w:tcBorders>
              <w:top w:val="single" w:sz="4" w:space="0" w:color="auto"/>
              <w:left w:val="single" w:sz="4" w:space="0" w:color="auto"/>
              <w:bottom w:val="single" w:sz="4" w:space="0" w:color="auto"/>
              <w:right w:val="single" w:sz="4" w:space="0" w:color="auto"/>
            </w:tcBorders>
            <w:vAlign w:val="center"/>
          </w:tcPr>
          <w:p w14:paraId="718169FA" w14:textId="77777777" w:rsidR="00D84A89" w:rsidRPr="00252203" w:rsidRDefault="00D84A89" w:rsidP="00252203">
            <w:pPr>
              <w:spacing w:line="360" w:lineRule="auto"/>
              <w:rPr>
                <w:rFonts w:ascii="GHEA Grapalat" w:hAnsi="GHEA Grapalat"/>
                <w:sz w:val="24"/>
                <w:szCs w:val="24"/>
                <w:lang w:val="hy-AM"/>
              </w:rPr>
            </w:pPr>
          </w:p>
        </w:tc>
        <w:tc>
          <w:tcPr>
            <w:tcW w:w="1267" w:type="dxa"/>
            <w:tcBorders>
              <w:top w:val="single" w:sz="4" w:space="0" w:color="auto"/>
              <w:left w:val="single" w:sz="4" w:space="0" w:color="auto"/>
              <w:bottom w:val="single" w:sz="4" w:space="0" w:color="auto"/>
              <w:right w:val="single" w:sz="4" w:space="0" w:color="auto"/>
            </w:tcBorders>
            <w:vAlign w:val="center"/>
          </w:tcPr>
          <w:p w14:paraId="0CCB7E81" w14:textId="77777777" w:rsidR="00D84A89" w:rsidRPr="00252203" w:rsidRDefault="00D84A89" w:rsidP="00252203">
            <w:pPr>
              <w:spacing w:line="360" w:lineRule="auto"/>
              <w:rPr>
                <w:rFonts w:ascii="GHEA Grapalat" w:hAnsi="GHEA Grapalat"/>
                <w:sz w:val="24"/>
                <w:szCs w:val="24"/>
                <w:lang w:val="hy-AM"/>
              </w:rPr>
            </w:pPr>
          </w:p>
        </w:tc>
        <w:tc>
          <w:tcPr>
            <w:tcW w:w="5952" w:type="dxa"/>
            <w:tcBorders>
              <w:top w:val="single" w:sz="4" w:space="0" w:color="auto"/>
              <w:left w:val="single" w:sz="4" w:space="0" w:color="auto"/>
              <w:bottom w:val="single" w:sz="4" w:space="0" w:color="auto"/>
              <w:right w:val="single" w:sz="4" w:space="0" w:color="auto"/>
            </w:tcBorders>
            <w:vAlign w:val="center"/>
            <w:hideMark/>
          </w:tcPr>
          <w:p w14:paraId="75C0D6E1" w14:textId="77777777" w:rsidR="00D84A89" w:rsidRPr="00252203" w:rsidRDefault="00D84A89" w:rsidP="00252203">
            <w:pPr>
              <w:spacing w:line="360" w:lineRule="auto"/>
              <w:rPr>
                <w:rFonts w:ascii="GHEA Grapalat" w:hAnsi="GHEA Grapalat"/>
                <w:sz w:val="24"/>
                <w:szCs w:val="24"/>
                <w:lang w:val="hy-AM"/>
              </w:rPr>
            </w:pPr>
            <w:r w:rsidRPr="00252203">
              <w:rPr>
                <w:rFonts w:ascii="GHEA Grapalat" w:hAnsi="GHEA Grapalat"/>
                <w:sz w:val="24"/>
                <w:szCs w:val="24"/>
                <w:lang w:val="hy-AM"/>
              </w:rPr>
              <w:t xml:space="preserve">220/110 կՎ «Գյումրի-2», «Երևանի ՋԷԿ»-ի և «Աշնակ» ե/կ-ներ </w:t>
            </w:r>
          </w:p>
        </w:tc>
      </w:tr>
      <w:tr w:rsidR="00D84A89" w:rsidRPr="00446473" w14:paraId="3BE58C60" w14:textId="77777777" w:rsidTr="00401A44">
        <w:trPr>
          <w:trHeight w:val="230"/>
        </w:trPr>
        <w:tc>
          <w:tcPr>
            <w:tcW w:w="4047" w:type="dxa"/>
            <w:tcBorders>
              <w:top w:val="single" w:sz="4" w:space="0" w:color="auto"/>
              <w:left w:val="single" w:sz="4" w:space="0" w:color="auto"/>
              <w:bottom w:val="single" w:sz="4" w:space="0" w:color="auto"/>
              <w:right w:val="single" w:sz="4" w:space="0" w:color="auto"/>
            </w:tcBorders>
            <w:vAlign w:val="center"/>
            <w:hideMark/>
          </w:tcPr>
          <w:p w14:paraId="63D0F1B7" w14:textId="77777777" w:rsidR="00D84A89" w:rsidRPr="00252203" w:rsidRDefault="00D84A89" w:rsidP="00252203">
            <w:pPr>
              <w:spacing w:line="360" w:lineRule="auto"/>
              <w:rPr>
                <w:rFonts w:ascii="GHEA Grapalat" w:hAnsi="GHEA Grapalat"/>
                <w:sz w:val="24"/>
                <w:szCs w:val="24"/>
                <w:lang w:val="hy-AM"/>
              </w:rPr>
            </w:pPr>
            <w:r w:rsidRPr="00252203">
              <w:rPr>
                <w:rFonts w:ascii="GHEA Grapalat" w:hAnsi="GHEA Grapalat"/>
                <w:sz w:val="24"/>
                <w:szCs w:val="24"/>
                <w:lang w:val="hy-AM"/>
              </w:rPr>
              <w:t>«Էլեկտրասեվկավմոնտաժ» ՍՊԸ</w:t>
            </w:r>
          </w:p>
        </w:tc>
        <w:tc>
          <w:tcPr>
            <w:tcW w:w="1080" w:type="dxa"/>
            <w:tcBorders>
              <w:top w:val="single" w:sz="4" w:space="0" w:color="auto"/>
              <w:left w:val="single" w:sz="4" w:space="0" w:color="auto"/>
              <w:bottom w:val="single" w:sz="4" w:space="0" w:color="auto"/>
              <w:right w:val="single" w:sz="4" w:space="0" w:color="auto"/>
            </w:tcBorders>
            <w:vAlign w:val="center"/>
            <w:hideMark/>
          </w:tcPr>
          <w:p w14:paraId="61D5F26A" w14:textId="77777777" w:rsidR="00D84A89" w:rsidRPr="00252203" w:rsidRDefault="00D84A89" w:rsidP="00252203">
            <w:pPr>
              <w:spacing w:line="360" w:lineRule="auto"/>
              <w:jc w:val="center"/>
              <w:rPr>
                <w:rFonts w:ascii="GHEA Grapalat" w:hAnsi="GHEA Grapalat"/>
                <w:sz w:val="24"/>
                <w:szCs w:val="24"/>
              </w:rPr>
            </w:pPr>
            <w:r w:rsidRPr="00252203">
              <w:rPr>
                <w:rFonts w:ascii="GHEA Grapalat" w:hAnsi="GHEA Grapalat"/>
                <w:sz w:val="24"/>
                <w:szCs w:val="24"/>
              </w:rPr>
              <w:t>+(3)</w:t>
            </w:r>
          </w:p>
        </w:tc>
        <w:tc>
          <w:tcPr>
            <w:tcW w:w="1080" w:type="dxa"/>
            <w:tcBorders>
              <w:top w:val="single" w:sz="4" w:space="0" w:color="auto"/>
              <w:left w:val="single" w:sz="4" w:space="0" w:color="auto"/>
              <w:bottom w:val="single" w:sz="4" w:space="0" w:color="auto"/>
              <w:right w:val="single" w:sz="4" w:space="0" w:color="auto"/>
            </w:tcBorders>
            <w:vAlign w:val="center"/>
            <w:hideMark/>
          </w:tcPr>
          <w:p w14:paraId="67C1C3CB" w14:textId="77777777" w:rsidR="00D84A89" w:rsidRPr="00252203" w:rsidRDefault="00D84A89" w:rsidP="00252203">
            <w:pPr>
              <w:spacing w:line="360" w:lineRule="auto"/>
              <w:jc w:val="center"/>
              <w:rPr>
                <w:rFonts w:ascii="GHEA Grapalat" w:hAnsi="GHEA Grapalat"/>
                <w:sz w:val="24"/>
                <w:szCs w:val="24"/>
              </w:rPr>
            </w:pPr>
            <w:r w:rsidRPr="00252203">
              <w:rPr>
                <w:rFonts w:ascii="GHEA Grapalat" w:hAnsi="GHEA Grapalat"/>
                <w:sz w:val="24"/>
                <w:szCs w:val="24"/>
                <w:lang w:val="hy-AM"/>
              </w:rPr>
              <w:t>+</w:t>
            </w:r>
            <w:r w:rsidRPr="00252203">
              <w:rPr>
                <w:rFonts w:ascii="GHEA Grapalat" w:hAnsi="GHEA Grapalat"/>
                <w:sz w:val="24"/>
                <w:szCs w:val="24"/>
              </w:rPr>
              <w:t>(5)</w:t>
            </w:r>
          </w:p>
        </w:tc>
        <w:tc>
          <w:tcPr>
            <w:tcW w:w="1170" w:type="dxa"/>
            <w:tcBorders>
              <w:top w:val="single" w:sz="4" w:space="0" w:color="auto"/>
              <w:left w:val="single" w:sz="4" w:space="0" w:color="auto"/>
              <w:bottom w:val="single" w:sz="4" w:space="0" w:color="auto"/>
              <w:right w:val="single" w:sz="4" w:space="0" w:color="auto"/>
            </w:tcBorders>
            <w:vAlign w:val="center"/>
          </w:tcPr>
          <w:p w14:paraId="0F81232F" w14:textId="77777777" w:rsidR="00D84A89" w:rsidRPr="00252203" w:rsidRDefault="00D84A89" w:rsidP="00252203">
            <w:pPr>
              <w:spacing w:line="360" w:lineRule="auto"/>
              <w:rPr>
                <w:rFonts w:ascii="GHEA Grapalat" w:hAnsi="GHEA Grapalat"/>
                <w:sz w:val="24"/>
                <w:szCs w:val="24"/>
                <w:lang w:val="hy-AM"/>
              </w:rPr>
            </w:pPr>
          </w:p>
        </w:tc>
        <w:tc>
          <w:tcPr>
            <w:tcW w:w="1267" w:type="dxa"/>
            <w:tcBorders>
              <w:top w:val="single" w:sz="4" w:space="0" w:color="auto"/>
              <w:left w:val="single" w:sz="4" w:space="0" w:color="auto"/>
              <w:bottom w:val="single" w:sz="4" w:space="0" w:color="auto"/>
              <w:right w:val="single" w:sz="4" w:space="0" w:color="auto"/>
            </w:tcBorders>
            <w:vAlign w:val="center"/>
          </w:tcPr>
          <w:p w14:paraId="682F6CC8" w14:textId="77777777" w:rsidR="00D84A89" w:rsidRPr="00252203" w:rsidRDefault="00D84A89" w:rsidP="00252203">
            <w:pPr>
              <w:spacing w:line="360" w:lineRule="auto"/>
              <w:rPr>
                <w:rFonts w:ascii="GHEA Grapalat" w:hAnsi="GHEA Grapalat"/>
                <w:sz w:val="24"/>
                <w:szCs w:val="24"/>
                <w:lang w:val="hy-AM"/>
              </w:rPr>
            </w:pPr>
          </w:p>
        </w:tc>
        <w:tc>
          <w:tcPr>
            <w:tcW w:w="5952" w:type="dxa"/>
            <w:tcBorders>
              <w:top w:val="single" w:sz="4" w:space="0" w:color="auto"/>
              <w:left w:val="single" w:sz="4" w:space="0" w:color="auto"/>
              <w:bottom w:val="single" w:sz="4" w:space="0" w:color="auto"/>
              <w:right w:val="single" w:sz="4" w:space="0" w:color="auto"/>
            </w:tcBorders>
            <w:hideMark/>
          </w:tcPr>
          <w:p w14:paraId="7E6D2306" w14:textId="77777777" w:rsidR="00D84A89" w:rsidRPr="00252203" w:rsidRDefault="00D84A89" w:rsidP="00252203">
            <w:pPr>
              <w:spacing w:line="360" w:lineRule="auto"/>
              <w:rPr>
                <w:rFonts w:ascii="GHEA Grapalat" w:hAnsi="GHEA Grapalat"/>
                <w:sz w:val="24"/>
                <w:szCs w:val="24"/>
                <w:lang w:val="hy-AM"/>
              </w:rPr>
            </w:pPr>
            <w:r w:rsidRPr="00252203">
              <w:rPr>
                <w:rFonts w:ascii="GHEA Grapalat" w:hAnsi="GHEA Grapalat"/>
                <w:sz w:val="24"/>
                <w:szCs w:val="24"/>
                <w:lang w:val="hy-AM"/>
              </w:rPr>
              <w:t>«Սպանդարյան» և «Շամբ» ՀԷԿ-երի 220 կՎ, «Տաթև» ՀԷԿ-ի 110 կՎ ե/կ-ներ, «Արմփաուեր»-ի 220/110 կՎ ե/կ և 110 կՎ «Մատուռ», «Կաշեն» ու «Վոխչի» ե/կ-ներ</w:t>
            </w:r>
          </w:p>
        </w:tc>
      </w:tr>
      <w:tr w:rsidR="00D84A89" w:rsidRPr="00446473" w14:paraId="03FEFDEC" w14:textId="77777777" w:rsidTr="00401A44">
        <w:trPr>
          <w:trHeight w:val="230"/>
        </w:trPr>
        <w:tc>
          <w:tcPr>
            <w:tcW w:w="4047" w:type="dxa"/>
            <w:tcBorders>
              <w:top w:val="single" w:sz="4" w:space="0" w:color="auto"/>
              <w:left w:val="single" w:sz="4" w:space="0" w:color="auto"/>
              <w:bottom w:val="single" w:sz="4" w:space="0" w:color="auto"/>
              <w:right w:val="single" w:sz="4" w:space="0" w:color="auto"/>
            </w:tcBorders>
            <w:vAlign w:val="center"/>
            <w:hideMark/>
          </w:tcPr>
          <w:p w14:paraId="704707A1" w14:textId="77777777" w:rsidR="00D84A89" w:rsidRPr="00252203" w:rsidRDefault="00D84A89" w:rsidP="00252203">
            <w:pPr>
              <w:spacing w:line="360" w:lineRule="auto"/>
              <w:rPr>
                <w:rFonts w:ascii="GHEA Grapalat" w:hAnsi="GHEA Grapalat"/>
                <w:sz w:val="24"/>
                <w:szCs w:val="24"/>
                <w:lang w:val="hy-AM"/>
              </w:rPr>
            </w:pPr>
            <w:r w:rsidRPr="00252203">
              <w:rPr>
                <w:rFonts w:ascii="GHEA Grapalat" w:hAnsi="GHEA Grapalat"/>
                <w:sz w:val="24"/>
                <w:szCs w:val="24"/>
                <w:lang w:val="hy-AM"/>
              </w:rPr>
              <w:t>«Արտաշատի ԷՑՇ» ՍՊԸ</w:t>
            </w:r>
          </w:p>
        </w:tc>
        <w:tc>
          <w:tcPr>
            <w:tcW w:w="1080" w:type="dxa"/>
            <w:tcBorders>
              <w:top w:val="single" w:sz="4" w:space="0" w:color="auto"/>
              <w:left w:val="single" w:sz="4" w:space="0" w:color="auto"/>
              <w:bottom w:val="single" w:sz="4" w:space="0" w:color="auto"/>
              <w:right w:val="single" w:sz="4" w:space="0" w:color="auto"/>
            </w:tcBorders>
            <w:vAlign w:val="center"/>
          </w:tcPr>
          <w:p w14:paraId="6FFC93A3" w14:textId="77777777" w:rsidR="00D84A89" w:rsidRPr="00252203" w:rsidRDefault="00D84A89" w:rsidP="00252203">
            <w:pPr>
              <w:spacing w:line="360" w:lineRule="auto"/>
              <w:rPr>
                <w:rFonts w:ascii="GHEA Grapalat" w:hAnsi="GHEA Grapalat"/>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47B8C0A3" w14:textId="77777777" w:rsidR="00D84A89" w:rsidRPr="00252203" w:rsidRDefault="00D84A89" w:rsidP="00252203">
            <w:pPr>
              <w:spacing w:line="360" w:lineRule="auto"/>
              <w:rPr>
                <w:rFonts w:ascii="GHEA Grapalat" w:hAnsi="GHEA Grapalat"/>
                <w:sz w:val="24"/>
                <w:szCs w:val="24"/>
              </w:rPr>
            </w:pPr>
          </w:p>
        </w:tc>
        <w:tc>
          <w:tcPr>
            <w:tcW w:w="1170" w:type="dxa"/>
            <w:tcBorders>
              <w:top w:val="single" w:sz="4" w:space="0" w:color="auto"/>
              <w:left w:val="single" w:sz="4" w:space="0" w:color="auto"/>
              <w:bottom w:val="single" w:sz="4" w:space="0" w:color="auto"/>
              <w:right w:val="single" w:sz="4" w:space="0" w:color="auto"/>
            </w:tcBorders>
            <w:vAlign w:val="center"/>
            <w:hideMark/>
          </w:tcPr>
          <w:p w14:paraId="15C300C3" w14:textId="77777777" w:rsidR="00D84A89" w:rsidRPr="00252203" w:rsidRDefault="00D84A89" w:rsidP="00252203">
            <w:pPr>
              <w:spacing w:line="360" w:lineRule="auto"/>
              <w:jc w:val="center"/>
              <w:rPr>
                <w:rFonts w:ascii="GHEA Grapalat" w:hAnsi="GHEA Grapalat"/>
                <w:sz w:val="24"/>
                <w:szCs w:val="24"/>
                <w:lang w:val="hy-AM"/>
              </w:rPr>
            </w:pPr>
            <w:r w:rsidRPr="00252203">
              <w:rPr>
                <w:rFonts w:ascii="GHEA Grapalat" w:hAnsi="GHEA Grapalat"/>
                <w:sz w:val="24"/>
                <w:szCs w:val="24"/>
              </w:rPr>
              <w:t>+(2)</w:t>
            </w:r>
          </w:p>
        </w:tc>
        <w:tc>
          <w:tcPr>
            <w:tcW w:w="1267" w:type="dxa"/>
            <w:tcBorders>
              <w:top w:val="single" w:sz="4" w:space="0" w:color="auto"/>
              <w:left w:val="single" w:sz="4" w:space="0" w:color="auto"/>
              <w:bottom w:val="single" w:sz="4" w:space="0" w:color="auto"/>
              <w:right w:val="single" w:sz="4" w:space="0" w:color="auto"/>
            </w:tcBorders>
            <w:vAlign w:val="center"/>
            <w:hideMark/>
          </w:tcPr>
          <w:p w14:paraId="7501009E" w14:textId="77777777" w:rsidR="00D84A89" w:rsidRPr="00252203" w:rsidRDefault="00D84A89" w:rsidP="00252203">
            <w:pPr>
              <w:spacing w:line="360" w:lineRule="auto"/>
              <w:jc w:val="center"/>
              <w:rPr>
                <w:rFonts w:ascii="GHEA Grapalat" w:hAnsi="GHEA Grapalat"/>
                <w:sz w:val="24"/>
                <w:szCs w:val="24"/>
                <w:lang w:val="hy-AM"/>
              </w:rPr>
            </w:pPr>
            <w:r w:rsidRPr="00252203">
              <w:rPr>
                <w:rFonts w:ascii="GHEA Grapalat" w:hAnsi="GHEA Grapalat"/>
                <w:sz w:val="24"/>
                <w:szCs w:val="24"/>
              </w:rPr>
              <w:t>+(2)</w:t>
            </w:r>
          </w:p>
        </w:tc>
        <w:tc>
          <w:tcPr>
            <w:tcW w:w="5952" w:type="dxa"/>
            <w:tcBorders>
              <w:top w:val="single" w:sz="4" w:space="0" w:color="auto"/>
              <w:left w:val="single" w:sz="4" w:space="0" w:color="auto"/>
              <w:bottom w:val="single" w:sz="4" w:space="0" w:color="auto"/>
              <w:right w:val="single" w:sz="4" w:space="0" w:color="auto"/>
            </w:tcBorders>
            <w:hideMark/>
          </w:tcPr>
          <w:p w14:paraId="4281AE0D" w14:textId="77777777" w:rsidR="00D84A89" w:rsidRPr="00252203" w:rsidRDefault="00D84A89" w:rsidP="00252203">
            <w:pPr>
              <w:spacing w:line="360" w:lineRule="auto"/>
              <w:rPr>
                <w:rFonts w:ascii="GHEA Grapalat" w:hAnsi="GHEA Grapalat"/>
                <w:sz w:val="24"/>
                <w:szCs w:val="24"/>
                <w:lang w:val="hy-AM"/>
              </w:rPr>
            </w:pPr>
            <w:r w:rsidRPr="00252203">
              <w:rPr>
                <w:rFonts w:ascii="GHEA Grapalat" w:hAnsi="GHEA Grapalat"/>
                <w:sz w:val="24"/>
                <w:szCs w:val="24"/>
                <w:lang w:val="hy-AM"/>
              </w:rPr>
              <w:t>«Երևանի ՋԷԿ»-ի և «Արմփաուեր»-ի 220/110 կՎ ե/կ-ներ</w:t>
            </w:r>
          </w:p>
        </w:tc>
      </w:tr>
      <w:tr w:rsidR="00D84A89" w:rsidRPr="00446473" w14:paraId="09D9F1FD" w14:textId="77777777" w:rsidTr="00401A44">
        <w:trPr>
          <w:trHeight w:val="471"/>
        </w:trPr>
        <w:tc>
          <w:tcPr>
            <w:tcW w:w="4047" w:type="dxa"/>
            <w:tcBorders>
              <w:top w:val="single" w:sz="4" w:space="0" w:color="auto"/>
              <w:left w:val="single" w:sz="4" w:space="0" w:color="auto"/>
              <w:bottom w:val="single" w:sz="4" w:space="0" w:color="auto"/>
              <w:right w:val="single" w:sz="4" w:space="0" w:color="auto"/>
            </w:tcBorders>
            <w:vAlign w:val="center"/>
            <w:hideMark/>
          </w:tcPr>
          <w:p w14:paraId="685FE800" w14:textId="77777777" w:rsidR="00D84A89" w:rsidRPr="00252203" w:rsidRDefault="00D84A89" w:rsidP="00252203">
            <w:pPr>
              <w:spacing w:line="360" w:lineRule="auto"/>
              <w:rPr>
                <w:rFonts w:ascii="GHEA Grapalat" w:hAnsi="GHEA Grapalat"/>
                <w:sz w:val="24"/>
                <w:szCs w:val="24"/>
                <w:lang w:val="hy-AM"/>
              </w:rPr>
            </w:pPr>
            <w:r w:rsidRPr="00252203">
              <w:rPr>
                <w:rFonts w:ascii="GHEA Grapalat" w:hAnsi="GHEA Grapalat"/>
                <w:sz w:val="24"/>
                <w:szCs w:val="24"/>
                <w:lang w:val="hy-AM"/>
              </w:rPr>
              <w:lastRenderedPageBreak/>
              <w:t>«Ախուրյանի Կոոպշին» ՍՊԸ</w:t>
            </w:r>
          </w:p>
        </w:tc>
        <w:tc>
          <w:tcPr>
            <w:tcW w:w="1080" w:type="dxa"/>
            <w:tcBorders>
              <w:top w:val="single" w:sz="4" w:space="0" w:color="auto"/>
              <w:left w:val="single" w:sz="4" w:space="0" w:color="auto"/>
              <w:bottom w:val="single" w:sz="4" w:space="0" w:color="auto"/>
              <w:right w:val="single" w:sz="4" w:space="0" w:color="auto"/>
            </w:tcBorders>
            <w:vAlign w:val="center"/>
          </w:tcPr>
          <w:p w14:paraId="42543AB7" w14:textId="77777777" w:rsidR="00D84A89" w:rsidRPr="00252203" w:rsidRDefault="00D84A89" w:rsidP="00252203">
            <w:pPr>
              <w:spacing w:line="360" w:lineRule="auto"/>
              <w:rPr>
                <w:rFonts w:ascii="GHEA Grapalat" w:hAnsi="GHEA Grapalat"/>
                <w:sz w:val="24"/>
                <w:szCs w:val="24"/>
                <w:lang w:val="hy-AM"/>
              </w:rPr>
            </w:pPr>
          </w:p>
        </w:tc>
        <w:tc>
          <w:tcPr>
            <w:tcW w:w="1080" w:type="dxa"/>
            <w:tcBorders>
              <w:top w:val="single" w:sz="4" w:space="0" w:color="auto"/>
              <w:left w:val="single" w:sz="4" w:space="0" w:color="auto"/>
              <w:bottom w:val="single" w:sz="4" w:space="0" w:color="auto"/>
              <w:right w:val="single" w:sz="4" w:space="0" w:color="auto"/>
            </w:tcBorders>
            <w:vAlign w:val="center"/>
          </w:tcPr>
          <w:p w14:paraId="345D5BD8" w14:textId="77777777" w:rsidR="00D84A89" w:rsidRPr="00252203" w:rsidRDefault="00D84A89" w:rsidP="00252203">
            <w:pPr>
              <w:spacing w:line="360" w:lineRule="auto"/>
              <w:rPr>
                <w:rFonts w:ascii="GHEA Grapalat" w:hAnsi="GHEA Grapalat"/>
                <w:sz w:val="24"/>
                <w:szCs w:val="24"/>
                <w:lang w:val="hy-AM"/>
              </w:rPr>
            </w:pPr>
          </w:p>
        </w:tc>
        <w:tc>
          <w:tcPr>
            <w:tcW w:w="1170" w:type="dxa"/>
            <w:tcBorders>
              <w:top w:val="single" w:sz="4" w:space="0" w:color="auto"/>
              <w:left w:val="single" w:sz="4" w:space="0" w:color="auto"/>
              <w:bottom w:val="single" w:sz="4" w:space="0" w:color="auto"/>
              <w:right w:val="single" w:sz="4" w:space="0" w:color="auto"/>
            </w:tcBorders>
            <w:vAlign w:val="center"/>
            <w:hideMark/>
          </w:tcPr>
          <w:p w14:paraId="7C992D61" w14:textId="77777777" w:rsidR="00D84A89" w:rsidRPr="00252203" w:rsidRDefault="00D84A89" w:rsidP="00252203">
            <w:pPr>
              <w:spacing w:line="360" w:lineRule="auto"/>
              <w:jc w:val="center"/>
              <w:rPr>
                <w:rFonts w:ascii="GHEA Grapalat" w:hAnsi="GHEA Grapalat"/>
                <w:sz w:val="24"/>
                <w:szCs w:val="24"/>
                <w:lang w:val="hy-AM"/>
              </w:rPr>
            </w:pPr>
            <w:r w:rsidRPr="00252203">
              <w:rPr>
                <w:rFonts w:ascii="GHEA Grapalat" w:hAnsi="GHEA Grapalat"/>
                <w:sz w:val="24"/>
                <w:szCs w:val="24"/>
              </w:rPr>
              <w:t>+(2)</w:t>
            </w:r>
          </w:p>
        </w:tc>
        <w:tc>
          <w:tcPr>
            <w:tcW w:w="1267" w:type="dxa"/>
            <w:tcBorders>
              <w:top w:val="single" w:sz="4" w:space="0" w:color="auto"/>
              <w:left w:val="single" w:sz="4" w:space="0" w:color="auto"/>
              <w:bottom w:val="single" w:sz="4" w:space="0" w:color="auto"/>
              <w:right w:val="single" w:sz="4" w:space="0" w:color="auto"/>
            </w:tcBorders>
            <w:vAlign w:val="center"/>
            <w:hideMark/>
          </w:tcPr>
          <w:p w14:paraId="1B6EE01F" w14:textId="77777777" w:rsidR="00D84A89" w:rsidRPr="00252203" w:rsidRDefault="00D84A89" w:rsidP="00252203">
            <w:pPr>
              <w:spacing w:line="360" w:lineRule="auto"/>
              <w:jc w:val="center"/>
              <w:rPr>
                <w:rFonts w:ascii="GHEA Grapalat" w:hAnsi="GHEA Grapalat"/>
                <w:sz w:val="24"/>
                <w:szCs w:val="24"/>
                <w:lang w:val="hy-AM"/>
              </w:rPr>
            </w:pPr>
            <w:r w:rsidRPr="00252203">
              <w:rPr>
                <w:rFonts w:ascii="GHEA Grapalat" w:hAnsi="GHEA Grapalat"/>
                <w:sz w:val="24"/>
                <w:szCs w:val="24"/>
              </w:rPr>
              <w:t>+(2)</w:t>
            </w:r>
          </w:p>
        </w:tc>
        <w:tc>
          <w:tcPr>
            <w:tcW w:w="5952" w:type="dxa"/>
            <w:tcBorders>
              <w:top w:val="single" w:sz="4" w:space="0" w:color="auto"/>
              <w:left w:val="single" w:sz="4" w:space="0" w:color="auto"/>
              <w:bottom w:val="single" w:sz="4" w:space="0" w:color="auto"/>
              <w:right w:val="single" w:sz="4" w:space="0" w:color="auto"/>
            </w:tcBorders>
            <w:vAlign w:val="center"/>
            <w:hideMark/>
          </w:tcPr>
          <w:p w14:paraId="0798BEBC" w14:textId="77777777" w:rsidR="00D84A89" w:rsidRPr="00252203" w:rsidRDefault="00D84A89" w:rsidP="00252203">
            <w:pPr>
              <w:spacing w:line="360" w:lineRule="auto"/>
              <w:rPr>
                <w:rFonts w:ascii="GHEA Grapalat" w:hAnsi="GHEA Grapalat"/>
                <w:sz w:val="24"/>
                <w:szCs w:val="24"/>
                <w:lang w:val="hy-AM"/>
              </w:rPr>
            </w:pPr>
            <w:r w:rsidRPr="00252203">
              <w:rPr>
                <w:rFonts w:ascii="GHEA Grapalat" w:hAnsi="GHEA Grapalat"/>
                <w:sz w:val="24"/>
                <w:szCs w:val="24"/>
                <w:lang w:val="hy-AM"/>
              </w:rPr>
              <w:t>220/110 կՎ «Գյումրի-2» և «Աշնակ» ե/կ-ներ: Վերակառուցման ընթացքում՝ 110 կՎ «Վանաձոր-1» ե/կ</w:t>
            </w:r>
          </w:p>
        </w:tc>
      </w:tr>
      <w:tr w:rsidR="00D84A89" w:rsidRPr="00446473" w14:paraId="4DFF8B51" w14:textId="77777777" w:rsidTr="00401A44">
        <w:trPr>
          <w:trHeight w:val="230"/>
        </w:trPr>
        <w:tc>
          <w:tcPr>
            <w:tcW w:w="4047" w:type="dxa"/>
            <w:tcBorders>
              <w:top w:val="single" w:sz="4" w:space="0" w:color="auto"/>
              <w:left w:val="single" w:sz="4" w:space="0" w:color="auto"/>
              <w:bottom w:val="single" w:sz="4" w:space="0" w:color="auto"/>
              <w:right w:val="single" w:sz="4" w:space="0" w:color="auto"/>
            </w:tcBorders>
            <w:vAlign w:val="center"/>
            <w:hideMark/>
          </w:tcPr>
          <w:p w14:paraId="09253986" w14:textId="77777777" w:rsidR="00D84A89" w:rsidRPr="00252203" w:rsidRDefault="00D84A89" w:rsidP="00252203">
            <w:pPr>
              <w:spacing w:line="360" w:lineRule="auto"/>
              <w:rPr>
                <w:rFonts w:ascii="GHEA Grapalat" w:hAnsi="GHEA Grapalat"/>
                <w:sz w:val="24"/>
                <w:szCs w:val="24"/>
                <w:lang w:val="hy-AM"/>
              </w:rPr>
            </w:pPr>
            <w:r w:rsidRPr="00252203">
              <w:rPr>
                <w:rFonts w:ascii="GHEA Grapalat" w:hAnsi="GHEA Grapalat"/>
                <w:sz w:val="24"/>
                <w:szCs w:val="24"/>
                <w:lang w:val="hy-AM"/>
              </w:rPr>
              <w:t>«Կասկադ էներգո» ՍՊԸ</w:t>
            </w:r>
          </w:p>
        </w:tc>
        <w:tc>
          <w:tcPr>
            <w:tcW w:w="1080" w:type="dxa"/>
            <w:tcBorders>
              <w:top w:val="single" w:sz="4" w:space="0" w:color="auto"/>
              <w:left w:val="single" w:sz="4" w:space="0" w:color="auto"/>
              <w:bottom w:val="single" w:sz="4" w:space="0" w:color="auto"/>
              <w:right w:val="single" w:sz="4" w:space="0" w:color="auto"/>
            </w:tcBorders>
            <w:vAlign w:val="center"/>
            <w:hideMark/>
          </w:tcPr>
          <w:p w14:paraId="741C8F83" w14:textId="631F3AA4" w:rsidR="00D84A89" w:rsidRPr="00252203" w:rsidRDefault="00D84A89" w:rsidP="00252203">
            <w:pPr>
              <w:spacing w:line="360" w:lineRule="auto"/>
              <w:jc w:val="center"/>
              <w:rPr>
                <w:rFonts w:ascii="GHEA Grapalat" w:hAnsi="GHEA Grapalat"/>
                <w:sz w:val="24"/>
                <w:szCs w:val="24"/>
                <w:lang w:val="hy-AM"/>
              </w:rPr>
            </w:pPr>
            <w:r w:rsidRPr="00252203">
              <w:rPr>
                <w:rFonts w:ascii="GHEA Grapalat" w:hAnsi="GHEA Grapalat"/>
                <w:sz w:val="24"/>
                <w:szCs w:val="24"/>
                <w:lang w:val="hy-AM"/>
              </w:rPr>
              <w:t>+</w:t>
            </w:r>
            <w:r w:rsidR="00361574" w:rsidRPr="00252203">
              <w:rPr>
                <w:rFonts w:ascii="GHEA Grapalat" w:hAnsi="GHEA Grapalat"/>
                <w:sz w:val="24"/>
                <w:szCs w:val="24"/>
              </w:rPr>
              <w:t>(2)</w:t>
            </w:r>
          </w:p>
        </w:tc>
        <w:tc>
          <w:tcPr>
            <w:tcW w:w="1080" w:type="dxa"/>
            <w:tcBorders>
              <w:top w:val="single" w:sz="4" w:space="0" w:color="auto"/>
              <w:left w:val="single" w:sz="4" w:space="0" w:color="auto"/>
              <w:bottom w:val="single" w:sz="4" w:space="0" w:color="auto"/>
              <w:right w:val="single" w:sz="4" w:space="0" w:color="auto"/>
            </w:tcBorders>
            <w:vAlign w:val="center"/>
            <w:hideMark/>
          </w:tcPr>
          <w:p w14:paraId="06BA7986" w14:textId="438C2F3A" w:rsidR="00D84A89" w:rsidRPr="00252203" w:rsidRDefault="00D84A89" w:rsidP="00252203">
            <w:pPr>
              <w:spacing w:line="360" w:lineRule="auto"/>
              <w:jc w:val="center"/>
              <w:rPr>
                <w:rFonts w:ascii="GHEA Grapalat" w:hAnsi="GHEA Grapalat"/>
                <w:sz w:val="24"/>
                <w:szCs w:val="24"/>
                <w:lang w:val="hy-AM"/>
              </w:rPr>
            </w:pPr>
            <w:r w:rsidRPr="00252203">
              <w:rPr>
                <w:rFonts w:ascii="GHEA Grapalat" w:hAnsi="GHEA Grapalat"/>
                <w:sz w:val="24"/>
                <w:szCs w:val="24"/>
                <w:lang w:val="hy-AM"/>
              </w:rPr>
              <w:t>+</w:t>
            </w:r>
            <w:r w:rsidR="00361574" w:rsidRPr="00252203">
              <w:rPr>
                <w:rFonts w:ascii="GHEA Grapalat" w:hAnsi="GHEA Grapalat"/>
                <w:sz w:val="24"/>
                <w:szCs w:val="24"/>
              </w:rPr>
              <w:t>(2)</w:t>
            </w:r>
          </w:p>
        </w:tc>
        <w:tc>
          <w:tcPr>
            <w:tcW w:w="1170" w:type="dxa"/>
            <w:tcBorders>
              <w:top w:val="single" w:sz="4" w:space="0" w:color="auto"/>
              <w:left w:val="single" w:sz="4" w:space="0" w:color="auto"/>
              <w:bottom w:val="single" w:sz="4" w:space="0" w:color="auto"/>
              <w:right w:val="single" w:sz="4" w:space="0" w:color="auto"/>
            </w:tcBorders>
            <w:vAlign w:val="center"/>
            <w:hideMark/>
          </w:tcPr>
          <w:p w14:paraId="3AD4B091" w14:textId="73FCADF1" w:rsidR="00D84A89" w:rsidRPr="00252203" w:rsidRDefault="00D84A89" w:rsidP="00252203">
            <w:pPr>
              <w:spacing w:line="360" w:lineRule="auto"/>
              <w:jc w:val="center"/>
              <w:rPr>
                <w:rFonts w:ascii="GHEA Grapalat" w:hAnsi="GHEA Grapalat"/>
                <w:sz w:val="24"/>
                <w:szCs w:val="24"/>
                <w:lang w:val="hy-AM"/>
              </w:rPr>
            </w:pPr>
            <w:r w:rsidRPr="00252203">
              <w:rPr>
                <w:rFonts w:ascii="GHEA Grapalat" w:hAnsi="GHEA Grapalat"/>
                <w:sz w:val="24"/>
                <w:szCs w:val="24"/>
                <w:lang w:val="hy-AM"/>
              </w:rPr>
              <w:t>+</w:t>
            </w:r>
            <w:r w:rsidR="00361574" w:rsidRPr="00252203">
              <w:rPr>
                <w:rFonts w:ascii="GHEA Grapalat" w:hAnsi="GHEA Grapalat"/>
                <w:sz w:val="24"/>
                <w:szCs w:val="24"/>
              </w:rPr>
              <w:t>(2)</w:t>
            </w:r>
          </w:p>
        </w:tc>
        <w:tc>
          <w:tcPr>
            <w:tcW w:w="1267" w:type="dxa"/>
            <w:tcBorders>
              <w:top w:val="single" w:sz="4" w:space="0" w:color="auto"/>
              <w:left w:val="single" w:sz="4" w:space="0" w:color="auto"/>
              <w:bottom w:val="single" w:sz="4" w:space="0" w:color="auto"/>
              <w:right w:val="single" w:sz="4" w:space="0" w:color="auto"/>
            </w:tcBorders>
            <w:vAlign w:val="center"/>
            <w:hideMark/>
          </w:tcPr>
          <w:p w14:paraId="0C868EEF" w14:textId="3FA9E9A4" w:rsidR="00D84A89" w:rsidRPr="00252203" w:rsidRDefault="00D84A89" w:rsidP="00252203">
            <w:pPr>
              <w:spacing w:line="360" w:lineRule="auto"/>
              <w:jc w:val="center"/>
              <w:rPr>
                <w:rFonts w:ascii="GHEA Grapalat" w:hAnsi="GHEA Grapalat"/>
                <w:sz w:val="24"/>
                <w:szCs w:val="24"/>
                <w:lang w:val="hy-AM"/>
              </w:rPr>
            </w:pPr>
            <w:r w:rsidRPr="00252203">
              <w:rPr>
                <w:rFonts w:ascii="GHEA Grapalat" w:hAnsi="GHEA Grapalat"/>
                <w:sz w:val="24"/>
                <w:szCs w:val="24"/>
                <w:lang w:val="hy-AM"/>
              </w:rPr>
              <w:t>+</w:t>
            </w:r>
            <w:r w:rsidR="00361574" w:rsidRPr="00252203">
              <w:rPr>
                <w:rFonts w:ascii="GHEA Grapalat" w:hAnsi="GHEA Grapalat"/>
                <w:sz w:val="24"/>
                <w:szCs w:val="24"/>
              </w:rPr>
              <w:t>(2)</w:t>
            </w:r>
          </w:p>
        </w:tc>
        <w:tc>
          <w:tcPr>
            <w:tcW w:w="5952" w:type="dxa"/>
            <w:tcBorders>
              <w:top w:val="single" w:sz="4" w:space="0" w:color="auto"/>
              <w:left w:val="single" w:sz="4" w:space="0" w:color="auto"/>
              <w:bottom w:val="single" w:sz="4" w:space="0" w:color="auto"/>
              <w:right w:val="single" w:sz="4" w:space="0" w:color="auto"/>
            </w:tcBorders>
            <w:hideMark/>
          </w:tcPr>
          <w:p w14:paraId="21261BA7" w14:textId="77777777" w:rsidR="00D84A89" w:rsidRPr="00252203" w:rsidRDefault="00D84A89" w:rsidP="00252203">
            <w:pPr>
              <w:spacing w:line="360" w:lineRule="auto"/>
              <w:rPr>
                <w:rFonts w:ascii="GHEA Grapalat" w:hAnsi="GHEA Grapalat"/>
                <w:sz w:val="24"/>
                <w:szCs w:val="24"/>
                <w:lang w:val="hy-AM"/>
              </w:rPr>
            </w:pPr>
            <w:r w:rsidRPr="00252203">
              <w:rPr>
                <w:rFonts w:ascii="GHEA Grapalat" w:hAnsi="GHEA Grapalat"/>
                <w:sz w:val="24"/>
                <w:szCs w:val="24"/>
                <w:lang w:val="hy-AM"/>
              </w:rPr>
              <w:t>220/110 կՎ «Հաղթանակ», «Կաֆա» (Ղրիմ) ե/կ-ներ և այլ ծրագրեր: Վերակառուցման ընթացքում՝ 220/110 կՎ «Լիճք» և «Արարատ-2» ե/կ-ներ</w:t>
            </w:r>
          </w:p>
        </w:tc>
      </w:tr>
    </w:tbl>
    <w:p w14:paraId="3A47A9B3" w14:textId="34305F30" w:rsidR="0085751F" w:rsidRPr="00252203" w:rsidRDefault="0085751F" w:rsidP="00252203">
      <w:pPr>
        <w:tabs>
          <w:tab w:val="left" w:pos="3948"/>
        </w:tabs>
        <w:spacing w:after="0" w:line="360" w:lineRule="auto"/>
        <w:rPr>
          <w:rFonts w:ascii="GHEA Grapalat" w:hAnsi="GHEA Grapalat"/>
          <w:sz w:val="24"/>
          <w:szCs w:val="24"/>
          <w:lang w:val="hy-AM"/>
        </w:rPr>
        <w:sectPr w:rsidR="0085751F" w:rsidRPr="00252203" w:rsidSect="00D84A89">
          <w:pgSz w:w="16838" w:h="11906" w:orient="landscape"/>
          <w:pgMar w:top="851" w:right="851" w:bottom="851" w:left="1418" w:header="709" w:footer="709" w:gutter="0"/>
          <w:cols w:space="708"/>
          <w:docGrid w:linePitch="360"/>
        </w:sectPr>
      </w:pPr>
    </w:p>
    <w:p w14:paraId="3D4BA2B3" w14:textId="62460B67" w:rsidR="00C01A99" w:rsidRPr="00252203" w:rsidRDefault="00C01A99" w:rsidP="00D17161">
      <w:pPr>
        <w:tabs>
          <w:tab w:val="center" w:pos="4818"/>
        </w:tabs>
        <w:spacing w:after="0" w:line="360" w:lineRule="auto"/>
        <w:rPr>
          <w:rFonts w:ascii="GHEA Grapalat" w:hAnsi="GHEA Grapalat"/>
          <w:sz w:val="24"/>
          <w:szCs w:val="24"/>
          <w:lang w:val="hy-AM"/>
        </w:rPr>
      </w:pPr>
    </w:p>
    <w:sectPr w:rsidR="00C01A99" w:rsidRPr="00252203" w:rsidSect="00401A44">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38D92D" w14:textId="77777777" w:rsidR="00D94F05" w:rsidRDefault="00D94F05" w:rsidP="00983F85">
      <w:pPr>
        <w:spacing w:after="0" w:line="240" w:lineRule="auto"/>
      </w:pPr>
      <w:r>
        <w:separator/>
      </w:r>
    </w:p>
  </w:endnote>
  <w:endnote w:type="continuationSeparator" w:id="0">
    <w:p w14:paraId="7E453ACC" w14:textId="77777777" w:rsidR="00D94F05" w:rsidRDefault="00D94F05" w:rsidP="00983F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TarumianTimes">
    <w:altName w:val="Cambria"/>
    <w:panose1 w:val="02020603050405020304"/>
    <w:charset w:val="00"/>
    <w:family w:val="roman"/>
    <w:pitch w:val="variable"/>
    <w:sig w:usb0="00000003" w:usb1="00000000" w:usb2="00000000" w:usb3="00000000" w:csb0="00000001" w:csb1="00000000"/>
  </w:font>
  <w:font w:name="Arial Armenian">
    <w:panose1 w:val="020B0604020202020204"/>
    <w:charset w:val="00"/>
    <w:family w:val="swiss"/>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Times New Roman Bold">
    <w:altName w:val="Times New Roman"/>
    <w:charset w:val="00"/>
    <w:family w:val="auto"/>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5A93C5" w14:textId="77777777" w:rsidR="00D94F05" w:rsidRDefault="00D94F05" w:rsidP="00983F85">
      <w:pPr>
        <w:spacing w:after="0" w:line="240" w:lineRule="auto"/>
      </w:pPr>
      <w:r>
        <w:separator/>
      </w:r>
    </w:p>
  </w:footnote>
  <w:footnote w:type="continuationSeparator" w:id="0">
    <w:p w14:paraId="1E39C139" w14:textId="77777777" w:rsidR="00D94F05" w:rsidRDefault="00D94F05" w:rsidP="00983F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94BDF"/>
    <w:multiLevelType w:val="multilevel"/>
    <w:tmpl w:val="9432D21A"/>
    <w:lvl w:ilvl="0">
      <w:start w:val="1"/>
      <w:numFmt w:val="decimal"/>
      <w:lvlText w:val="%1."/>
      <w:lvlJc w:val="left"/>
      <w:pPr>
        <w:ind w:left="1778" w:hanging="360"/>
      </w:pPr>
    </w:lvl>
    <w:lvl w:ilvl="1">
      <w:start w:val="1"/>
      <w:numFmt w:val="lowerLetter"/>
      <w:lvlText w:val="%2)"/>
      <w:lvlJc w:val="left"/>
      <w:pPr>
        <w:ind w:left="2988" w:hanging="360"/>
      </w:pPr>
    </w:lvl>
    <w:lvl w:ilvl="2">
      <w:start w:val="1"/>
      <w:numFmt w:val="lowerRoman"/>
      <w:lvlText w:val="%3)"/>
      <w:lvlJc w:val="left"/>
      <w:pPr>
        <w:ind w:left="3348" w:hanging="360"/>
      </w:pPr>
    </w:lvl>
    <w:lvl w:ilvl="3">
      <w:start w:val="1"/>
      <w:numFmt w:val="decimal"/>
      <w:lvlText w:val="(%4)"/>
      <w:lvlJc w:val="left"/>
      <w:pPr>
        <w:ind w:left="3708" w:hanging="360"/>
      </w:pPr>
    </w:lvl>
    <w:lvl w:ilvl="4">
      <w:start w:val="1"/>
      <w:numFmt w:val="lowerLetter"/>
      <w:lvlText w:val="(%5)"/>
      <w:lvlJc w:val="left"/>
      <w:pPr>
        <w:ind w:left="4068" w:hanging="360"/>
      </w:pPr>
    </w:lvl>
    <w:lvl w:ilvl="5">
      <w:start w:val="1"/>
      <w:numFmt w:val="lowerRoman"/>
      <w:lvlText w:val="(%6)"/>
      <w:lvlJc w:val="left"/>
      <w:pPr>
        <w:ind w:left="4428" w:hanging="360"/>
      </w:pPr>
    </w:lvl>
    <w:lvl w:ilvl="6">
      <w:start w:val="1"/>
      <w:numFmt w:val="decimal"/>
      <w:lvlText w:val="%7."/>
      <w:lvlJc w:val="left"/>
      <w:pPr>
        <w:ind w:left="4788" w:hanging="360"/>
      </w:pPr>
    </w:lvl>
    <w:lvl w:ilvl="7">
      <w:start w:val="1"/>
      <w:numFmt w:val="lowerLetter"/>
      <w:lvlText w:val="%8."/>
      <w:lvlJc w:val="left"/>
      <w:pPr>
        <w:ind w:left="5148" w:hanging="360"/>
      </w:pPr>
    </w:lvl>
    <w:lvl w:ilvl="8">
      <w:start w:val="1"/>
      <w:numFmt w:val="lowerRoman"/>
      <w:lvlText w:val="%9."/>
      <w:lvlJc w:val="left"/>
      <w:pPr>
        <w:ind w:left="5508" w:hanging="360"/>
      </w:pPr>
    </w:lvl>
  </w:abstractNum>
  <w:abstractNum w:abstractNumId="1" w15:restartNumberingAfterBreak="0">
    <w:nsid w:val="40F37B90"/>
    <w:multiLevelType w:val="hybridMultilevel"/>
    <w:tmpl w:val="05504392"/>
    <w:lvl w:ilvl="0" w:tplc="0419000D">
      <w:start w:val="1"/>
      <w:numFmt w:val="bullet"/>
      <w:lvlText w:val=""/>
      <w:lvlJc w:val="left"/>
      <w:pPr>
        <w:tabs>
          <w:tab w:val="num" w:pos="720"/>
        </w:tabs>
        <w:ind w:left="720" w:hanging="360"/>
      </w:pPr>
      <w:rPr>
        <w:rFonts w:ascii="Wingdings" w:hAnsi="Wingdings" w:hint="default"/>
      </w:rPr>
    </w:lvl>
    <w:lvl w:ilvl="1" w:tplc="549EA454" w:tentative="1">
      <w:start w:val="1"/>
      <w:numFmt w:val="bullet"/>
      <w:lvlText w:val="•"/>
      <w:lvlJc w:val="left"/>
      <w:pPr>
        <w:tabs>
          <w:tab w:val="num" w:pos="1440"/>
        </w:tabs>
        <w:ind w:left="1440" w:hanging="360"/>
      </w:pPr>
      <w:rPr>
        <w:rFonts w:ascii="Arial" w:hAnsi="Arial" w:hint="default"/>
      </w:rPr>
    </w:lvl>
    <w:lvl w:ilvl="2" w:tplc="B622C008" w:tentative="1">
      <w:start w:val="1"/>
      <w:numFmt w:val="bullet"/>
      <w:lvlText w:val="•"/>
      <w:lvlJc w:val="left"/>
      <w:pPr>
        <w:tabs>
          <w:tab w:val="num" w:pos="2160"/>
        </w:tabs>
        <w:ind w:left="2160" w:hanging="360"/>
      </w:pPr>
      <w:rPr>
        <w:rFonts w:ascii="Arial" w:hAnsi="Arial" w:hint="default"/>
      </w:rPr>
    </w:lvl>
    <w:lvl w:ilvl="3" w:tplc="A4BE86BE" w:tentative="1">
      <w:start w:val="1"/>
      <w:numFmt w:val="bullet"/>
      <w:lvlText w:val="•"/>
      <w:lvlJc w:val="left"/>
      <w:pPr>
        <w:tabs>
          <w:tab w:val="num" w:pos="2880"/>
        </w:tabs>
        <w:ind w:left="2880" w:hanging="360"/>
      </w:pPr>
      <w:rPr>
        <w:rFonts w:ascii="Arial" w:hAnsi="Arial" w:hint="default"/>
      </w:rPr>
    </w:lvl>
    <w:lvl w:ilvl="4" w:tplc="B59008C2" w:tentative="1">
      <w:start w:val="1"/>
      <w:numFmt w:val="bullet"/>
      <w:lvlText w:val="•"/>
      <w:lvlJc w:val="left"/>
      <w:pPr>
        <w:tabs>
          <w:tab w:val="num" w:pos="3600"/>
        </w:tabs>
        <w:ind w:left="3600" w:hanging="360"/>
      </w:pPr>
      <w:rPr>
        <w:rFonts w:ascii="Arial" w:hAnsi="Arial" w:hint="default"/>
      </w:rPr>
    </w:lvl>
    <w:lvl w:ilvl="5" w:tplc="62887444" w:tentative="1">
      <w:start w:val="1"/>
      <w:numFmt w:val="bullet"/>
      <w:lvlText w:val="•"/>
      <w:lvlJc w:val="left"/>
      <w:pPr>
        <w:tabs>
          <w:tab w:val="num" w:pos="4320"/>
        </w:tabs>
        <w:ind w:left="4320" w:hanging="360"/>
      </w:pPr>
      <w:rPr>
        <w:rFonts w:ascii="Arial" w:hAnsi="Arial" w:hint="default"/>
      </w:rPr>
    </w:lvl>
    <w:lvl w:ilvl="6" w:tplc="D55E1168" w:tentative="1">
      <w:start w:val="1"/>
      <w:numFmt w:val="bullet"/>
      <w:lvlText w:val="•"/>
      <w:lvlJc w:val="left"/>
      <w:pPr>
        <w:tabs>
          <w:tab w:val="num" w:pos="5040"/>
        </w:tabs>
        <w:ind w:left="5040" w:hanging="360"/>
      </w:pPr>
      <w:rPr>
        <w:rFonts w:ascii="Arial" w:hAnsi="Arial" w:hint="default"/>
      </w:rPr>
    </w:lvl>
    <w:lvl w:ilvl="7" w:tplc="FF6EEB14" w:tentative="1">
      <w:start w:val="1"/>
      <w:numFmt w:val="bullet"/>
      <w:lvlText w:val="•"/>
      <w:lvlJc w:val="left"/>
      <w:pPr>
        <w:tabs>
          <w:tab w:val="num" w:pos="5760"/>
        </w:tabs>
        <w:ind w:left="5760" w:hanging="360"/>
      </w:pPr>
      <w:rPr>
        <w:rFonts w:ascii="Arial" w:hAnsi="Arial" w:hint="default"/>
      </w:rPr>
    </w:lvl>
    <w:lvl w:ilvl="8" w:tplc="F2A66E1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485D6B5E"/>
    <w:multiLevelType w:val="hybridMultilevel"/>
    <w:tmpl w:val="828A5B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A331035"/>
    <w:multiLevelType w:val="hybridMultilevel"/>
    <w:tmpl w:val="F1DE9B1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6080505C"/>
    <w:multiLevelType w:val="hybridMultilevel"/>
    <w:tmpl w:val="31587D8A"/>
    <w:lvl w:ilvl="0" w:tplc="EB18934C">
      <w:start w:val="3"/>
      <w:numFmt w:val="bullet"/>
      <w:lvlText w:val="-"/>
      <w:lvlJc w:val="left"/>
      <w:pPr>
        <w:ind w:left="796" w:hanging="360"/>
      </w:pPr>
      <w:rPr>
        <w:rFonts w:ascii="Times New Roman" w:eastAsia="Times New Roman" w:hAnsi="Times New Roman" w:cs="Times New Roman" w:hint="default"/>
      </w:rPr>
    </w:lvl>
    <w:lvl w:ilvl="1" w:tplc="04090003" w:tentative="1">
      <w:start w:val="1"/>
      <w:numFmt w:val="bullet"/>
      <w:lvlText w:val="o"/>
      <w:lvlJc w:val="left"/>
      <w:pPr>
        <w:ind w:left="1516" w:hanging="360"/>
      </w:pPr>
      <w:rPr>
        <w:rFonts w:ascii="Courier New" w:hAnsi="Courier New" w:cs="Courier New" w:hint="default"/>
      </w:rPr>
    </w:lvl>
    <w:lvl w:ilvl="2" w:tplc="04090005" w:tentative="1">
      <w:start w:val="1"/>
      <w:numFmt w:val="bullet"/>
      <w:lvlText w:val=""/>
      <w:lvlJc w:val="left"/>
      <w:pPr>
        <w:ind w:left="2236" w:hanging="360"/>
      </w:pPr>
      <w:rPr>
        <w:rFonts w:ascii="Wingdings" w:hAnsi="Wingdings" w:hint="default"/>
      </w:rPr>
    </w:lvl>
    <w:lvl w:ilvl="3" w:tplc="04090001" w:tentative="1">
      <w:start w:val="1"/>
      <w:numFmt w:val="bullet"/>
      <w:lvlText w:val=""/>
      <w:lvlJc w:val="left"/>
      <w:pPr>
        <w:ind w:left="2956" w:hanging="360"/>
      </w:pPr>
      <w:rPr>
        <w:rFonts w:ascii="Symbol" w:hAnsi="Symbol" w:hint="default"/>
      </w:rPr>
    </w:lvl>
    <w:lvl w:ilvl="4" w:tplc="04090003" w:tentative="1">
      <w:start w:val="1"/>
      <w:numFmt w:val="bullet"/>
      <w:lvlText w:val="o"/>
      <w:lvlJc w:val="left"/>
      <w:pPr>
        <w:ind w:left="3676" w:hanging="360"/>
      </w:pPr>
      <w:rPr>
        <w:rFonts w:ascii="Courier New" w:hAnsi="Courier New" w:cs="Courier New" w:hint="default"/>
      </w:rPr>
    </w:lvl>
    <w:lvl w:ilvl="5" w:tplc="04090005" w:tentative="1">
      <w:start w:val="1"/>
      <w:numFmt w:val="bullet"/>
      <w:lvlText w:val=""/>
      <w:lvlJc w:val="left"/>
      <w:pPr>
        <w:ind w:left="4396" w:hanging="360"/>
      </w:pPr>
      <w:rPr>
        <w:rFonts w:ascii="Wingdings" w:hAnsi="Wingdings" w:hint="default"/>
      </w:rPr>
    </w:lvl>
    <w:lvl w:ilvl="6" w:tplc="04090001" w:tentative="1">
      <w:start w:val="1"/>
      <w:numFmt w:val="bullet"/>
      <w:lvlText w:val=""/>
      <w:lvlJc w:val="left"/>
      <w:pPr>
        <w:ind w:left="5116" w:hanging="360"/>
      </w:pPr>
      <w:rPr>
        <w:rFonts w:ascii="Symbol" w:hAnsi="Symbol" w:hint="default"/>
      </w:rPr>
    </w:lvl>
    <w:lvl w:ilvl="7" w:tplc="04090003" w:tentative="1">
      <w:start w:val="1"/>
      <w:numFmt w:val="bullet"/>
      <w:lvlText w:val="o"/>
      <w:lvlJc w:val="left"/>
      <w:pPr>
        <w:ind w:left="5836" w:hanging="360"/>
      </w:pPr>
      <w:rPr>
        <w:rFonts w:ascii="Courier New" w:hAnsi="Courier New" w:cs="Courier New" w:hint="default"/>
      </w:rPr>
    </w:lvl>
    <w:lvl w:ilvl="8" w:tplc="04090005" w:tentative="1">
      <w:start w:val="1"/>
      <w:numFmt w:val="bullet"/>
      <w:lvlText w:val=""/>
      <w:lvlJc w:val="left"/>
      <w:pPr>
        <w:ind w:left="6556" w:hanging="360"/>
      </w:pPr>
      <w:rPr>
        <w:rFonts w:ascii="Wingdings" w:hAnsi="Wingdings" w:hint="default"/>
      </w:rPr>
    </w:lvl>
  </w:abstractNum>
  <w:num w:numId="1">
    <w:abstractNumId w:val="1"/>
  </w:num>
  <w:num w:numId="2">
    <w:abstractNumId w:val="3"/>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85F"/>
    <w:rsid w:val="00031A3D"/>
    <w:rsid w:val="0004056D"/>
    <w:rsid w:val="0006229A"/>
    <w:rsid w:val="000648B8"/>
    <w:rsid w:val="00071AB7"/>
    <w:rsid w:val="00076E28"/>
    <w:rsid w:val="00077A73"/>
    <w:rsid w:val="00081B24"/>
    <w:rsid w:val="00091425"/>
    <w:rsid w:val="000914AE"/>
    <w:rsid w:val="00095528"/>
    <w:rsid w:val="000C2765"/>
    <w:rsid w:val="000C4C84"/>
    <w:rsid w:val="000C4C88"/>
    <w:rsid w:val="000D37F2"/>
    <w:rsid w:val="000D60CE"/>
    <w:rsid w:val="000E4ABC"/>
    <w:rsid w:val="0010615A"/>
    <w:rsid w:val="00120289"/>
    <w:rsid w:val="0014426C"/>
    <w:rsid w:val="00144947"/>
    <w:rsid w:val="00160929"/>
    <w:rsid w:val="00162FFA"/>
    <w:rsid w:val="001744DC"/>
    <w:rsid w:val="00195C64"/>
    <w:rsid w:val="00196FFD"/>
    <w:rsid w:val="001B6737"/>
    <w:rsid w:val="001C09F4"/>
    <w:rsid w:val="001E1108"/>
    <w:rsid w:val="001F40B5"/>
    <w:rsid w:val="001F485D"/>
    <w:rsid w:val="00204C6A"/>
    <w:rsid w:val="00205C44"/>
    <w:rsid w:val="0020620D"/>
    <w:rsid w:val="0023138B"/>
    <w:rsid w:val="00232874"/>
    <w:rsid w:val="00235B85"/>
    <w:rsid w:val="0024582E"/>
    <w:rsid w:val="00252203"/>
    <w:rsid w:val="002719E4"/>
    <w:rsid w:val="00273E4D"/>
    <w:rsid w:val="0027639B"/>
    <w:rsid w:val="0027644A"/>
    <w:rsid w:val="00285A48"/>
    <w:rsid w:val="002925A1"/>
    <w:rsid w:val="00292799"/>
    <w:rsid w:val="002977E5"/>
    <w:rsid w:val="002A5D11"/>
    <w:rsid w:val="002A7169"/>
    <w:rsid w:val="002B075B"/>
    <w:rsid w:val="002B6CE5"/>
    <w:rsid w:val="002C3886"/>
    <w:rsid w:val="002C4177"/>
    <w:rsid w:val="002C5689"/>
    <w:rsid w:val="002D5298"/>
    <w:rsid w:val="002E427D"/>
    <w:rsid w:val="002F2BA7"/>
    <w:rsid w:val="002F6E86"/>
    <w:rsid w:val="002F722C"/>
    <w:rsid w:val="002F7BC1"/>
    <w:rsid w:val="003229B5"/>
    <w:rsid w:val="00323134"/>
    <w:rsid w:val="0032344D"/>
    <w:rsid w:val="003274AC"/>
    <w:rsid w:val="003276A9"/>
    <w:rsid w:val="00347AAD"/>
    <w:rsid w:val="003513E1"/>
    <w:rsid w:val="00351A41"/>
    <w:rsid w:val="00352D63"/>
    <w:rsid w:val="00361574"/>
    <w:rsid w:val="00372F59"/>
    <w:rsid w:val="00391366"/>
    <w:rsid w:val="00396BC4"/>
    <w:rsid w:val="003A6A02"/>
    <w:rsid w:val="003B7B96"/>
    <w:rsid w:val="003D3271"/>
    <w:rsid w:val="003E4A53"/>
    <w:rsid w:val="003E736C"/>
    <w:rsid w:val="003F52A0"/>
    <w:rsid w:val="004016BC"/>
    <w:rsid w:val="00401A44"/>
    <w:rsid w:val="004031D5"/>
    <w:rsid w:val="0040742F"/>
    <w:rsid w:val="00412E66"/>
    <w:rsid w:val="004224F6"/>
    <w:rsid w:val="00430D2B"/>
    <w:rsid w:val="00431FCF"/>
    <w:rsid w:val="00432723"/>
    <w:rsid w:val="00446473"/>
    <w:rsid w:val="0044669E"/>
    <w:rsid w:val="00452E9B"/>
    <w:rsid w:val="004551A1"/>
    <w:rsid w:val="0045785F"/>
    <w:rsid w:val="00473EFB"/>
    <w:rsid w:val="00482F9E"/>
    <w:rsid w:val="0048533B"/>
    <w:rsid w:val="004945D1"/>
    <w:rsid w:val="00494715"/>
    <w:rsid w:val="0049693F"/>
    <w:rsid w:val="00497025"/>
    <w:rsid w:val="004A326B"/>
    <w:rsid w:val="004A6698"/>
    <w:rsid w:val="004B65E5"/>
    <w:rsid w:val="004D0B95"/>
    <w:rsid w:val="004E0E59"/>
    <w:rsid w:val="004E1878"/>
    <w:rsid w:val="004E5821"/>
    <w:rsid w:val="004E5CB6"/>
    <w:rsid w:val="004F33E5"/>
    <w:rsid w:val="005026FF"/>
    <w:rsid w:val="00503ABA"/>
    <w:rsid w:val="00513237"/>
    <w:rsid w:val="005366F0"/>
    <w:rsid w:val="00542905"/>
    <w:rsid w:val="00552856"/>
    <w:rsid w:val="005570CA"/>
    <w:rsid w:val="0056608C"/>
    <w:rsid w:val="00582EA3"/>
    <w:rsid w:val="00583204"/>
    <w:rsid w:val="005855F7"/>
    <w:rsid w:val="005A1CDA"/>
    <w:rsid w:val="005A282E"/>
    <w:rsid w:val="005A4919"/>
    <w:rsid w:val="005A7400"/>
    <w:rsid w:val="00601111"/>
    <w:rsid w:val="00606367"/>
    <w:rsid w:val="00613A30"/>
    <w:rsid w:val="00615CC0"/>
    <w:rsid w:val="00632F68"/>
    <w:rsid w:val="00634C89"/>
    <w:rsid w:val="0063604B"/>
    <w:rsid w:val="006479F2"/>
    <w:rsid w:val="006510F7"/>
    <w:rsid w:val="0065401A"/>
    <w:rsid w:val="006612E4"/>
    <w:rsid w:val="0066597B"/>
    <w:rsid w:val="00666EF9"/>
    <w:rsid w:val="0068495B"/>
    <w:rsid w:val="00684E17"/>
    <w:rsid w:val="00692D25"/>
    <w:rsid w:val="00693235"/>
    <w:rsid w:val="006A2FE1"/>
    <w:rsid w:val="006B2EDF"/>
    <w:rsid w:val="006D6740"/>
    <w:rsid w:val="006E72A0"/>
    <w:rsid w:val="006F1149"/>
    <w:rsid w:val="0070532A"/>
    <w:rsid w:val="00717382"/>
    <w:rsid w:val="00732726"/>
    <w:rsid w:val="007351D9"/>
    <w:rsid w:val="00750544"/>
    <w:rsid w:val="007527FA"/>
    <w:rsid w:val="00752C7F"/>
    <w:rsid w:val="00760040"/>
    <w:rsid w:val="00774D1D"/>
    <w:rsid w:val="00775EAC"/>
    <w:rsid w:val="0077700C"/>
    <w:rsid w:val="00780C5D"/>
    <w:rsid w:val="00785A2A"/>
    <w:rsid w:val="00792831"/>
    <w:rsid w:val="00796172"/>
    <w:rsid w:val="007969F9"/>
    <w:rsid w:val="007A1E84"/>
    <w:rsid w:val="007A288C"/>
    <w:rsid w:val="007A6ECB"/>
    <w:rsid w:val="007B49FB"/>
    <w:rsid w:val="007B7371"/>
    <w:rsid w:val="007D44A4"/>
    <w:rsid w:val="007E0BE6"/>
    <w:rsid w:val="007E443D"/>
    <w:rsid w:val="007E484B"/>
    <w:rsid w:val="007F42C2"/>
    <w:rsid w:val="008022CE"/>
    <w:rsid w:val="00813064"/>
    <w:rsid w:val="008239FE"/>
    <w:rsid w:val="00833FAE"/>
    <w:rsid w:val="00842510"/>
    <w:rsid w:val="00851505"/>
    <w:rsid w:val="00853485"/>
    <w:rsid w:val="0085751F"/>
    <w:rsid w:val="008626CF"/>
    <w:rsid w:val="008666E0"/>
    <w:rsid w:val="0087273D"/>
    <w:rsid w:val="00873EB2"/>
    <w:rsid w:val="0087623C"/>
    <w:rsid w:val="008829EC"/>
    <w:rsid w:val="00886877"/>
    <w:rsid w:val="00893F39"/>
    <w:rsid w:val="008A0E4E"/>
    <w:rsid w:val="008A1F46"/>
    <w:rsid w:val="008B2362"/>
    <w:rsid w:val="008B4481"/>
    <w:rsid w:val="008B4D17"/>
    <w:rsid w:val="008B5158"/>
    <w:rsid w:val="008B557E"/>
    <w:rsid w:val="008E5B0E"/>
    <w:rsid w:val="008E7230"/>
    <w:rsid w:val="00902CA8"/>
    <w:rsid w:val="00910525"/>
    <w:rsid w:val="00921F3F"/>
    <w:rsid w:val="00923521"/>
    <w:rsid w:val="00926661"/>
    <w:rsid w:val="00930AB8"/>
    <w:rsid w:val="0093398E"/>
    <w:rsid w:val="00957EDF"/>
    <w:rsid w:val="00962491"/>
    <w:rsid w:val="00962F34"/>
    <w:rsid w:val="00977BF9"/>
    <w:rsid w:val="00982E43"/>
    <w:rsid w:val="00983F85"/>
    <w:rsid w:val="00992FBA"/>
    <w:rsid w:val="00994BB7"/>
    <w:rsid w:val="009A302D"/>
    <w:rsid w:val="009A62F5"/>
    <w:rsid w:val="009B4652"/>
    <w:rsid w:val="009B473B"/>
    <w:rsid w:val="009C0D56"/>
    <w:rsid w:val="009C3A02"/>
    <w:rsid w:val="009C47A8"/>
    <w:rsid w:val="009D4175"/>
    <w:rsid w:val="009D7603"/>
    <w:rsid w:val="00A06FD7"/>
    <w:rsid w:val="00A4030F"/>
    <w:rsid w:val="00A4758C"/>
    <w:rsid w:val="00A53779"/>
    <w:rsid w:val="00A63C79"/>
    <w:rsid w:val="00A80072"/>
    <w:rsid w:val="00A85ACC"/>
    <w:rsid w:val="00A92183"/>
    <w:rsid w:val="00AA57E4"/>
    <w:rsid w:val="00AA7351"/>
    <w:rsid w:val="00AC7ADA"/>
    <w:rsid w:val="00AD0BCC"/>
    <w:rsid w:val="00AD4353"/>
    <w:rsid w:val="00AE14FC"/>
    <w:rsid w:val="00AE31DF"/>
    <w:rsid w:val="00AE7A85"/>
    <w:rsid w:val="00AF6B17"/>
    <w:rsid w:val="00AF6C4D"/>
    <w:rsid w:val="00AF7E19"/>
    <w:rsid w:val="00B13C02"/>
    <w:rsid w:val="00B16A48"/>
    <w:rsid w:val="00B23CED"/>
    <w:rsid w:val="00B313D3"/>
    <w:rsid w:val="00B41310"/>
    <w:rsid w:val="00B546CB"/>
    <w:rsid w:val="00B62AA1"/>
    <w:rsid w:val="00B71E46"/>
    <w:rsid w:val="00B814DF"/>
    <w:rsid w:val="00B82FF2"/>
    <w:rsid w:val="00B853FF"/>
    <w:rsid w:val="00B87AD5"/>
    <w:rsid w:val="00BA0065"/>
    <w:rsid w:val="00BA336D"/>
    <w:rsid w:val="00BA72CB"/>
    <w:rsid w:val="00BB0342"/>
    <w:rsid w:val="00BB09EC"/>
    <w:rsid w:val="00BB5FE6"/>
    <w:rsid w:val="00BB76BA"/>
    <w:rsid w:val="00BC170A"/>
    <w:rsid w:val="00BD3AAC"/>
    <w:rsid w:val="00BE5867"/>
    <w:rsid w:val="00BE607C"/>
    <w:rsid w:val="00BF0578"/>
    <w:rsid w:val="00BF131D"/>
    <w:rsid w:val="00BF27E7"/>
    <w:rsid w:val="00BF37F4"/>
    <w:rsid w:val="00BF3AD0"/>
    <w:rsid w:val="00C01A99"/>
    <w:rsid w:val="00C02D7C"/>
    <w:rsid w:val="00C03019"/>
    <w:rsid w:val="00C033E0"/>
    <w:rsid w:val="00C05C10"/>
    <w:rsid w:val="00C21525"/>
    <w:rsid w:val="00C4169C"/>
    <w:rsid w:val="00C55B79"/>
    <w:rsid w:val="00C627BE"/>
    <w:rsid w:val="00C64BE8"/>
    <w:rsid w:val="00C747E9"/>
    <w:rsid w:val="00CA0242"/>
    <w:rsid w:val="00CA7AD2"/>
    <w:rsid w:val="00CC0CD7"/>
    <w:rsid w:val="00CD1B5E"/>
    <w:rsid w:val="00CD637D"/>
    <w:rsid w:val="00CD6A70"/>
    <w:rsid w:val="00CE43B4"/>
    <w:rsid w:val="00CF3D96"/>
    <w:rsid w:val="00CF501C"/>
    <w:rsid w:val="00D12313"/>
    <w:rsid w:val="00D17161"/>
    <w:rsid w:val="00D17465"/>
    <w:rsid w:val="00D252D7"/>
    <w:rsid w:val="00D4605F"/>
    <w:rsid w:val="00D54219"/>
    <w:rsid w:val="00D5468F"/>
    <w:rsid w:val="00D80156"/>
    <w:rsid w:val="00D803AC"/>
    <w:rsid w:val="00D84A89"/>
    <w:rsid w:val="00D9092C"/>
    <w:rsid w:val="00D94F05"/>
    <w:rsid w:val="00DB2F5F"/>
    <w:rsid w:val="00DC0632"/>
    <w:rsid w:val="00DC67C9"/>
    <w:rsid w:val="00DD3394"/>
    <w:rsid w:val="00DE06F7"/>
    <w:rsid w:val="00DE4149"/>
    <w:rsid w:val="00DE5A7B"/>
    <w:rsid w:val="00DF02EA"/>
    <w:rsid w:val="00DF0F5C"/>
    <w:rsid w:val="00DF3407"/>
    <w:rsid w:val="00E00C5A"/>
    <w:rsid w:val="00E10560"/>
    <w:rsid w:val="00E20A37"/>
    <w:rsid w:val="00E2672B"/>
    <w:rsid w:val="00E30F9D"/>
    <w:rsid w:val="00E317B8"/>
    <w:rsid w:val="00E35928"/>
    <w:rsid w:val="00E66188"/>
    <w:rsid w:val="00E91D97"/>
    <w:rsid w:val="00E95703"/>
    <w:rsid w:val="00EA0EFD"/>
    <w:rsid w:val="00EA2507"/>
    <w:rsid w:val="00EA5740"/>
    <w:rsid w:val="00EA5958"/>
    <w:rsid w:val="00EB5BF0"/>
    <w:rsid w:val="00EF214D"/>
    <w:rsid w:val="00EF6DD3"/>
    <w:rsid w:val="00F01A33"/>
    <w:rsid w:val="00F0632E"/>
    <w:rsid w:val="00F14C97"/>
    <w:rsid w:val="00F204CE"/>
    <w:rsid w:val="00F236CB"/>
    <w:rsid w:val="00F34BAC"/>
    <w:rsid w:val="00F43E34"/>
    <w:rsid w:val="00F45FAF"/>
    <w:rsid w:val="00F604E0"/>
    <w:rsid w:val="00F605CF"/>
    <w:rsid w:val="00F66372"/>
    <w:rsid w:val="00F6764B"/>
    <w:rsid w:val="00F72578"/>
    <w:rsid w:val="00F937BB"/>
    <w:rsid w:val="00F94885"/>
    <w:rsid w:val="00F955CB"/>
    <w:rsid w:val="00F95A64"/>
    <w:rsid w:val="00F96899"/>
    <w:rsid w:val="00FA12C5"/>
    <w:rsid w:val="00FA2733"/>
    <w:rsid w:val="00FB1641"/>
    <w:rsid w:val="00FB55B6"/>
    <w:rsid w:val="00FB68F8"/>
    <w:rsid w:val="00FC5F49"/>
    <w:rsid w:val="00FE145F"/>
    <w:rsid w:val="00FE3F31"/>
    <w:rsid w:val="00FF09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795F3"/>
  <w15:docId w15:val="{103080FE-5DCD-40A5-9C73-6FFA07B9A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HEA Grapalat" w:eastAsiaTheme="minorHAnsi" w:hAnsi="GHEA Grapalat" w:cstheme="minorBidi"/>
        <w:sz w:val="24"/>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2F59"/>
    <w:pPr>
      <w:spacing w:line="256" w:lineRule="auto"/>
    </w:pPr>
    <w:rPr>
      <w:rFonts w:asciiTheme="minorHAnsi" w:hAnsiTheme="minorHAnsi"/>
      <w:sz w:val="22"/>
      <w:lang w:val="en-US"/>
    </w:rPr>
  </w:style>
  <w:style w:type="paragraph" w:styleId="Heading1">
    <w:name w:val="heading 1"/>
    <w:basedOn w:val="Normal"/>
    <w:next w:val="Normal"/>
    <w:link w:val="Heading1Char"/>
    <w:uiPriority w:val="9"/>
    <w:qFormat/>
    <w:rsid w:val="00396BC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aliases w:val="Über 2"/>
    <w:basedOn w:val="Normal"/>
    <w:next w:val="Normal"/>
    <w:link w:val="Heading2Char"/>
    <w:uiPriority w:val="1"/>
    <w:semiHidden/>
    <w:unhideWhenUsed/>
    <w:qFormat/>
    <w:rsid w:val="004945D1"/>
    <w:pPr>
      <w:keepNext/>
      <w:keepLines/>
      <w:spacing w:before="200" w:after="0" w:line="276" w:lineRule="auto"/>
      <w:outlineLvl w:val="1"/>
    </w:pPr>
    <w:rPr>
      <w:rFonts w:asciiTheme="majorHAnsi" w:eastAsiaTheme="majorEastAsia" w:hAnsiTheme="majorHAnsi" w:cstheme="majorBidi"/>
      <w:color w:val="4472C4" w:themeColor="accent1"/>
      <w:sz w:val="26"/>
      <w:szCs w:val="26"/>
      <w:lang w:val="ru-RU" w:eastAsia="ru-RU"/>
    </w:rPr>
  </w:style>
  <w:style w:type="paragraph" w:styleId="Heading5">
    <w:name w:val="heading 5"/>
    <w:basedOn w:val="Normal"/>
    <w:next w:val="Normal"/>
    <w:link w:val="Heading5Char"/>
    <w:uiPriority w:val="9"/>
    <w:semiHidden/>
    <w:unhideWhenUsed/>
    <w:qFormat/>
    <w:rsid w:val="00391366"/>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uiPriority w:val="99"/>
    <w:semiHidden/>
    <w:unhideWhenUsed/>
    <w:rsid w:val="00372F59"/>
    <w:pPr>
      <w:spacing w:after="0" w:line="240" w:lineRule="auto"/>
      <w:jc w:val="center"/>
    </w:pPr>
    <w:rPr>
      <w:rFonts w:ascii="ArTarumianTimes" w:eastAsia="Times New Roman" w:hAnsi="ArTarumianTimes" w:cs="Times New Roman"/>
      <w:sz w:val="24"/>
      <w:szCs w:val="24"/>
      <w:lang w:val="ru-RU" w:eastAsia="ru-RU"/>
    </w:rPr>
  </w:style>
  <w:style w:type="character" w:customStyle="1" w:styleId="BodyText3Char">
    <w:name w:val="Body Text 3 Char"/>
    <w:basedOn w:val="DefaultParagraphFont"/>
    <w:link w:val="BodyText3"/>
    <w:uiPriority w:val="99"/>
    <w:semiHidden/>
    <w:rsid w:val="00372F59"/>
    <w:rPr>
      <w:rFonts w:ascii="ArTarumianTimes" w:eastAsia="Times New Roman" w:hAnsi="ArTarumianTimes" w:cs="Times New Roman"/>
      <w:szCs w:val="24"/>
      <w:lang w:eastAsia="ru-RU"/>
    </w:rPr>
  </w:style>
  <w:style w:type="character" w:customStyle="1" w:styleId="mechtexChar">
    <w:name w:val="mechtex Char"/>
    <w:link w:val="mechtex"/>
    <w:uiPriority w:val="99"/>
    <w:locked/>
    <w:rsid w:val="00372F59"/>
    <w:rPr>
      <w:rFonts w:ascii="Arial Armenian" w:hAnsi="Arial Armenian"/>
      <w:lang w:eastAsia="ru-RU"/>
    </w:rPr>
  </w:style>
  <w:style w:type="paragraph" w:customStyle="1" w:styleId="mechtex">
    <w:name w:val="mechtex"/>
    <w:basedOn w:val="Normal"/>
    <w:link w:val="mechtexChar"/>
    <w:uiPriority w:val="99"/>
    <w:rsid w:val="00372F59"/>
    <w:pPr>
      <w:spacing w:after="0" w:line="240" w:lineRule="auto"/>
      <w:jc w:val="center"/>
    </w:pPr>
    <w:rPr>
      <w:rFonts w:ascii="Arial Armenian" w:hAnsi="Arial Armenian"/>
      <w:sz w:val="24"/>
      <w:lang w:val="ru-RU" w:eastAsia="ru-RU"/>
    </w:rPr>
  </w:style>
  <w:style w:type="table" w:styleId="TableGrid">
    <w:name w:val="Table Grid"/>
    <w:basedOn w:val="TableNormal"/>
    <w:uiPriority w:val="39"/>
    <w:rsid w:val="00372F59"/>
    <w:pPr>
      <w:spacing w:after="0" w:line="240" w:lineRule="auto"/>
    </w:pPr>
    <w:rPr>
      <w:rFonts w:asciiTheme="minorHAnsi" w:hAnsiTheme="minorHAnsi"/>
      <w:sz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85AC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BalloonText">
    <w:name w:val="Balloon Text"/>
    <w:basedOn w:val="Normal"/>
    <w:link w:val="BalloonTextChar"/>
    <w:uiPriority w:val="99"/>
    <w:semiHidden/>
    <w:unhideWhenUsed/>
    <w:rsid w:val="00B13C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3C02"/>
    <w:rPr>
      <w:rFonts w:ascii="Segoe UI" w:hAnsi="Segoe UI" w:cs="Segoe UI"/>
      <w:sz w:val="18"/>
      <w:szCs w:val="18"/>
      <w:lang w:val="en-US"/>
    </w:rPr>
  </w:style>
  <w:style w:type="paragraph" w:styleId="Header">
    <w:name w:val="header"/>
    <w:basedOn w:val="Normal"/>
    <w:link w:val="HeaderChar"/>
    <w:uiPriority w:val="99"/>
    <w:unhideWhenUsed/>
    <w:rsid w:val="00983F85"/>
    <w:pPr>
      <w:tabs>
        <w:tab w:val="center" w:pos="4677"/>
        <w:tab w:val="right" w:pos="9355"/>
      </w:tabs>
      <w:spacing w:after="0" w:line="240" w:lineRule="auto"/>
    </w:pPr>
  </w:style>
  <w:style w:type="character" w:customStyle="1" w:styleId="HeaderChar">
    <w:name w:val="Header Char"/>
    <w:basedOn w:val="DefaultParagraphFont"/>
    <w:link w:val="Header"/>
    <w:uiPriority w:val="99"/>
    <w:rsid w:val="00983F85"/>
    <w:rPr>
      <w:rFonts w:asciiTheme="minorHAnsi" w:hAnsiTheme="minorHAnsi"/>
      <w:sz w:val="22"/>
      <w:lang w:val="en-US"/>
    </w:rPr>
  </w:style>
  <w:style w:type="paragraph" w:styleId="Footer">
    <w:name w:val="footer"/>
    <w:basedOn w:val="Normal"/>
    <w:link w:val="FooterChar"/>
    <w:uiPriority w:val="99"/>
    <w:unhideWhenUsed/>
    <w:rsid w:val="00983F85"/>
    <w:pPr>
      <w:tabs>
        <w:tab w:val="center" w:pos="4677"/>
        <w:tab w:val="right" w:pos="9355"/>
      </w:tabs>
      <w:spacing w:after="0" w:line="240" w:lineRule="auto"/>
    </w:pPr>
  </w:style>
  <w:style w:type="character" w:customStyle="1" w:styleId="FooterChar">
    <w:name w:val="Footer Char"/>
    <w:basedOn w:val="DefaultParagraphFont"/>
    <w:link w:val="Footer"/>
    <w:uiPriority w:val="99"/>
    <w:rsid w:val="00983F85"/>
    <w:rPr>
      <w:rFonts w:asciiTheme="minorHAnsi" w:hAnsiTheme="minorHAnsi"/>
      <w:sz w:val="22"/>
      <w:lang w:val="en-US"/>
    </w:rPr>
  </w:style>
  <w:style w:type="paragraph" w:styleId="ListParagraph">
    <w:name w:val="List Paragraph"/>
    <w:aliases w:val="Citation List,본문(내용),List Paragraph (numbered (a))"/>
    <w:basedOn w:val="Normal"/>
    <w:link w:val="ListParagraphChar"/>
    <w:qFormat/>
    <w:rsid w:val="007B7371"/>
    <w:pPr>
      <w:ind w:left="720"/>
      <w:contextualSpacing/>
    </w:p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
    <w:uiPriority w:val="99"/>
    <w:unhideWhenUsed/>
    <w:qFormat/>
    <w:rsid w:val="00081B24"/>
    <w:pPr>
      <w:spacing w:after="0" w:line="240" w:lineRule="auto"/>
    </w:pPr>
    <w:rPr>
      <w:sz w:val="20"/>
      <w:szCs w:val="20"/>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basedOn w:val="DefaultParagraphFont"/>
    <w:link w:val="FootnoteText"/>
    <w:uiPriority w:val="99"/>
    <w:rsid w:val="00081B24"/>
    <w:rPr>
      <w:rFonts w:asciiTheme="minorHAnsi" w:hAnsiTheme="minorHAnsi"/>
      <w:sz w:val="20"/>
      <w:szCs w:val="20"/>
      <w:lang w:val="en-US"/>
    </w:rPr>
  </w:style>
  <w:style w:type="character" w:styleId="FootnoteReference">
    <w:name w:val="footnote reference"/>
    <w:basedOn w:val="DefaultParagraphFont"/>
    <w:uiPriority w:val="99"/>
    <w:unhideWhenUsed/>
    <w:rsid w:val="00081B24"/>
    <w:rPr>
      <w:vertAlign w:val="superscript"/>
    </w:rPr>
  </w:style>
  <w:style w:type="character" w:customStyle="1" w:styleId="ListParagraphChar">
    <w:name w:val="List Paragraph Char"/>
    <w:aliases w:val="Citation List Char,본문(내용) Char,List Paragraph (numbered (a)) Char"/>
    <w:link w:val="ListParagraph"/>
    <w:uiPriority w:val="34"/>
    <w:locked/>
    <w:rsid w:val="00AD4353"/>
    <w:rPr>
      <w:rFonts w:asciiTheme="minorHAnsi" w:hAnsiTheme="minorHAnsi"/>
      <w:sz w:val="22"/>
      <w:lang w:val="en-US"/>
    </w:rPr>
  </w:style>
  <w:style w:type="character" w:customStyle="1" w:styleId="Heading2Char">
    <w:name w:val="Heading 2 Char"/>
    <w:aliases w:val="Über 2 Char"/>
    <w:basedOn w:val="DefaultParagraphFont"/>
    <w:link w:val="Heading2"/>
    <w:uiPriority w:val="1"/>
    <w:semiHidden/>
    <w:rsid w:val="004945D1"/>
    <w:rPr>
      <w:rFonts w:asciiTheme="majorHAnsi" w:eastAsiaTheme="majorEastAsia" w:hAnsiTheme="majorHAnsi" w:cstheme="majorBidi"/>
      <w:color w:val="4472C4" w:themeColor="accent1"/>
      <w:sz w:val="26"/>
      <w:szCs w:val="26"/>
      <w:lang w:eastAsia="ru-RU"/>
    </w:rPr>
  </w:style>
  <w:style w:type="paragraph" w:customStyle="1" w:styleId="titulo">
    <w:name w:val="titulo"/>
    <w:basedOn w:val="Heading5"/>
    <w:uiPriority w:val="99"/>
    <w:rsid w:val="00391366"/>
    <w:pPr>
      <w:keepNext w:val="0"/>
      <w:keepLines w:val="0"/>
      <w:spacing w:before="0" w:after="240" w:line="240" w:lineRule="auto"/>
      <w:jc w:val="center"/>
    </w:pPr>
    <w:rPr>
      <w:rFonts w:ascii="Times New Roman Bold" w:eastAsia="Times New Roman" w:hAnsi="Times New Roman Bold" w:cs="Times New Roman"/>
      <w:b/>
      <w:color w:val="auto"/>
      <w:sz w:val="24"/>
      <w:szCs w:val="20"/>
    </w:rPr>
  </w:style>
  <w:style w:type="paragraph" w:styleId="BodyText">
    <w:name w:val="Body Text"/>
    <w:basedOn w:val="Normal"/>
    <w:link w:val="BodyTextChar"/>
    <w:uiPriority w:val="99"/>
    <w:semiHidden/>
    <w:unhideWhenUsed/>
    <w:rsid w:val="00391366"/>
    <w:pPr>
      <w:spacing w:after="120" w:line="259" w:lineRule="auto"/>
    </w:pPr>
    <w:rPr>
      <w:lang w:val="ru-RU"/>
    </w:rPr>
  </w:style>
  <w:style w:type="character" w:customStyle="1" w:styleId="BodyTextChar">
    <w:name w:val="Body Text Char"/>
    <w:basedOn w:val="DefaultParagraphFont"/>
    <w:link w:val="BodyText"/>
    <w:uiPriority w:val="99"/>
    <w:semiHidden/>
    <w:rsid w:val="00391366"/>
    <w:rPr>
      <w:rFonts w:asciiTheme="minorHAnsi" w:hAnsiTheme="minorHAnsi"/>
      <w:sz w:val="22"/>
    </w:rPr>
  </w:style>
  <w:style w:type="paragraph" w:customStyle="1" w:styleId="Subtitle2">
    <w:name w:val="Subtitle 2"/>
    <w:basedOn w:val="Footer"/>
    <w:autoRedefine/>
    <w:uiPriority w:val="99"/>
    <w:rsid w:val="00391366"/>
    <w:pPr>
      <w:tabs>
        <w:tab w:val="clear" w:pos="4677"/>
        <w:tab w:val="clear" w:pos="9355"/>
        <w:tab w:val="right" w:leader="underscore" w:pos="9504"/>
      </w:tabs>
      <w:ind w:left="59"/>
      <w:jc w:val="right"/>
      <w:outlineLvl w:val="1"/>
    </w:pPr>
    <w:rPr>
      <w:rFonts w:ascii="GHEA Grapalat" w:eastAsia="Times New Roman" w:hAnsi="GHEA Grapalat" w:cs="Times New Roman"/>
      <w:b/>
      <w:sz w:val="24"/>
      <w:szCs w:val="24"/>
      <w:lang w:val="af-ZA"/>
    </w:rPr>
  </w:style>
  <w:style w:type="character" w:customStyle="1" w:styleId="Heading5Char">
    <w:name w:val="Heading 5 Char"/>
    <w:basedOn w:val="DefaultParagraphFont"/>
    <w:link w:val="Heading5"/>
    <w:uiPriority w:val="9"/>
    <w:semiHidden/>
    <w:rsid w:val="00391366"/>
    <w:rPr>
      <w:rFonts w:asciiTheme="majorHAnsi" w:eastAsiaTheme="majorEastAsia" w:hAnsiTheme="majorHAnsi" w:cstheme="majorBidi"/>
      <w:color w:val="2F5496" w:themeColor="accent1" w:themeShade="BF"/>
      <w:sz w:val="22"/>
      <w:lang w:val="en-US"/>
    </w:rPr>
  </w:style>
  <w:style w:type="paragraph" w:styleId="NoSpacing">
    <w:name w:val="No Spacing"/>
    <w:uiPriority w:val="1"/>
    <w:qFormat/>
    <w:rsid w:val="009C0D56"/>
    <w:pPr>
      <w:spacing w:after="0" w:line="240" w:lineRule="auto"/>
    </w:pPr>
    <w:rPr>
      <w:rFonts w:asciiTheme="minorHAnsi" w:hAnsiTheme="minorHAnsi"/>
      <w:sz w:val="22"/>
      <w:lang w:val="en-US"/>
    </w:rPr>
  </w:style>
  <w:style w:type="character" w:customStyle="1" w:styleId="Heading1Char">
    <w:name w:val="Heading 1 Char"/>
    <w:basedOn w:val="DefaultParagraphFont"/>
    <w:link w:val="Heading1"/>
    <w:uiPriority w:val="9"/>
    <w:rsid w:val="00396BC4"/>
    <w:rPr>
      <w:rFonts w:asciiTheme="majorHAnsi" w:eastAsiaTheme="majorEastAsia" w:hAnsiTheme="majorHAnsi" w:cstheme="majorBidi"/>
      <w:color w:val="2F5496" w:themeColor="accent1" w:themeShade="BF"/>
      <w:sz w:val="32"/>
      <w:szCs w:val="32"/>
      <w:lang w:val="en-US"/>
    </w:rPr>
  </w:style>
  <w:style w:type="paragraph" w:styleId="BodyTextIndent">
    <w:name w:val="Body Text Indent"/>
    <w:basedOn w:val="Normal"/>
    <w:link w:val="BodyTextIndentChar"/>
    <w:uiPriority w:val="99"/>
    <w:semiHidden/>
    <w:unhideWhenUsed/>
    <w:rsid w:val="00396BC4"/>
    <w:pPr>
      <w:spacing w:after="120"/>
      <w:ind w:left="360"/>
    </w:pPr>
  </w:style>
  <w:style w:type="character" w:customStyle="1" w:styleId="BodyTextIndentChar">
    <w:name w:val="Body Text Indent Char"/>
    <w:basedOn w:val="DefaultParagraphFont"/>
    <w:link w:val="BodyTextIndent"/>
    <w:uiPriority w:val="99"/>
    <w:semiHidden/>
    <w:rsid w:val="00396BC4"/>
    <w:rPr>
      <w:rFonts w:asciiTheme="minorHAnsi" w:hAnsiTheme="minorHAnsi"/>
      <w:sz w:val="22"/>
      <w:lang w:val="en-US"/>
    </w:rPr>
  </w:style>
  <w:style w:type="paragraph" w:styleId="ListNumber">
    <w:name w:val="List Number"/>
    <w:basedOn w:val="Normal"/>
    <w:uiPriority w:val="99"/>
    <w:rsid w:val="00396BC4"/>
    <w:pPr>
      <w:tabs>
        <w:tab w:val="num" w:pos="360"/>
      </w:tabs>
      <w:suppressAutoHyphens/>
      <w:spacing w:after="0" w:line="240" w:lineRule="auto"/>
      <w:ind w:left="360" w:hanging="360"/>
      <w:jc w:val="both"/>
    </w:pPr>
    <w:rPr>
      <w:rFonts w:ascii="Tms Rmn" w:eastAsia="Times New Roman" w:hAnsi="Tms Rmn" w:cs="Times New Roman"/>
      <w:sz w:val="24"/>
      <w:szCs w:val="20"/>
    </w:rPr>
  </w:style>
  <w:style w:type="paragraph" w:customStyle="1" w:styleId="Outline">
    <w:name w:val="Outline"/>
    <w:basedOn w:val="Normal"/>
    <w:uiPriority w:val="99"/>
    <w:rsid w:val="00396BC4"/>
    <w:pPr>
      <w:spacing w:before="240" w:after="0" w:line="240" w:lineRule="auto"/>
    </w:pPr>
    <w:rPr>
      <w:rFonts w:ascii="Times New Roman" w:eastAsia="Times New Roman" w:hAnsi="Times New Roman" w:cs="Times New Roman"/>
      <w:kern w:val="28"/>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63330">
      <w:bodyDiv w:val="1"/>
      <w:marLeft w:val="0"/>
      <w:marRight w:val="0"/>
      <w:marTop w:val="0"/>
      <w:marBottom w:val="0"/>
      <w:divBdr>
        <w:top w:val="none" w:sz="0" w:space="0" w:color="auto"/>
        <w:left w:val="none" w:sz="0" w:space="0" w:color="auto"/>
        <w:bottom w:val="none" w:sz="0" w:space="0" w:color="auto"/>
        <w:right w:val="none" w:sz="0" w:space="0" w:color="auto"/>
      </w:divBdr>
    </w:div>
    <w:div w:id="130482543">
      <w:bodyDiv w:val="1"/>
      <w:marLeft w:val="0"/>
      <w:marRight w:val="0"/>
      <w:marTop w:val="0"/>
      <w:marBottom w:val="0"/>
      <w:divBdr>
        <w:top w:val="none" w:sz="0" w:space="0" w:color="auto"/>
        <w:left w:val="none" w:sz="0" w:space="0" w:color="auto"/>
        <w:bottom w:val="none" w:sz="0" w:space="0" w:color="auto"/>
        <w:right w:val="none" w:sz="0" w:space="0" w:color="auto"/>
      </w:divBdr>
    </w:div>
    <w:div w:id="152647252">
      <w:bodyDiv w:val="1"/>
      <w:marLeft w:val="0"/>
      <w:marRight w:val="0"/>
      <w:marTop w:val="0"/>
      <w:marBottom w:val="0"/>
      <w:divBdr>
        <w:top w:val="none" w:sz="0" w:space="0" w:color="auto"/>
        <w:left w:val="none" w:sz="0" w:space="0" w:color="auto"/>
        <w:bottom w:val="none" w:sz="0" w:space="0" w:color="auto"/>
        <w:right w:val="none" w:sz="0" w:space="0" w:color="auto"/>
      </w:divBdr>
    </w:div>
    <w:div w:id="206263418">
      <w:bodyDiv w:val="1"/>
      <w:marLeft w:val="0"/>
      <w:marRight w:val="0"/>
      <w:marTop w:val="0"/>
      <w:marBottom w:val="0"/>
      <w:divBdr>
        <w:top w:val="none" w:sz="0" w:space="0" w:color="auto"/>
        <w:left w:val="none" w:sz="0" w:space="0" w:color="auto"/>
        <w:bottom w:val="none" w:sz="0" w:space="0" w:color="auto"/>
        <w:right w:val="none" w:sz="0" w:space="0" w:color="auto"/>
      </w:divBdr>
    </w:div>
    <w:div w:id="788665300">
      <w:bodyDiv w:val="1"/>
      <w:marLeft w:val="0"/>
      <w:marRight w:val="0"/>
      <w:marTop w:val="0"/>
      <w:marBottom w:val="0"/>
      <w:divBdr>
        <w:top w:val="none" w:sz="0" w:space="0" w:color="auto"/>
        <w:left w:val="none" w:sz="0" w:space="0" w:color="auto"/>
        <w:bottom w:val="none" w:sz="0" w:space="0" w:color="auto"/>
        <w:right w:val="none" w:sz="0" w:space="0" w:color="auto"/>
      </w:divBdr>
    </w:div>
    <w:div w:id="897281517">
      <w:bodyDiv w:val="1"/>
      <w:marLeft w:val="0"/>
      <w:marRight w:val="0"/>
      <w:marTop w:val="0"/>
      <w:marBottom w:val="0"/>
      <w:divBdr>
        <w:top w:val="none" w:sz="0" w:space="0" w:color="auto"/>
        <w:left w:val="none" w:sz="0" w:space="0" w:color="auto"/>
        <w:bottom w:val="none" w:sz="0" w:space="0" w:color="auto"/>
        <w:right w:val="none" w:sz="0" w:space="0" w:color="auto"/>
      </w:divBdr>
    </w:div>
    <w:div w:id="971255257">
      <w:bodyDiv w:val="1"/>
      <w:marLeft w:val="0"/>
      <w:marRight w:val="0"/>
      <w:marTop w:val="0"/>
      <w:marBottom w:val="0"/>
      <w:divBdr>
        <w:top w:val="none" w:sz="0" w:space="0" w:color="auto"/>
        <w:left w:val="none" w:sz="0" w:space="0" w:color="auto"/>
        <w:bottom w:val="none" w:sz="0" w:space="0" w:color="auto"/>
        <w:right w:val="none" w:sz="0" w:space="0" w:color="auto"/>
      </w:divBdr>
    </w:div>
    <w:div w:id="1071317933">
      <w:bodyDiv w:val="1"/>
      <w:marLeft w:val="0"/>
      <w:marRight w:val="0"/>
      <w:marTop w:val="0"/>
      <w:marBottom w:val="0"/>
      <w:divBdr>
        <w:top w:val="none" w:sz="0" w:space="0" w:color="auto"/>
        <w:left w:val="none" w:sz="0" w:space="0" w:color="auto"/>
        <w:bottom w:val="none" w:sz="0" w:space="0" w:color="auto"/>
        <w:right w:val="none" w:sz="0" w:space="0" w:color="auto"/>
      </w:divBdr>
    </w:div>
    <w:div w:id="1106539008">
      <w:bodyDiv w:val="1"/>
      <w:marLeft w:val="0"/>
      <w:marRight w:val="0"/>
      <w:marTop w:val="0"/>
      <w:marBottom w:val="0"/>
      <w:divBdr>
        <w:top w:val="none" w:sz="0" w:space="0" w:color="auto"/>
        <w:left w:val="none" w:sz="0" w:space="0" w:color="auto"/>
        <w:bottom w:val="none" w:sz="0" w:space="0" w:color="auto"/>
        <w:right w:val="none" w:sz="0" w:space="0" w:color="auto"/>
      </w:divBdr>
    </w:div>
    <w:div w:id="1381251234">
      <w:bodyDiv w:val="1"/>
      <w:marLeft w:val="0"/>
      <w:marRight w:val="0"/>
      <w:marTop w:val="0"/>
      <w:marBottom w:val="0"/>
      <w:divBdr>
        <w:top w:val="none" w:sz="0" w:space="0" w:color="auto"/>
        <w:left w:val="none" w:sz="0" w:space="0" w:color="auto"/>
        <w:bottom w:val="none" w:sz="0" w:space="0" w:color="auto"/>
        <w:right w:val="none" w:sz="0" w:space="0" w:color="auto"/>
      </w:divBdr>
    </w:div>
    <w:div w:id="1526478305">
      <w:bodyDiv w:val="1"/>
      <w:marLeft w:val="0"/>
      <w:marRight w:val="0"/>
      <w:marTop w:val="0"/>
      <w:marBottom w:val="0"/>
      <w:divBdr>
        <w:top w:val="none" w:sz="0" w:space="0" w:color="auto"/>
        <w:left w:val="none" w:sz="0" w:space="0" w:color="auto"/>
        <w:bottom w:val="none" w:sz="0" w:space="0" w:color="auto"/>
        <w:right w:val="none" w:sz="0" w:space="0" w:color="auto"/>
      </w:divBdr>
    </w:div>
    <w:div w:id="1794712991">
      <w:bodyDiv w:val="1"/>
      <w:marLeft w:val="0"/>
      <w:marRight w:val="0"/>
      <w:marTop w:val="0"/>
      <w:marBottom w:val="0"/>
      <w:divBdr>
        <w:top w:val="none" w:sz="0" w:space="0" w:color="auto"/>
        <w:left w:val="none" w:sz="0" w:space="0" w:color="auto"/>
        <w:bottom w:val="none" w:sz="0" w:space="0" w:color="auto"/>
        <w:right w:val="none" w:sz="0" w:space="0" w:color="auto"/>
      </w:divBdr>
    </w:div>
    <w:div w:id="1804497800">
      <w:bodyDiv w:val="1"/>
      <w:marLeft w:val="0"/>
      <w:marRight w:val="0"/>
      <w:marTop w:val="0"/>
      <w:marBottom w:val="0"/>
      <w:divBdr>
        <w:top w:val="none" w:sz="0" w:space="0" w:color="auto"/>
        <w:left w:val="none" w:sz="0" w:space="0" w:color="auto"/>
        <w:bottom w:val="none" w:sz="0" w:space="0" w:color="auto"/>
        <w:right w:val="none" w:sz="0" w:space="0" w:color="auto"/>
      </w:divBdr>
    </w:div>
    <w:div w:id="1817337256">
      <w:bodyDiv w:val="1"/>
      <w:marLeft w:val="0"/>
      <w:marRight w:val="0"/>
      <w:marTop w:val="0"/>
      <w:marBottom w:val="0"/>
      <w:divBdr>
        <w:top w:val="none" w:sz="0" w:space="0" w:color="auto"/>
        <w:left w:val="none" w:sz="0" w:space="0" w:color="auto"/>
        <w:bottom w:val="none" w:sz="0" w:space="0" w:color="auto"/>
        <w:right w:val="none" w:sz="0" w:space="0" w:color="auto"/>
      </w:divBdr>
    </w:div>
    <w:div w:id="1827621650">
      <w:bodyDiv w:val="1"/>
      <w:marLeft w:val="0"/>
      <w:marRight w:val="0"/>
      <w:marTop w:val="0"/>
      <w:marBottom w:val="0"/>
      <w:divBdr>
        <w:top w:val="none" w:sz="0" w:space="0" w:color="auto"/>
        <w:left w:val="none" w:sz="0" w:space="0" w:color="auto"/>
        <w:bottom w:val="none" w:sz="0" w:space="0" w:color="auto"/>
        <w:right w:val="none" w:sz="0" w:space="0" w:color="auto"/>
      </w:divBdr>
    </w:div>
    <w:div w:id="18384923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97FCAD-FFF6-48A0-85F6-55429CEE3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1528</Words>
  <Characters>8715</Characters>
  <Application>Microsoft Office Word</Application>
  <DocSecurity>0</DocSecurity>
  <Lines>72</Lines>
  <Paragraphs>20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10223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Vahe Martirosyan</dc:creator>
  <cp:keywords>https:/mul2-mta.gov.am/tasks/1017136/oneclick/c2fd0b1cd4185aea07fa0be15e2462b716930be632f738d4b264d991b215bd87.docx?token=953a86971873fddf7f6dfa278f2d55a3</cp:keywords>
  <dc:description/>
  <cp:lastModifiedBy>Margarita Ghazaryan</cp:lastModifiedBy>
  <cp:revision>9</cp:revision>
  <cp:lastPrinted>2021-12-01T10:39:00Z</cp:lastPrinted>
  <dcterms:created xsi:type="dcterms:W3CDTF">2022-01-05T10:05:00Z</dcterms:created>
  <dcterms:modified xsi:type="dcterms:W3CDTF">2022-02-10T06:09:00Z</dcterms:modified>
</cp:coreProperties>
</file>