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«ՀԱՅԱՍՏԱՆԻ ՀԱՆՐԱՊԵՏՈՒԹՅԱՆ ԿԱՌԱՎԱՐՈՒԹՅԱՆ 2020 ԹՎԱԿԱՆԻ ՄԱՐՏԻ 26–Ի  N 355-Լ ՈՐՈՇՄԱՆ ՄԵՋ ՓՈՓՈԽՈՒԹՅՈՒՆՆԵՐ ԿԱՏԱՐԵԼՈՒ ՄԱՍԻՆ» ՀԱՅԱՍՏԱՆԻ ՀԱՆՐԱՊԵՏՈՒԹՅԱՆ ԿԱՌԱՎԱՐՈՒԹՅԱՆ ՈՐՈՇՄԱՆ ՆԱԽԱԳԾԻ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sz w:val="24"/>
          <w:szCs w:val="24"/>
          <w:lang w:val="hy-AM"/>
        </w:rPr>
        <w:t>1.</w:t>
      </w:r>
      <w:r w:rsidRPr="00AF1888">
        <w:rPr>
          <w:rFonts w:ascii="GHEA Grapalat" w:hAnsi="GHEA Grapalat" w:cs="Arial"/>
          <w:b/>
          <w:sz w:val="24"/>
          <w:szCs w:val="24"/>
          <w:lang w:val="hy-AM"/>
        </w:rPr>
        <w:tab/>
        <w:t>Անհրաժեշտությունը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կառավարության 2020 թվականի մարտի 26–ի  N 355-Լ որոշման մեջ փոփոխություններ կատարելու մասին» Կառավարության որոշման նախագծի (այսուհետ՝ Նախագիծ) ընդունումը պայմանավորված է մշակող արդյունաբերության փոքր ու միջին ձեռնարկությունների նոր, բարձր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արտադրողականությամբ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սարքավորումներով հագեցվածության մակարդակի բարձրացման, ինչպես նաև անհրաժեշտ հումքային բազայի  ստեղծման և զարգացման անհրաժեշտությամբ։ Առաջարկվող ծրագիրը նաև կհանդիսանա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ևս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մի գործիք որով կբարձրացվի ՀՀ ներդրումային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գրավչությունը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արտահանելի ճյուղերում։ 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sz w:val="24"/>
          <w:szCs w:val="24"/>
          <w:lang w:val="hy-AM"/>
        </w:rPr>
        <w:t>2.</w:t>
      </w:r>
      <w:r w:rsidRPr="00AF1888">
        <w:rPr>
          <w:rFonts w:ascii="GHEA Grapalat" w:hAnsi="GHEA Grapalat" w:cs="Arial"/>
          <w:b/>
          <w:sz w:val="24"/>
          <w:szCs w:val="24"/>
          <w:lang w:val="hy-AM"/>
        </w:rPr>
        <w:tab/>
        <w:t>Ընթացիկ իրավիճակը և խնդիրները։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ab/>
        <w:t xml:space="preserve">1. Գործող ընկերություններից շատերը աշխատում են հնամաշ, ցածր արտադրողականություն ունեցող և էներգատար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հաստոցներով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, մինչդեռ կառավարության ծրագրով ամրագրվել է աշխատանքի արտադրողականության բարձրացման  զգալիորեն ավելի բարձր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թիրախային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ցուցանիշ։ Համաձայն որոշ հաշվարկների 1 աշխատողի 1 ժամվա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արտարողականությունը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մշակող արդյունաբերության ոլորտում կազմում է 3 200 ՀՀ դրամ, ինչը ՌԴ ցուցանիշից ցածր է մոտ 4 անգամ, իսկ օրինակ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Իսպանիայից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7</w:t>
      </w:r>
      <w:r w:rsidRPr="00AF1888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1888">
        <w:rPr>
          <w:rFonts w:ascii="GHEA Grapalat" w:hAnsi="GHEA Grapalat" w:cs="Arial"/>
          <w:sz w:val="24"/>
          <w:szCs w:val="24"/>
          <w:lang w:val="hy-AM"/>
        </w:rPr>
        <w:t>6 անգամ։  Ըստ պաշտոնական վիճակագրության,  2019 թվականին ՀՀ տարածքում գործունեություն է ծավալել 75,045 միավոր ՓՄՁ, որոնց 9</w:t>
      </w:r>
      <w:r w:rsidRPr="00AF1888">
        <w:rPr>
          <w:rFonts w:ascii="Cambria Math" w:hAnsi="Cambria Math" w:cs="Cambria Math"/>
          <w:sz w:val="24"/>
          <w:szCs w:val="24"/>
          <w:lang w:val="hy-AM"/>
        </w:rPr>
        <w:t>․</w:t>
      </w: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9%-ը՝ մշակող արդյունաբերության ոլորտում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բաշխվածությամբ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>՝ 6,415 գերփոքր, 846 փոքր, 205 միջին և 42 խոշոր ձեռնարկություն, որոնք արտադրել են համապատասխանաբար 147, 191, 295 և 610 մլրդ ՀՀ դրամ ընդհանուր ծավալի ապրանքներ։  Խնդիրը կայանում է նշված ՓՄՁ-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երի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արտադրողականության և մրցունակության բարձրացման միջոցով օգնել փոքր ընկերությունների դառնալ միջին, իսկ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lastRenderedPageBreak/>
        <w:t>միջիններին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>՝ խոշոր, ինչպես նաև ավելացնել ոլորտում գործող ՓՄՁ-ների ընդհանուր քանակը ու ՀՆԱ-ի մեջ իրենց մասնակցության մասնաբաժինը։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ab/>
        <w:t xml:space="preserve">Նախագծի մշակման ժամանակ պատահական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ընտրանքով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առանձնացվել են 30 ՓՄՁ-եր, որոնց հետ իրականացվել է հարցում արտադրության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մոդերնիզացիայի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անհրաժեշտության և դրանում լիզինգի գործիքի կիրառման արդյունավետության վերաբերյալ։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Հարցման մասնակիցների շուրջ 83,3%-ը մատնանշել է արտադրության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մոդերնիզացիայի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առկա կարիքը, ընդ որում նրանցից 53,3%-ը նշել է, որ արտադրության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մոդերնիզացիայի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արդյունքում էականորեն կբարձրանա իրենց կազմակերպության գործունեության արդյունավետությունը, նոր սարքերի, սարքավորումների ներգրավումը աշխատանքներում, ինչպես նաև արտադրության մեջ անհրաժեշտ (հումքի)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ինքնաբավության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մակարդակի բարձրացումը կբերի արտադրանքի ինքնարժեքի նվազման, արտադրանքի որակի և որպես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հետևանք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նաև արտադրողականության և ընկերության մրցունակության բարձրացմանը։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ab/>
        <w:t>Բացի այդ, հարցմանը մասնակցած ՓՄՁ-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երի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32,15%-ը նշել է, որ միանշանակ կօգտվի լիզինգի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գործիքից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,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միևնույն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ժամանակ 67,85%-ի համար չափազանց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կարևոր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են առաջարկվող պայմանները և այդ պատճառով, առանց ֆինանսական աջակցության, ՓՄՁ-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ները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չեն կարող ձեռք բերել և ներդնել նոր տեխնոլոգիաներ, արդյունավետության բարձրացման միջոցով ապահովել շահութաբերության ցանկալի մակարդակ, գործնական հարաբերություններ հաստատել ավելի խոշոր ընկերությունների հետ, ինչպես նաև ընդլայնվել և ներկայանալ արտաքին շուկաներում: 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ab/>
        <w:t xml:space="preserve">2. Ներկայումս Հայաստանում վերամշակման գործունեություն իրականացնող տեղական արդյունաբերական ընկերություններն ունեն հումքի պահանջարկ և հումքային բազայի հնարավորությունները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դեռևս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ոչ ամբողջական հզորությամբ են օգտագործվում։ Կատարված ուսումնասիրությունները ցույց են տալիս, որ արտադրողներին համապատասխան որակով և ծավալներով հումքի ձեռք բերումը մատչելի դառնալու դեպքում մշակող արդյունաբերության արտադրության ծավալները ունեն աճի միտում և համապատասխան արտադրատեսակների գծով կավելանան պետական բյուջեի եկամուտները։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sz w:val="24"/>
          <w:szCs w:val="24"/>
          <w:lang w:val="hy-AM"/>
        </w:rPr>
        <w:t>3.</w:t>
      </w:r>
      <w:r w:rsidRPr="00AF1888">
        <w:rPr>
          <w:rFonts w:ascii="GHEA Grapalat" w:hAnsi="GHEA Grapalat" w:cs="Arial"/>
          <w:b/>
          <w:sz w:val="24"/>
          <w:szCs w:val="24"/>
          <w:lang w:val="hy-AM"/>
        </w:rPr>
        <w:tab/>
        <w:t>Կարգավորման առարկան և բնույթը</w:t>
      </w:r>
    </w:p>
    <w:p w:rsidR="005542B9" w:rsidRPr="00AF1888" w:rsidRDefault="005542B9" w:rsidP="005542B9">
      <w:pPr>
        <w:spacing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Նախագծով առաջարկվում է տնտեսավարողներին մատչելի պայմաններով, մասնավորապես՝ ֆինանսական վարձակալության (լիզինգի) մեխանիզմների կիրառմամբ սարքավորումների ձեռք բերման, ինչպես նաև հումքի գնման կամ ներկրման հնարավորության ընձեռնում, որը նախադրյալներ կստեղծի տեղական արտադրանքի արտադրության ծավալների ավելացման, միջազգային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չափորոշիչներին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համապատասխան որակական և անվտանգության պահանջների ապահովման, մրցունակության բարձրացման, արտահանման ծավալների ավելացման, ինչպես նաև ներկրվող արտադրանքը տեղական արտադրությամբ փոխարինելու համար: </w:t>
      </w:r>
    </w:p>
    <w:p w:rsidR="005542B9" w:rsidRPr="00AF1888" w:rsidRDefault="005542B9" w:rsidP="005542B9">
      <w:pPr>
        <w:spacing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Ծրագրի արդյունքում  որակական առումով կունենանք՝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Բարձր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արտադրողականությամբ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նոր սարքավորումներով համալրված ձեռնարկություններ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Արտադրական և արտահանման ծավալների աճ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Արտադրվող արտադրանքի որակի բարձրացում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Էներգախնայողություն</w:t>
      </w:r>
      <w:proofErr w:type="spellEnd"/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Ծավալների աճի արդյունքում ստեղծվող նոր աշխատատեղեր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Նորարարական տեխնոլոգիաների խթանում,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արժեշղթաների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խորացում և արտադրատեսակների բարդության աճ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(հումքի)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ինքնաբավության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մակարդակի բարձրացում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ծրագրի ավարտը տեխնոլոգիապես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վերազինված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1,000-ից ավել ընկերություններ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Ծրագրի արդյունքում քանակական առումով կունենանք տարեկան`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200-300 օժանդակություն ստացած ընկերություններ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100-120 մլրդ ՀՀ դրամի հումքի և նոր սարքավորումների ներկրում և կիրառում, որը կկազմի շուրջ 450-650 միավոր սարքավորումներ։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տեղական արտադրանքի ծավալների և ըստ այդմ էլ արտահանման ծավալների աճ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կխթանվի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տնտեսավարողների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վաճառքի դիմաց ժամանակին վճարումների կատարման և պայմանագրային հարաբերությունների մշակույթի զարգացման տեմպերը, ինչը կհանգեցնի արտադրության ծավալները աճին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ծրագրի իրականացումը հնարավորություն կտա մի շարք արտադրատեսակների, մասնավորապես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թեթև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արդյունաբերության արտադրատեսակների, ներկրումը փոխարինել տեղական արտադրությամբ՝ ապահովելով ներքին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ինքաբավությունը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>։</w:t>
      </w:r>
    </w:p>
    <w:p w:rsidR="005542B9" w:rsidRPr="00AF1888" w:rsidRDefault="005542B9" w:rsidP="005542B9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ծրագրի գործողության առաջին տարվա արդյունքներից ելնելով հնարավորություն կստեղծվի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ձևավորել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առաջարկություններ` ծրագրի ծավալների վերանայման և ծրագրի իրականացման ընթացքի արդյունավետության բարձրացման ուղղությամբ:</w:t>
      </w:r>
    </w:p>
    <w:p w:rsidR="005542B9" w:rsidRPr="00AF1888" w:rsidRDefault="005542B9" w:rsidP="005542B9">
      <w:pPr>
        <w:spacing w:line="360" w:lineRule="auto"/>
        <w:ind w:left="0" w:firstLine="360"/>
        <w:contextualSpacing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Ծրագրի ֆինանսական նախնական գնահատականի համաձայն՝ վերջինիս իրականացման համար ընդհանուր առմամբ կպահանջվի մոտ 56 մլրդ ՀՀ դրամ՝ նախատեսվող 6 – 7 տարիների համար։ Արդյունքում առաջիկա 2 տարիների համար ակնկալվում է մոտ 100 մլրդ ՀՀ դրամի չափով կապիտալ ներդրումներ երկրի տնտեսության մեջ սարքավորումների տեսքով, ինչպես նաև համապատասխան ոլորտներում արտադրողականության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60% աճ։</w:t>
      </w:r>
    </w:p>
    <w:p w:rsidR="005542B9" w:rsidRPr="00AF1888" w:rsidRDefault="005542B9" w:rsidP="005542B9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Արտոնության առկայության պարագայում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կանխատեսվում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է տարեկան առնվազն 5 խոշոր ներդրումային ծրագրերի հաստատում` ռազմավարական ոլորտներում: Նշված ներդրումները աշխատատեղերի ստեղծումից ու արտահանելի նոր արտադրանքի զարգացումից բացի, կբերի նաև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մուլտիպլիկատիվ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էֆեկտ` իր շուրջ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ձևավորելով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իրեն սպասարկող ՓՄՁ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էկոհամակարգ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։ Ծրագիրը կծառայի որպես ՀՀ ներդրումային միջավայրը ավելի գրավիչ դարձնելուն միտված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ևս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մի հավելյալ գործիք։</w:t>
      </w:r>
    </w:p>
    <w:p w:rsidR="005542B9" w:rsidRPr="00AF1888" w:rsidRDefault="005542B9" w:rsidP="005542B9">
      <w:pPr>
        <w:spacing w:line="360" w:lineRule="auto"/>
        <w:ind w:left="0" w:firstLine="360"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Տվյալ միջոցառումը բխում է ՓՄՁ 2020-2024 ռազմավարության՝ </w:t>
      </w: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Ֆինանսների հասանելիություն </w:t>
      </w: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Առաջնահերթ գործողություն 1. </w:t>
      </w:r>
    </w:p>
    <w:p w:rsidR="005542B9" w:rsidRPr="00AF1888" w:rsidRDefault="005542B9" w:rsidP="005542B9">
      <w:pPr>
        <w:spacing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ՓՄՁ պետական աջակցության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գործիքակազմի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արդյունավետության և ծածկույթի ընդլայնում (էջ 12)</w:t>
      </w: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>Կարողությունների զարգացում</w:t>
      </w: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Առաջնահերթ գործողություն 1. </w:t>
      </w:r>
    </w:p>
    <w:p w:rsidR="005542B9" w:rsidRPr="00AF1888" w:rsidRDefault="005542B9" w:rsidP="005542B9">
      <w:pPr>
        <w:spacing w:line="360" w:lineRule="auto"/>
        <w:ind w:left="0" w:firstLine="720"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Նորարարության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ներդնումը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և կիրառումը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թիրախավորող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աջակցության գործիքի մշակում և ներդնում (էջ 15)</w:t>
      </w:r>
    </w:p>
    <w:p w:rsidR="005542B9" w:rsidRPr="00AF1888" w:rsidRDefault="005542B9" w:rsidP="005542B9">
      <w:pPr>
        <w:spacing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Ծրագրով նախատեսված դրույթներով նաև նախատեսվում է, որ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շահառուները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պարտավորվեն բարձրացնել իրենց գործունեության թափանցիկությունը և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հաշվետվողականությունը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։ Մասնավորապես, կանոնադրական կապիտալում 200 մլն դրամ և ավելի գումարի չափով ներդրում կատարած և արտոնությունից օգտվող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տնտեսավարողները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(վերջիններիս մոտ օժանդակության գործիքի ներքո տրամադրվելիք վարկերի/լիզինգի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սուբսիդավորվող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մասի առավելագույն գումարը սահմանվում է կանոնադրական կապիտալում կատարված ներդրման հնգապատիկի չափով, բայց ոչ ավել քան 10 մլրդ դրամ, իսկ արտարժույթով վարկավորման դեպքում 5 մլրդ դրամին համարժեք) </w:t>
      </w:r>
      <w:r w:rsidRPr="00AF1888">
        <w:rPr>
          <w:rFonts w:ascii="GHEA Grapalat" w:eastAsia="Times New Roman" w:hAnsi="GHEA Grapalat"/>
          <w:sz w:val="24"/>
          <w:szCs w:val="24"/>
          <w:lang w:val="hy-AM"/>
        </w:rPr>
        <w:t xml:space="preserve">վարկի/լիզինգի պայմանագրի ստորագրմանը հաջորդող տարվա ընթացքում և դրան հաջորդող </w:t>
      </w:r>
      <w:proofErr w:type="spellStart"/>
      <w:r w:rsidRPr="00AF1888">
        <w:rPr>
          <w:rFonts w:ascii="GHEA Grapalat" w:eastAsia="Times New Roman" w:hAnsi="GHEA Grapalat"/>
          <w:sz w:val="24"/>
          <w:szCs w:val="24"/>
          <w:lang w:val="hy-AM"/>
        </w:rPr>
        <w:t>սուբսիդավորման</w:t>
      </w:r>
      <w:proofErr w:type="spellEnd"/>
      <w:r w:rsidRPr="00AF1888">
        <w:rPr>
          <w:rFonts w:ascii="GHEA Grapalat" w:eastAsia="Times New Roman" w:hAnsi="GHEA Grapalat"/>
          <w:sz w:val="24"/>
          <w:szCs w:val="24"/>
          <w:lang w:val="hy-AM"/>
        </w:rPr>
        <w:t xml:space="preserve"> տարիների ողջ ընթացքում պարտավորվում են ներկայացնել ֆինանսական հաշվետվությունների միջազգային ստանդարտներին համապատասխան հաշվետվություններ, ինչպես նաև «Մեծ Քառյակ» աուդիտորական ընկերությունների կողմից աուդիտի եզրակացություն: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72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Վերը նշվածը էականորեն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կլավարկի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գործող ընկերությունների թափանցիկությունը,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հաշվետվողականությունը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>, ինչպես նաև կբարձրացնի նրանց արտադրողականությունը։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Pr="00AF1888">
        <w:rPr>
          <w:rFonts w:ascii="GHEA Grapalat" w:hAnsi="GHEA Grapalat" w:cs="Arial"/>
          <w:b/>
          <w:sz w:val="24"/>
          <w:szCs w:val="24"/>
          <w:lang w:val="hy-AM"/>
        </w:rPr>
        <w:tab/>
        <w:t>Նախագծի մշակման գործընթացում ներգրավված ինստիտուտները և անձինք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>Ներկայացված նախագիծը մշակվել է ՀՀ էկոնոմիկայի նախարարության կողմից։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  <w:lang w:val="hy-AM"/>
        </w:rPr>
      </w:pPr>
      <w:r w:rsidRPr="00AF1888">
        <w:rPr>
          <w:rFonts w:ascii="GHEA Grapalat" w:hAnsi="GHEA Grapalat" w:cs="Arial"/>
          <w:b/>
          <w:sz w:val="24"/>
          <w:szCs w:val="24"/>
          <w:lang w:val="hy-AM"/>
        </w:rPr>
        <w:t>5.</w:t>
      </w:r>
      <w:r w:rsidRPr="00AF1888">
        <w:rPr>
          <w:rFonts w:ascii="GHEA Grapalat" w:hAnsi="GHEA Grapalat" w:cs="Arial"/>
          <w:b/>
          <w:sz w:val="24"/>
          <w:szCs w:val="24"/>
          <w:lang w:val="hy-AM"/>
        </w:rPr>
        <w:tab/>
        <w:t>Ակնկալվող արդյունքը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284"/>
        <w:rPr>
          <w:rFonts w:ascii="GHEA Grapalat" w:hAnsi="GHEA Grapalat" w:cs="Arial"/>
          <w:sz w:val="24"/>
          <w:szCs w:val="24"/>
          <w:lang w:val="hy-AM"/>
        </w:rPr>
      </w:pPr>
      <w:r w:rsidRPr="00AF1888">
        <w:rPr>
          <w:rFonts w:ascii="GHEA Grapalat" w:hAnsi="GHEA Grapalat" w:cs="Arial"/>
          <w:sz w:val="24"/>
          <w:szCs w:val="24"/>
          <w:lang w:val="hy-AM"/>
        </w:rPr>
        <w:t xml:space="preserve">Միջոցառման շրջանակում տրամադրվող օժանդակության արդյունավետության բարձրացում՝ շահառուների </w:t>
      </w:r>
      <w:proofErr w:type="spellStart"/>
      <w:r w:rsidRPr="00AF1888">
        <w:rPr>
          <w:rFonts w:ascii="GHEA Grapalat" w:hAnsi="GHEA Grapalat" w:cs="Arial"/>
          <w:sz w:val="24"/>
          <w:szCs w:val="24"/>
          <w:lang w:val="hy-AM"/>
        </w:rPr>
        <w:t>թիրախային</w:t>
      </w:r>
      <w:proofErr w:type="spellEnd"/>
      <w:r w:rsidRPr="00AF1888">
        <w:rPr>
          <w:rFonts w:ascii="GHEA Grapalat" w:hAnsi="GHEA Grapalat" w:cs="Arial"/>
          <w:sz w:val="24"/>
          <w:szCs w:val="24"/>
          <w:lang w:val="hy-AM"/>
        </w:rPr>
        <w:t xml:space="preserve"> ընտրության և վարկային միջոցների նպատակային օգտագործման մեխանիզմների մշակման միջոցով։</w:t>
      </w: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pacing w:line="360" w:lineRule="auto"/>
        <w:ind w:left="0" w:firstLine="284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F188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lastRenderedPageBreak/>
        <w:t xml:space="preserve">6.Կապը ռազմավարական փաստաթղթերի հետ` Հայաստանի վերափոխման ռազմավարություն 2050, Կառավարության 2021-2026թթ. ծրագիր, ոլորտային և/կամ այլ </w:t>
      </w:r>
      <w:proofErr w:type="spellStart"/>
      <w:r w:rsidRPr="00AF188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ռազմավարություններ</w:t>
      </w:r>
      <w:proofErr w:type="spellEnd"/>
    </w:p>
    <w:p w:rsidR="005542B9" w:rsidRPr="00AF1888" w:rsidRDefault="005542B9" w:rsidP="005542B9">
      <w:pPr>
        <w:spacing w:line="360" w:lineRule="auto"/>
        <w:ind w:left="0" w:firstLine="284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F188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Նախագիծը բխում է ՀՀ կառավարության 2021-2026 թթ. ծրագրի ՓՄՁ զարգացում (էջ 27) և 2.1 Մշակող արդյունաբերություն բաժիններում (էջ 29) ամրագրված դրույթներից։ </w:t>
      </w: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5542B9" w:rsidRPr="00AF1888" w:rsidRDefault="005542B9" w:rsidP="005542B9">
      <w:pPr>
        <w:shd w:val="clear" w:color="auto" w:fill="FFFFFF"/>
        <w:spacing w:after="0" w:line="360" w:lineRule="auto"/>
        <w:ind w:left="0" w:firstLine="0"/>
        <w:jc w:val="center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5542B9" w:rsidRPr="00AF1888" w:rsidRDefault="005542B9" w:rsidP="005542B9">
      <w:pPr>
        <w:spacing w:line="360" w:lineRule="auto"/>
        <w:ind w:left="0" w:firstLine="0"/>
        <w:jc w:val="left"/>
        <w:rPr>
          <w:rFonts w:asciiTheme="minorHAnsi" w:eastAsiaTheme="minorHAnsi" w:hAnsiTheme="minorHAnsi" w:cstheme="minorBidi"/>
          <w:lang w:val="hy-AM"/>
        </w:rPr>
      </w:pPr>
    </w:p>
    <w:p w:rsidR="005542B9" w:rsidRPr="00F455A4" w:rsidRDefault="005542B9" w:rsidP="005542B9">
      <w:pPr>
        <w:rPr>
          <w:lang w:val="hy-AM"/>
        </w:rPr>
      </w:pPr>
    </w:p>
    <w:p w:rsidR="00E44AD3" w:rsidRPr="005542B9" w:rsidRDefault="00195487" w:rsidP="005542B9">
      <w:pPr>
        <w:rPr>
          <w:lang w:val="hy-AM"/>
        </w:rPr>
      </w:pPr>
      <w:bookmarkStart w:id="0" w:name="_GoBack"/>
      <w:bookmarkEnd w:id="0"/>
    </w:p>
    <w:sectPr w:rsidR="00E44AD3" w:rsidRPr="005542B9" w:rsidSect="007233BA">
      <w:footerReference w:type="default" r:id="rId7"/>
      <w:pgSz w:w="11906" w:h="16838"/>
      <w:pgMar w:top="1138" w:right="576" w:bottom="1170" w:left="1138" w:header="0" w:footer="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87" w:rsidRDefault="00195487">
      <w:pPr>
        <w:spacing w:after="0" w:line="240" w:lineRule="auto"/>
      </w:pPr>
      <w:r>
        <w:separator/>
      </w:r>
    </w:p>
  </w:endnote>
  <w:endnote w:type="continuationSeparator" w:id="0">
    <w:p w:rsidR="00195487" w:rsidRDefault="001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43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014" w:rsidRDefault="00AF1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0014" w:rsidRDefault="0019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87" w:rsidRDefault="00195487">
      <w:pPr>
        <w:spacing w:after="0" w:line="240" w:lineRule="auto"/>
      </w:pPr>
      <w:r>
        <w:separator/>
      </w:r>
    </w:p>
  </w:footnote>
  <w:footnote w:type="continuationSeparator" w:id="0">
    <w:p w:rsidR="00195487" w:rsidRDefault="0019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E8B"/>
    <w:multiLevelType w:val="hybridMultilevel"/>
    <w:tmpl w:val="9A1CB336"/>
    <w:lvl w:ilvl="0" w:tplc="5EDED442">
      <w:start w:val="1"/>
      <w:numFmt w:val="bullet"/>
      <w:lvlText w:val="–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8"/>
    <w:rsid w:val="00195487"/>
    <w:rsid w:val="002E6067"/>
    <w:rsid w:val="00356D78"/>
    <w:rsid w:val="0052681C"/>
    <w:rsid w:val="005542B9"/>
    <w:rsid w:val="008051EB"/>
    <w:rsid w:val="00A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D4F17-B42F-4508-AAF1-C6331C8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432" w:lineRule="auto"/>
        <w:ind w:left="-57" w:firstLine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5268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526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68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188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188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H. Hovhannisyan</dc:creator>
  <cp:keywords>https://mul2.gov.am/tasks/561267/oneclick/Himnavorum 355.docx?token=9df1e63ab1c7bf84122a299272e3f35e</cp:keywords>
  <dc:description/>
  <cp:lastModifiedBy>Ani Mkrtchyan</cp:lastModifiedBy>
  <cp:revision>2</cp:revision>
  <dcterms:created xsi:type="dcterms:W3CDTF">2022-01-24T14:25:00Z</dcterms:created>
  <dcterms:modified xsi:type="dcterms:W3CDTF">2022-01-27T05:45:00Z</dcterms:modified>
</cp:coreProperties>
</file>