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47" w:rsidRPr="0052768A" w:rsidRDefault="00BB72DE" w:rsidP="00D71E57">
      <w:pPr>
        <w:spacing w:after="0" w:line="360" w:lineRule="auto"/>
        <w:jc w:val="center"/>
        <w:rPr>
          <w:rFonts w:ascii="GHEA Grapalat" w:hAnsi="GHEA Grapalat"/>
          <w:b/>
          <w:sz w:val="24"/>
          <w:szCs w:val="24"/>
          <w:lang w:val="hy-AM"/>
        </w:rPr>
      </w:pPr>
      <w:r w:rsidRPr="0052768A">
        <w:rPr>
          <w:rFonts w:ascii="GHEA Grapalat" w:hAnsi="GHEA Grapalat"/>
          <w:b/>
          <w:sz w:val="24"/>
          <w:szCs w:val="24"/>
          <w:lang w:val="hy-AM"/>
        </w:rPr>
        <w:t>ԱՄՓՈՓԱԹԵՐԹ</w:t>
      </w:r>
    </w:p>
    <w:p w:rsidR="00BB72DE" w:rsidRPr="0052768A" w:rsidRDefault="00BB72DE" w:rsidP="008A422E">
      <w:pPr>
        <w:tabs>
          <w:tab w:val="left" w:pos="270"/>
          <w:tab w:val="left" w:pos="9270"/>
        </w:tabs>
        <w:spacing w:after="0" w:line="360" w:lineRule="auto"/>
        <w:ind w:right="-90"/>
        <w:jc w:val="center"/>
        <w:rPr>
          <w:rFonts w:ascii="GHEA Grapalat" w:hAnsi="GHEA Grapalat" w:cs="Sylfaen"/>
          <w:b/>
          <w:sz w:val="24"/>
          <w:szCs w:val="24"/>
          <w:shd w:val="clear" w:color="auto" w:fill="FFFFFF"/>
          <w:lang w:val="hy-AM"/>
        </w:rPr>
      </w:pPr>
      <w:r w:rsidRPr="0052768A">
        <w:rPr>
          <w:rFonts w:ascii="GHEA Grapalat" w:hAnsi="GHEA Grapalat"/>
          <w:b/>
          <w:sz w:val="24"/>
          <w:szCs w:val="24"/>
          <w:shd w:val="clear" w:color="auto" w:fill="FFFFFF"/>
          <w:lang w:val="hy-AM"/>
        </w:rPr>
        <w:t>«</w:t>
      </w:r>
      <w:r w:rsidR="008A422E" w:rsidRPr="0052768A">
        <w:rPr>
          <w:rFonts w:ascii="GHEA Grapalat" w:hAnsi="GHEA Grapalat"/>
          <w:b/>
          <w:bCs/>
          <w:caps/>
          <w:spacing w:val="-6"/>
          <w:sz w:val="24"/>
          <w:szCs w:val="24"/>
          <w:lang w:val="hy-AM"/>
        </w:rPr>
        <w:t xml:space="preserve">Հայաստանի Հանրապետությունում գյուղատնտեսական տեխնիկայի լիզինգի </w:t>
      </w:r>
      <w:bookmarkStart w:id="0" w:name="_GoBack"/>
      <w:bookmarkEnd w:id="0"/>
      <w:r w:rsidR="008A422E" w:rsidRPr="0052768A">
        <w:rPr>
          <w:rFonts w:ascii="GHEA Grapalat" w:hAnsi="GHEA Grapalat"/>
          <w:b/>
          <w:bCs/>
          <w:caps/>
          <w:spacing w:val="-6"/>
          <w:sz w:val="24"/>
          <w:szCs w:val="24"/>
          <w:lang w:val="hy-AM"/>
        </w:rPr>
        <w:t>աջակցության ծրագիրը հաստատելու մասին</w:t>
      </w:r>
      <w:r w:rsidRPr="0052768A">
        <w:rPr>
          <w:rFonts w:ascii="GHEA Grapalat" w:hAnsi="GHEA Grapalat"/>
          <w:b/>
          <w:bCs/>
          <w:caps/>
          <w:spacing w:val="-6"/>
          <w:sz w:val="24"/>
          <w:szCs w:val="24"/>
          <w:lang w:val="hy-AM"/>
        </w:rPr>
        <w:t>»</w:t>
      </w:r>
      <w:r w:rsidRPr="0052768A">
        <w:rPr>
          <w:rFonts w:ascii="GHEA Grapalat" w:hAnsi="GHEA Grapalat"/>
          <w:b/>
          <w:sz w:val="24"/>
          <w:szCs w:val="24"/>
          <w:shd w:val="clear" w:color="auto" w:fill="FFFFFF"/>
          <w:lang w:val="hy-AM"/>
        </w:rPr>
        <w:t xml:space="preserve"> </w:t>
      </w:r>
      <w:r w:rsidRPr="0052768A">
        <w:rPr>
          <w:rFonts w:ascii="GHEA Grapalat" w:hAnsi="GHEA Grapalat" w:cs="Sylfaen"/>
          <w:b/>
          <w:sz w:val="24"/>
          <w:szCs w:val="24"/>
          <w:shd w:val="clear" w:color="auto" w:fill="FFFFFF"/>
          <w:lang w:val="hy-AM"/>
        </w:rPr>
        <w:t>ՀՀ</w:t>
      </w:r>
      <w:r w:rsidRPr="0052768A">
        <w:rPr>
          <w:rFonts w:ascii="GHEA Grapalat" w:hAnsi="GHEA Grapalat"/>
          <w:b/>
          <w:sz w:val="24"/>
          <w:szCs w:val="24"/>
          <w:shd w:val="clear" w:color="auto" w:fill="FFFFFF"/>
          <w:lang w:val="hy-AM"/>
        </w:rPr>
        <w:t xml:space="preserve"> </w:t>
      </w:r>
      <w:r w:rsidRPr="0052768A">
        <w:rPr>
          <w:rFonts w:ascii="GHEA Grapalat" w:hAnsi="GHEA Grapalat" w:cs="Sylfaen"/>
          <w:b/>
          <w:sz w:val="24"/>
          <w:szCs w:val="24"/>
          <w:shd w:val="clear" w:color="auto" w:fill="FFFFFF"/>
          <w:lang w:val="hy-AM"/>
        </w:rPr>
        <w:t>ԿԱՌԱՎԱ</w:t>
      </w:r>
      <w:r w:rsidRPr="0052768A">
        <w:rPr>
          <w:rFonts w:ascii="GHEA Grapalat" w:hAnsi="GHEA Grapalat" w:cs="Verdana"/>
          <w:b/>
          <w:sz w:val="24"/>
          <w:szCs w:val="24"/>
          <w:shd w:val="clear" w:color="auto" w:fill="FFFFFF"/>
          <w:lang w:val="hy-AM"/>
        </w:rPr>
        <w:t>Ր</w:t>
      </w:r>
      <w:r w:rsidRPr="0052768A">
        <w:rPr>
          <w:rFonts w:ascii="GHEA Grapalat" w:hAnsi="GHEA Grapalat" w:cs="Sylfaen"/>
          <w:b/>
          <w:sz w:val="24"/>
          <w:szCs w:val="24"/>
          <w:shd w:val="clear" w:color="auto" w:fill="FFFFFF"/>
          <w:lang w:val="hy-AM"/>
        </w:rPr>
        <w:t>ՈՒԹՅԱՆ</w:t>
      </w:r>
      <w:r w:rsidRPr="0052768A">
        <w:rPr>
          <w:rFonts w:ascii="GHEA Grapalat" w:hAnsi="GHEA Grapalat"/>
          <w:b/>
          <w:sz w:val="24"/>
          <w:szCs w:val="24"/>
          <w:shd w:val="clear" w:color="auto" w:fill="FFFFFF"/>
          <w:lang w:val="hy-AM"/>
        </w:rPr>
        <w:t xml:space="preserve"> </w:t>
      </w:r>
      <w:r w:rsidRPr="0052768A">
        <w:rPr>
          <w:rFonts w:ascii="GHEA Grapalat" w:hAnsi="GHEA Grapalat" w:cs="Sylfaen"/>
          <w:b/>
          <w:sz w:val="24"/>
          <w:szCs w:val="24"/>
          <w:shd w:val="clear" w:color="auto" w:fill="FFFFFF"/>
          <w:lang w:val="hy-AM"/>
        </w:rPr>
        <w:t>Ո</w:t>
      </w:r>
      <w:r w:rsidRPr="0052768A">
        <w:rPr>
          <w:rFonts w:ascii="GHEA Grapalat" w:hAnsi="GHEA Grapalat" w:cs="Verdana"/>
          <w:b/>
          <w:sz w:val="24"/>
          <w:szCs w:val="24"/>
          <w:shd w:val="clear" w:color="auto" w:fill="FFFFFF"/>
          <w:lang w:val="hy-AM"/>
        </w:rPr>
        <w:t>Ր</w:t>
      </w:r>
      <w:r w:rsidRPr="0052768A">
        <w:rPr>
          <w:rFonts w:ascii="GHEA Grapalat" w:hAnsi="GHEA Grapalat" w:cs="Sylfaen"/>
          <w:b/>
          <w:sz w:val="24"/>
          <w:szCs w:val="24"/>
          <w:shd w:val="clear" w:color="auto" w:fill="FFFFFF"/>
          <w:lang w:val="hy-AM"/>
        </w:rPr>
        <w:t>ՈՇՄԱՆ</w:t>
      </w:r>
      <w:r w:rsidRPr="0052768A">
        <w:rPr>
          <w:rFonts w:ascii="GHEA Grapalat" w:hAnsi="GHEA Grapalat"/>
          <w:b/>
          <w:sz w:val="24"/>
          <w:szCs w:val="24"/>
          <w:shd w:val="clear" w:color="auto" w:fill="FFFFFF"/>
          <w:lang w:val="hy-AM"/>
        </w:rPr>
        <w:t xml:space="preserve"> </w:t>
      </w:r>
      <w:r w:rsidRPr="0052768A">
        <w:rPr>
          <w:rFonts w:ascii="GHEA Grapalat" w:hAnsi="GHEA Grapalat" w:cs="Sylfaen"/>
          <w:b/>
          <w:sz w:val="24"/>
          <w:szCs w:val="24"/>
          <w:shd w:val="clear" w:color="auto" w:fill="FFFFFF"/>
          <w:lang w:val="hy-AM"/>
        </w:rPr>
        <w:t>ՆԱԽԱԳԾԻ</w:t>
      </w:r>
    </w:p>
    <w:tbl>
      <w:tblPr>
        <w:tblStyle w:val="TableGrid"/>
        <w:tblW w:w="0" w:type="auto"/>
        <w:tblLook w:val="04A0" w:firstRow="1" w:lastRow="0" w:firstColumn="1" w:lastColumn="0" w:noHBand="0" w:noVBand="1"/>
      </w:tblPr>
      <w:tblGrid>
        <w:gridCol w:w="8185"/>
        <w:gridCol w:w="3095"/>
        <w:gridCol w:w="3760"/>
      </w:tblGrid>
      <w:tr w:rsidR="0052768A" w:rsidRPr="0052768A" w:rsidTr="00B65F55">
        <w:trPr>
          <w:trHeight w:val="449"/>
        </w:trPr>
        <w:tc>
          <w:tcPr>
            <w:tcW w:w="11280" w:type="dxa"/>
            <w:gridSpan w:val="2"/>
            <w:vMerge w:val="restart"/>
            <w:shd w:val="clear" w:color="auto" w:fill="D0CECE" w:themeFill="background2" w:themeFillShade="E6"/>
            <w:vAlign w:val="center"/>
          </w:tcPr>
          <w:p w:rsidR="00BB72DE" w:rsidRPr="0052768A" w:rsidRDefault="00B53B97" w:rsidP="00D71E57">
            <w:pPr>
              <w:spacing w:line="360" w:lineRule="auto"/>
              <w:jc w:val="center"/>
              <w:rPr>
                <w:rFonts w:ascii="GHEA Grapalat" w:hAnsi="GHEA Grapalat"/>
                <w:sz w:val="24"/>
                <w:szCs w:val="24"/>
                <w:lang w:val="hy-AM"/>
              </w:rPr>
            </w:pPr>
            <w:r w:rsidRPr="0052768A">
              <w:rPr>
                <w:rFonts w:ascii="GHEA Grapalat" w:hAnsi="GHEA Grapalat"/>
                <w:sz w:val="24"/>
                <w:szCs w:val="24"/>
                <w:lang w:val="hy-AM"/>
              </w:rPr>
              <w:t>ՀՀ արդարադատության նախարարություն</w:t>
            </w:r>
          </w:p>
        </w:tc>
        <w:tc>
          <w:tcPr>
            <w:tcW w:w="3760" w:type="dxa"/>
            <w:shd w:val="clear" w:color="auto" w:fill="D0CECE" w:themeFill="background2" w:themeFillShade="E6"/>
            <w:vAlign w:val="center"/>
          </w:tcPr>
          <w:p w:rsidR="00BB72DE" w:rsidRPr="0052768A" w:rsidRDefault="00D03322" w:rsidP="00D03322">
            <w:pPr>
              <w:spacing w:line="360" w:lineRule="auto"/>
              <w:jc w:val="center"/>
              <w:rPr>
                <w:rFonts w:ascii="GHEA Grapalat" w:hAnsi="GHEA Grapalat"/>
                <w:sz w:val="24"/>
                <w:szCs w:val="24"/>
                <w:lang w:val="hy-AM"/>
              </w:rPr>
            </w:pPr>
            <w:r w:rsidRPr="0052768A">
              <w:rPr>
                <w:rFonts w:ascii="GHEA Grapalat" w:hAnsi="GHEA Grapalat"/>
                <w:sz w:val="24"/>
                <w:szCs w:val="24"/>
              </w:rPr>
              <w:t>03</w:t>
            </w:r>
            <w:r w:rsidR="00B53B97" w:rsidRPr="0052768A">
              <w:rPr>
                <w:rFonts w:ascii="GHEA Grapalat" w:hAnsi="GHEA Grapalat"/>
                <w:sz w:val="24"/>
                <w:szCs w:val="24"/>
                <w:lang w:val="hy-AM"/>
              </w:rPr>
              <w:t>.</w:t>
            </w:r>
            <w:r w:rsidRPr="0052768A">
              <w:rPr>
                <w:rFonts w:ascii="GHEA Grapalat" w:hAnsi="GHEA Grapalat"/>
                <w:sz w:val="24"/>
                <w:szCs w:val="24"/>
              </w:rPr>
              <w:t>12</w:t>
            </w:r>
            <w:r w:rsidR="00B53B97" w:rsidRPr="0052768A">
              <w:rPr>
                <w:rFonts w:ascii="GHEA Grapalat" w:hAnsi="GHEA Grapalat"/>
                <w:sz w:val="24"/>
                <w:szCs w:val="24"/>
                <w:lang w:val="hy-AM"/>
              </w:rPr>
              <w:t>.2021թ.</w:t>
            </w:r>
          </w:p>
        </w:tc>
      </w:tr>
      <w:tr w:rsidR="0052768A" w:rsidRPr="0052768A" w:rsidTr="00154430">
        <w:trPr>
          <w:trHeight w:val="584"/>
        </w:trPr>
        <w:tc>
          <w:tcPr>
            <w:tcW w:w="11280" w:type="dxa"/>
            <w:gridSpan w:val="2"/>
            <w:vMerge/>
            <w:shd w:val="clear" w:color="auto" w:fill="D0CECE" w:themeFill="background2" w:themeFillShade="E6"/>
            <w:vAlign w:val="center"/>
          </w:tcPr>
          <w:p w:rsidR="00BB72DE" w:rsidRPr="0052768A" w:rsidRDefault="00BB72DE" w:rsidP="00D71E57">
            <w:pPr>
              <w:spacing w:line="360" w:lineRule="auto"/>
              <w:jc w:val="center"/>
              <w:rPr>
                <w:rFonts w:ascii="GHEA Grapalat" w:hAnsi="GHEA Grapalat" w:cs="Sylfaen"/>
                <w:sz w:val="24"/>
                <w:szCs w:val="24"/>
                <w:shd w:val="clear" w:color="auto" w:fill="FFFFFF"/>
                <w:lang w:val="hy-AM"/>
              </w:rPr>
            </w:pPr>
          </w:p>
        </w:tc>
        <w:tc>
          <w:tcPr>
            <w:tcW w:w="3760" w:type="dxa"/>
            <w:shd w:val="clear" w:color="auto" w:fill="D0CECE" w:themeFill="background2" w:themeFillShade="E6"/>
            <w:vAlign w:val="center"/>
          </w:tcPr>
          <w:p w:rsidR="00BB72DE" w:rsidRPr="0052768A" w:rsidRDefault="00B53B97" w:rsidP="00D71E57">
            <w:pPr>
              <w:spacing w:line="360" w:lineRule="auto"/>
              <w:jc w:val="center"/>
              <w:rPr>
                <w:rFonts w:ascii="GHEA Grapalat" w:hAnsi="GHEA Grapalat"/>
                <w:sz w:val="24"/>
                <w:szCs w:val="24"/>
                <w:lang w:val="hy-AM"/>
              </w:rPr>
            </w:pPr>
            <w:r w:rsidRPr="0052768A">
              <w:rPr>
                <w:rFonts w:ascii="GHEA Grapalat" w:hAnsi="GHEA Grapalat"/>
                <w:sz w:val="24"/>
                <w:szCs w:val="24"/>
                <w:lang w:val="hy-AM"/>
              </w:rPr>
              <w:t>№</w:t>
            </w:r>
            <w:r w:rsidR="00D03322" w:rsidRPr="0052768A">
              <w:rPr>
                <w:rFonts w:ascii="GHEA Grapalat" w:hAnsi="GHEA Grapalat"/>
                <w:sz w:val="24"/>
                <w:szCs w:val="24"/>
                <w:lang w:val="hy-AM"/>
              </w:rPr>
              <w:t>//39691-2021</w:t>
            </w:r>
          </w:p>
        </w:tc>
      </w:tr>
      <w:tr w:rsidR="0052768A" w:rsidRPr="004C4BD2" w:rsidTr="00352545">
        <w:trPr>
          <w:trHeight w:val="4310"/>
        </w:trPr>
        <w:tc>
          <w:tcPr>
            <w:tcW w:w="8185" w:type="dxa"/>
          </w:tcPr>
          <w:p w:rsidR="008A422E" w:rsidRPr="0052768A" w:rsidRDefault="008A422E" w:rsidP="008A422E">
            <w:pPr>
              <w:spacing w:line="360" w:lineRule="auto"/>
              <w:ind w:firstLine="157"/>
              <w:jc w:val="both"/>
              <w:rPr>
                <w:rFonts w:ascii="GHEA Grapalat" w:hAnsi="GHEA Grapalat"/>
                <w:sz w:val="24"/>
                <w:szCs w:val="24"/>
                <w:lang w:val="hy-AM"/>
              </w:rPr>
            </w:pPr>
            <w:r w:rsidRPr="0052768A">
              <w:rPr>
                <w:rFonts w:ascii="GHEA Grapalat" w:hAnsi="GHEA Grapalat"/>
                <w:sz w:val="24"/>
                <w:szCs w:val="24"/>
                <w:lang w:val="hy-AM"/>
              </w:rPr>
              <w:t>«Հայաստանի Հանրապետությունում գյուղատնտեսական տեխնիկայի լիզինգի պետական աջակցության ծրագիրը հաստատելու մասին» Հայաստանի Հանրապետության կառավարության որոշման նախագծի (այսուհետ՝ Նախագիծ) վերաբերյալ հայտնում ենք հետևյալը</w:t>
            </w:r>
          </w:p>
          <w:p w:rsidR="00BB72DE" w:rsidRPr="0052768A" w:rsidRDefault="008A422E" w:rsidP="008A422E">
            <w:pPr>
              <w:spacing w:line="360" w:lineRule="auto"/>
              <w:ind w:firstLine="157"/>
              <w:jc w:val="both"/>
              <w:rPr>
                <w:rFonts w:ascii="GHEA Grapalat" w:hAnsi="GHEA Grapalat"/>
                <w:b/>
                <w:sz w:val="24"/>
                <w:szCs w:val="24"/>
                <w:lang w:val="hy-AM"/>
              </w:rPr>
            </w:pPr>
            <w:r w:rsidRPr="0052768A">
              <w:rPr>
                <w:rFonts w:ascii="GHEA Grapalat" w:hAnsi="GHEA Grapalat"/>
                <w:sz w:val="24"/>
                <w:szCs w:val="24"/>
                <w:lang w:val="hy-AM"/>
              </w:rPr>
              <w:t>1.  Առաջարկում ենք Նախագծով հաստատվող հավելվածից (այսուհետ՝ Հավելված) հանել «Ծրագրի նկարագիրը» գլուխը և սահմանել համապատասխան գլուխներ, որոնք կվերաբերեն կոնկրետ հարցերի կարգավորմանը: Հավելվածում կան այնպիսի կետեր, որոնք ավելի նպատակահարմար կլիներ ներկայացնել առանձին գլուխների տեսքով: Մասնավորապես, Հավելվածի 21-րդ կետն անհրաժեշտ է նախատեսել գլխի տեսքով, իսկ համապատասխան ենթակետերը՝ կետերի տեսքով:</w:t>
            </w:r>
          </w:p>
        </w:tc>
        <w:tc>
          <w:tcPr>
            <w:tcW w:w="6855" w:type="dxa"/>
            <w:gridSpan w:val="2"/>
          </w:tcPr>
          <w:p w:rsidR="00154430" w:rsidRPr="0052768A" w:rsidRDefault="00A4165D" w:rsidP="0052768A">
            <w:pPr>
              <w:spacing w:line="360" w:lineRule="auto"/>
              <w:ind w:firstLine="178"/>
              <w:jc w:val="center"/>
              <w:rPr>
                <w:rFonts w:ascii="GHEA Grapalat" w:hAnsi="GHEA Grapalat"/>
                <w:b/>
                <w:sz w:val="24"/>
                <w:szCs w:val="24"/>
                <w:lang w:val="hy-AM"/>
              </w:rPr>
            </w:pPr>
            <w:r w:rsidRPr="0052768A">
              <w:rPr>
                <w:rFonts w:ascii="GHEA Grapalat" w:hAnsi="GHEA Grapalat"/>
                <w:b/>
                <w:sz w:val="24"/>
                <w:szCs w:val="24"/>
                <w:lang w:val="hy-AM"/>
              </w:rPr>
              <w:t xml:space="preserve">Չի ընդունվել </w:t>
            </w:r>
          </w:p>
          <w:p w:rsidR="00A4165D" w:rsidRPr="0052768A" w:rsidRDefault="00A4165D" w:rsidP="0052768A">
            <w:pPr>
              <w:spacing w:line="360" w:lineRule="auto"/>
              <w:ind w:firstLine="178"/>
              <w:jc w:val="both"/>
              <w:rPr>
                <w:rFonts w:ascii="GHEA Grapalat" w:hAnsi="GHEA Grapalat"/>
                <w:sz w:val="24"/>
                <w:szCs w:val="24"/>
                <w:lang w:val="hy-AM"/>
              </w:rPr>
            </w:pPr>
            <w:r w:rsidRPr="0052768A">
              <w:rPr>
                <w:rFonts w:ascii="GHEA Grapalat" w:hAnsi="GHEA Grapalat"/>
                <w:sz w:val="24"/>
                <w:szCs w:val="24"/>
                <w:lang w:val="hy-AM"/>
              </w:rPr>
              <w:t>Հաշվի առնելով, որ գյուղատնտեսության ոլորտի պետական աջակցության ծրագրերը վերջին տարիներին մշակվել և ՀՀ կառավարության կողմից հաստատվել են ներկայացված ձևաչափով, սույն նախագիծը ևս ներկայացվել է նույնանման ձևաչափով։</w:t>
            </w:r>
          </w:p>
        </w:tc>
      </w:tr>
      <w:tr w:rsidR="0052768A" w:rsidRPr="004C4BD2" w:rsidTr="00357896">
        <w:trPr>
          <w:trHeight w:val="1266"/>
        </w:trPr>
        <w:tc>
          <w:tcPr>
            <w:tcW w:w="8185" w:type="dxa"/>
          </w:tcPr>
          <w:p w:rsidR="008A422E" w:rsidRPr="0052768A" w:rsidRDefault="008A422E" w:rsidP="008A422E">
            <w:pPr>
              <w:spacing w:line="360" w:lineRule="auto"/>
              <w:ind w:firstLine="157"/>
              <w:jc w:val="both"/>
              <w:rPr>
                <w:rFonts w:ascii="GHEA Grapalat" w:hAnsi="GHEA Grapalat"/>
                <w:sz w:val="24"/>
                <w:szCs w:val="24"/>
                <w:lang w:val="hy-AM"/>
              </w:rPr>
            </w:pPr>
            <w:r w:rsidRPr="0052768A">
              <w:rPr>
                <w:rFonts w:ascii="GHEA Grapalat" w:hAnsi="GHEA Grapalat"/>
                <w:sz w:val="24"/>
                <w:szCs w:val="24"/>
                <w:lang w:val="hy-AM"/>
              </w:rPr>
              <w:t xml:space="preserve">2. Հավելվածի 14-րդ կետի 3-րդ ենթակետի համաձայն՝ լիզինգի սուբսիդավորումը դադարեցվում է, եթե մոնիթորինգի արդյունքում հայտնաբերվել է ծրագրի պայմանների խախտում: Սակայն, </w:t>
            </w:r>
            <w:r w:rsidRPr="0052768A">
              <w:rPr>
                <w:rFonts w:ascii="GHEA Grapalat" w:hAnsi="GHEA Grapalat"/>
                <w:sz w:val="24"/>
                <w:szCs w:val="24"/>
                <w:lang w:val="hy-AM"/>
              </w:rPr>
              <w:lastRenderedPageBreak/>
              <w:t>Հավելվածում բացակայում են մոնիթորինգի անցկացման կարգի, ձևի և պայմանների հետ կապված դրույթներ, ինչն անհրաժեշտ է լրացնել:</w:t>
            </w:r>
          </w:p>
        </w:tc>
        <w:tc>
          <w:tcPr>
            <w:tcW w:w="6855" w:type="dxa"/>
            <w:gridSpan w:val="2"/>
          </w:tcPr>
          <w:p w:rsidR="008E06F7" w:rsidRPr="0052768A" w:rsidRDefault="008E06F7" w:rsidP="008E06F7">
            <w:pPr>
              <w:spacing w:line="360" w:lineRule="auto"/>
              <w:ind w:firstLine="375"/>
              <w:jc w:val="center"/>
              <w:rPr>
                <w:rFonts w:ascii="GHEA Grapalat" w:hAnsi="GHEA Grapalat"/>
                <w:b/>
                <w:sz w:val="24"/>
                <w:szCs w:val="24"/>
                <w:lang w:val="hy-AM"/>
              </w:rPr>
            </w:pPr>
            <w:r w:rsidRPr="0052768A">
              <w:rPr>
                <w:rFonts w:ascii="GHEA Grapalat" w:hAnsi="GHEA Grapalat"/>
                <w:b/>
                <w:sz w:val="24"/>
                <w:szCs w:val="24"/>
                <w:lang w:val="hy-AM"/>
              </w:rPr>
              <w:lastRenderedPageBreak/>
              <w:t xml:space="preserve">Չի </w:t>
            </w:r>
            <w:r w:rsidR="00F20C29" w:rsidRPr="0052768A">
              <w:rPr>
                <w:rFonts w:ascii="GHEA Grapalat" w:hAnsi="GHEA Grapalat"/>
                <w:b/>
                <w:sz w:val="24"/>
                <w:szCs w:val="24"/>
                <w:lang w:val="hy-AM"/>
              </w:rPr>
              <w:t>ը</w:t>
            </w:r>
            <w:r w:rsidRPr="0052768A">
              <w:rPr>
                <w:rFonts w:ascii="GHEA Grapalat" w:hAnsi="GHEA Grapalat"/>
                <w:b/>
                <w:sz w:val="24"/>
                <w:szCs w:val="24"/>
                <w:lang w:val="hy-AM"/>
              </w:rPr>
              <w:t>նդունվել</w:t>
            </w:r>
          </w:p>
          <w:p w:rsidR="008E06F7" w:rsidRPr="0052768A" w:rsidRDefault="008E06F7" w:rsidP="0052768A">
            <w:pPr>
              <w:spacing w:line="360" w:lineRule="auto"/>
              <w:ind w:firstLine="178"/>
              <w:jc w:val="both"/>
              <w:rPr>
                <w:rFonts w:ascii="GHEA Grapalat" w:hAnsi="GHEA Grapalat"/>
                <w:sz w:val="24"/>
                <w:szCs w:val="24"/>
                <w:lang w:val="hy-AM"/>
              </w:rPr>
            </w:pPr>
            <w:r w:rsidRPr="0052768A">
              <w:rPr>
                <w:rFonts w:ascii="GHEA Grapalat" w:hAnsi="GHEA Grapalat"/>
                <w:sz w:val="24"/>
                <w:szCs w:val="24"/>
                <w:lang w:val="hy-AM"/>
              </w:rPr>
              <w:t>Հավելվածում մոնիթորինգի հետ կապված դրույ</w:t>
            </w:r>
            <w:r w:rsidR="0095253F" w:rsidRPr="0052768A">
              <w:rPr>
                <w:rFonts w:ascii="GHEA Grapalat" w:hAnsi="GHEA Grapalat"/>
                <w:sz w:val="24"/>
                <w:szCs w:val="24"/>
                <w:lang w:val="hy-AM"/>
              </w:rPr>
              <w:t>թ</w:t>
            </w:r>
            <w:r w:rsidRPr="0052768A">
              <w:rPr>
                <w:rFonts w:ascii="GHEA Grapalat" w:hAnsi="GHEA Grapalat"/>
                <w:sz w:val="24"/>
                <w:szCs w:val="24"/>
                <w:lang w:val="hy-AM"/>
              </w:rPr>
              <w:t>ներ</w:t>
            </w:r>
            <w:r w:rsidR="0095253F" w:rsidRPr="0052768A">
              <w:rPr>
                <w:rFonts w:ascii="GHEA Grapalat" w:hAnsi="GHEA Grapalat"/>
                <w:sz w:val="24"/>
                <w:szCs w:val="24"/>
                <w:lang w:val="hy-AM"/>
              </w:rPr>
              <w:t>ը</w:t>
            </w:r>
            <w:r w:rsidRPr="0052768A">
              <w:rPr>
                <w:rFonts w:ascii="GHEA Grapalat" w:hAnsi="GHEA Grapalat"/>
                <w:sz w:val="24"/>
                <w:szCs w:val="24"/>
                <w:lang w:val="hy-AM"/>
              </w:rPr>
              <w:t xml:space="preserve"> սահմանված </w:t>
            </w:r>
            <w:r w:rsidR="0095253F" w:rsidRPr="0052768A">
              <w:rPr>
                <w:rFonts w:ascii="GHEA Grapalat" w:hAnsi="GHEA Grapalat"/>
                <w:sz w:val="24"/>
                <w:szCs w:val="24"/>
                <w:lang w:val="hy-AM"/>
              </w:rPr>
              <w:t>են</w:t>
            </w:r>
            <w:r w:rsidR="00C014E1" w:rsidRPr="0052768A">
              <w:rPr>
                <w:rFonts w:ascii="GHEA Grapalat" w:hAnsi="GHEA Grapalat"/>
                <w:sz w:val="24"/>
                <w:szCs w:val="24"/>
                <w:lang w:val="hy-AM"/>
              </w:rPr>
              <w:t xml:space="preserve"> նախագծի</w:t>
            </w:r>
            <w:r w:rsidRPr="0052768A">
              <w:rPr>
                <w:rFonts w:ascii="GHEA Grapalat" w:hAnsi="GHEA Grapalat"/>
                <w:sz w:val="24"/>
                <w:szCs w:val="24"/>
                <w:lang w:val="hy-AM"/>
              </w:rPr>
              <w:t xml:space="preserve"> 15-րդ կետում, համաձայն որի </w:t>
            </w:r>
            <w:r w:rsidRPr="0052768A">
              <w:rPr>
                <w:rFonts w:ascii="GHEA Grapalat" w:hAnsi="GHEA Grapalat"/>
                <w:sz w:val="24"/>
                <w:szCs w:val="24"/>
                <w:lang w:val="hy-AM"/>
              </w:rPr>
              <w:lastRenderedPageBreak/>
              <w:t>մոնիթորինգ</w:t>
            </w:r>
            <w:r w:rsidR="00C014E1" w:rsidRPr="0052768A">
              <w:rPr>
                <w:rFonts w:ascii="GHEA Grapalat" w:hAnsi="GHEA Grapalat"/>
                <w:sz w:val="24"/>
                <w:szCs w:val="24"/>
                <w:lang w:val="hy-AM"/>
              </w:rPr>
              <w:t>ի</w:t>
            </w:r>
            <w:r w:rsidRPr="0052768A">
              <w:rPr>
                <w:rFonts w:ascii="GHEA Grapalat" w:hAnsi="GHEA Grapalat"/>
                <w:sz w:val="24"/>
                <w:szCs w:val="24"/>
                <w:lang w:val="hy-AM"/>
              </w:rPr>
              <w:t xml:space="preserve"> իրականացում</w:t>
            </w:r>
            <w:r w:rsidR="00C014E1" w:rsidRPr="0052768A">
              <w:rPr>
                <w:rFonts w:ascii="GHEA Grapalat" w:hAnsi="GHEA Grapalat"/>
                <w:sz w:val="24"/>
                <w:szCs w:val="24"/>
                <w:lang w:val="hy-AM"/>
              </w:rPr>
              <w:t>ը վերապահված</w:t>
            </w:r>
            <w:r w:rsidRPr="0052768A">
              <w:rPr>
                <w:rFonts w:ascii="GHEA Grapalat" w:hAnsi="GHEA Grapalat"/>
                <w:sz w:val="24"/>
                <w:szCs w:val="24"/>
                <w:lang w:val="hy-AM"/>
              </w:rPr>
              <w:t xml:space="preserve"> է ֆինանսական կառույցի</w:t>
            </w:r>
            <w:r w:rsidR="00C014E1" w:rsidRPr="0052768A">
              <w:rPr>
                <w:rFonts w:ascii="GHEA Grapalat" w:hAnsi="GHEA Grapalat"/>
                <w:sz w:val="24"/>
                <w:szCs w:val="24"/>
                <w:lang w:val="hy-AM"/>
              </w:rPr>
              <w:t>ներին</w:t>
            </w:r>
            <w:r w:rsidR="0095253F" w:rsidRPr="0052768A">
              <w:rPr>
                <w:rFonts w:ascii="GHEA Grapalat" w:hAnsi="GHEA Grapalat"/>
                <w:sz w:val="24"/>
                <w:szCs w:val="24"/>
                <w:lang w:val="hy-AM"/>
              </w:rPr>
              <w:t>, որոնք էլ այն կիրականացնեն իրենց ներքին կանոնակարգերին համապատասխան։</w:t>
            </w:r>
          </w:p>
        </w:tc>
      </w:tr>
      <w:tr w:rsidR="0052768A" w:rsidRPr="0052768A" w:rsidTr="00F20C29">
        <w:trPr>
          <w:trHeight w:val="1408"/>
        </w:trPr>
        <w:tc>
          <w:tcPr>
            <w:tcW w:w="8185" w:type="dxa"/>
          </w:tcPr>
          <w:p w:rsidR="008A422E" w:rsidRPr="0052768A" w:rsidRDefault="008A422E" w:rsidP="008A422E">
            <w:pPr>
              <w:spacing w:line="360" w:lineRule="auto"/>
              <w:ind w:firstLine="157"/>
              <w:jc w:val="both"/>
              <w:rPr>
                <w:rFonts w:ascii="GHEA Grapalat" w:hAnsi="GHEA Grapalat"/>
                <w:sz w:val="24"/>
                <w:szCs w:val="24"/>
                <w:lang w:val="hy-AM"/>
              </w:rPr>
            </w:pPr>
            <w:r w:rsidRPr="0052768A">
              <w:rPr>
                <w:rFonts w:ascii="GHEA Grapalat" w:hAnsi="GHEA Grapalat"/>
                <w:sz w:val="24"/>
                <w:szCs w:val="24"/>
                <w:lang w:val="hy-AM"/>
              </w:rPr>
              <w:lastRenderedPageBreak/>
              <w:t>3. Հավելվածի 14-րդ կետի 2-րդ ենթակետում «նպատակայնության» բառն անհրաժեշտ է փոխարինել «նպատակային նշանակությանը» բառերով:</w:t>
            </w:r>
          </w:p>
        </w:tc>
        <w:tc>
          <w:tcPr>
            <w:tcW w:w="6855" w:type="dxa"/>
            <w:gridSpan w:val="2"/>
          </w:tcPr>
          <w:p w:rsidR="008E06F7" w:rsidRPr="0052768A" w:rsidRDefault="008E06F7" w:rsidP="008E06F7">
            <w:pPr>
              <w:spacing w:line="360" w:lineRule="auto"/>
              <w:ind w:firstLine="375"/>
              <w:jc w:val="center"/>
              <w:rPr>
                <w:rFonts w:ascii="GHEA Grapalat" w:hAnsi="GHEA Grapalat"/>
                <w:b/>
                <w:sz w:val="24"/>
                <w:szCs w:val="24"/>
                <w:lang w:val="hy-AM"/>
              </w:rPr>
            </w:pPr>
            <w:r w:rsidRPr="0052768A">
              <w:rPr>
                <w:rFonts w:ascii="GHEA Grapalat" w:hAnsi="GHEA Grapalat"/>
                <w:b/>
                <w:sz w:val="24"/>
                <w:szCs w:val="24"/>
                <w:lang w:val="hy-AM"/>
              </w:rPr>
              <w:t>Ընդունվել է</w:t>
            </w:r>
          </w:p>
          <w:p w:rsidR="008A422E" w:rsidRPr="0052768A" w:rsidRDefault="008A422E" w:rsidP="00D71E57">
            <w:pPr>
              <w:spacing w:line="360" w:lineRule="auto"/>
              <w:ind w:firstLine="375"/>
              <w:jc w:val="center"/>
              <w:rPr>
                <w:rFonts w:ascii="GHEA Grapalat" w:hAnsi="GHEA Grapalat"/>
                <w:b/>
                <w:sz w:val="24"/>
                <w:szCs w:val="24"/>
                <w:lang w:val="hy-AM"/>
              </w:rPr>
            </w:pPr>
          </w:p>
        </w:tc>
      </w:tr>
      <w:tr w:rsidR="0052768A" w:rsidRPr="0052768A" w:rsidTr="00A4165D">
        <w:trPr>
          <w:trHeight w:val="1896"/>
        </w:trPr>
        <w:tc>
          <w:tcPr>
            <w:tcW w:w="8185" w:type="dxa"/>
          </w:tcPr>
          <w:p w:rsidR="008A422E" w:rsidRPr="0052768A" w:rsidRDefault="008A422E" w:rsidP="008A422E">
            <w:pPr>
              <w:spacing w:line="360" w:lineRule="auto"/>
              <w:ind w:firstLine="157"/>
              <w:jc w:val="both"/>
              <w:rPr>
                <w:rFonts w:ascii="GHEA Grapalat" w:hAnsi="GHEA Grapalat"/>
                <w:sz w:val="24"/>
                <w:szCs w:val="24"/>
                <w:lang w:val="hy-AM"/>
              </w:rPr>
            </w:pPr>
            <w:r w:rsidRPr="0052768A">
              <w:rPr>
                <w:rFonts w:ascii="GHEA Grapalat" w:hAnsi="GHEA Grapalat"/>
                <w:sz w:val="24"/>
                <w:szCs w:val="24"/>
                <w:lang w:val="hy-AM"/>
              </w:rPr>
              <w:t>4. Հավելվածի 15-րդ կետում անհրաժեշտ  է նախատեսել եզրակացությունը կազմելու և այն նախարարությանը և ԳՖԿ-ին ներկայացնելու ժամկետներ: Սույն կետում «հայտնաբերում են» բառերն անհրաժեշտ է փոխարինել «հայտնաբերում է» բառով:</w:t>
            </w:r>
          </w:p>
        </w:tc>
        <w:tc>
          <w:tcPr>
            <w:tcW w:w="6855" w:type="dxa"/>
            <w:gridSpan w:val="2"/>
          </w:tcPr>
          <w:p w:rsidR="008E06F7" w:rsidRPr="0052768A" w:rsidRDefault="008E06F7" w:rsidP="008E06F7">
            <w:pPr>
              <w:spacing w:line="360" w:lineRule="auto"/>
              <w:ind w:firstLine="375"/>
              <w:jc w:val="center"/>
              <w:rPr>
                <w:rFonts w:ascii="GHEA Grapalat" w:hAnsi="GHEA Grapalat"/>
                <w:b/>
                <w:sz w:val="24"/>
                <w:szCs w:val="24"/>
                <w:lang w:val="hy-AM"/>
              </w:rPr>
            </w:pPr>
            <w:r w:rsidRPr="0052768A">
              <w:rPr>
                <w:rFonts w:ascii="GHEA Grapalat" w:hAnsi="GHEA Grapalat"/>
                <w:b/>
                <w:sz w:val="24"/>
                <w:szCs w:val="24"/>
                <w:lang w:val="hy-AM"/>
              </w:rPr>
              <w:t>Ընդունվել է</w:t>
            </w:r>
          </w:p>
          <w:p w:rsidR="008E06F7" w:rsidRPr="0052768A" w:rsidRDefault="008E06F7" w:rsidP="00D71E57">
            <w:pPr>
              <w:spacing w:line="360" w:lineRule="auto"/>
              <w:ind w:firstLine="375"/>
              <w:jc w:val="center"/>
              <w:rPr>
                <w:rFonts w:ascii="GHEA Grapalat" w:hAnsi="GHEA Grapalat"/>
                <w:b/>
                <w:sz w:val="24"/>
                <w:szCs w:val="24"/>
                <w:lang w:val="hy-AM"/>
              </w:rPr>
            </w:pPr>
          </w:p>
          <w:p w:rsidR="008A422E" w:rsidRPr="0052768A" w:rsidRDefault="008E06F7" w:rsidP="008E06F7">
            <w:pPr>
              <w:tabs>
                <w:tab w:val="left" w:pos="4164"/>
              </w:tabs>
              <w:rPr>
                <w:rFonts w:ascii="GHEA Grapalat" w:hAnsi="GHEA Grapalat"/>
                <w:sz w:val="24"/>
                <w:szCs w:val="24"/>
                <w:lang w:val="hy-AM"/>
              </w:rPr>
            </w:pPr>
            <w:r w:rsidRPr="0052768A">
              <w:rPr>
                <w:rFonts w:ascii="GHEA Grapalat" w:hAnsi="GHEA Grapalat"/>
                <w:sz w:val="24"/>
                <w:szCs w:val="24"/>
                <w:lang w:val="hy-AM"/>
              </w:rPr>
              <w:tab/>
            </w:r>
          </w:p>
        </w:tc>
      </w:tr>
      <w:tr w:rsidR="0052768A" w:rsidRPr="0052768A" w:rsidTr="00B65F55">
        <w:trPr>
          <w:trHeight w:val="449"/>
        </w:trPr>
        <w:tc>
          <w:tcPr>
            <w:tcW w:w="11280" w:type="dxa"/>
            <w:gridSpan w:val="2"/>
            <w:vMerge w:val="restart"/>
            <w:shd w:val="clear" w:color="auto" w:fill="D0CECE" w:themeFill="background2" w:themeFillShade="E6"/>
            <w:vAlign w:val="center"/>
          </w:tcPr>
          <w:p w:rsidR="00300C9D" w:rsidRPr="0052768A" w:rsidRDefault="00300C9D" w:rsidP="00300C9D">
            <w:pPr>
              <w:spacing w:line="360" w:lineRule="auto"/>
              <w:jc w:val="center"/>
              <w:rPr>
                <w:rFonts w:ascii="GHEA Grapalat" w:hAnsi="GHEA Grapalat"/>
                <w:sz w:val="24"/>
                <w:szCs w:val="24"/>
                <w:lang w:val="hy-AM"/>
              </w:rPr>
            </w:pPr>
            <w:r w:rsidRPr="0052768A">
              <w:rPr>
                <w:rFonts w:ascii="GHEA Grapalat" w:hAnsi="GHEA Grapalat"/>
                <w:sz w:val="24"/>
                <w:szCs w:val="24"/>
                <w:lang w:val="hy-AM"/>
              </w:rPr>
              <w:t>ՀՀ տարածքային կառավարման և ենթակառուցվածքների նախարարություն</w:t>
            </w:r>
          </w:p>
        </w:tc>
        <w:tc>
          <w:tcPr>
            <w:tcW w:w="3760" w:type="dxa"/>
            <w:shd w:val="clear" w:color="auto" w:fill="D0CECE" w:themeFill="background2" w:themeFillShade="E6"/>
            <w:vAlign w:val="center"/>
          </w:tcPr>
          <w:p w:rsidR="00300C9D" w:rsidRPr="0052768A" w:rsidRDefault="00300C9D" w:rsidP="00300C9D">
            <w:pPr>
              <w:tabs>
                <w:tab w:val="left" w:pos="1100"/>
              </w:tabs>
              <w:spacing w:line="360" w:lineRule="auto"/>
              <w:jc w:val="center"/>
              <w:rPr>
                <w:rFonts w:ascii="GHEA Grapalat" w:hAnsi="GHEA Grapalat"/>
                <w:sz w:val="24"/>
                <w:szCs w:val="24"/>
                <w:lang w:val="hy-AM"/>
              </w:rPr>
            </w:pPr>
            <w:r w:rsidRPr="0052768A">
              <w:rPr>
                <w:rFonts w:ascii="GHEA Grapalat" w:hAnsi="GHEA Grapalat"/>
                <w:sz w:val="24"/>
                <w:szCs w:val="24"/>
                <w:lang w:val="hy-AM"/>
              </w:rPr>
              <w:t>06.</w:t>
            </w:r>
            <w:r w:rsidRPr="0052768A">
              <w:rPr>
                <w:rFonts w:ascii="GHEA Grapalat" w:hAnsi="GHEA Grapalat"/>
                <w:sz w:val="24"/>
                <w:szCs w:val="24"/>
              </w:rPr>
              <w:t>12</w:t>
            </w:r>
            <w:r w:rsidRPr="0052768A">
              <w:rPr>
                <w:rFonts w:ascii="GHEA Grapalat" w:hAnsi="GHEA Grapalat"/>
                <w:sz w:val="24"/>
                <w:szCs w:val="24"/>
                <w:lang w:val="hy-AM"/>
              </w:rPr>
              <w:t>.2021թ.</w:t>
            </w:r>
          </w:p>
        </w:tc>
      </w:tr>
      <w:tr w:rsidR="0052768A" w:rsidRPr="0052768A" w:rsidTr="009C788C">
        <w:trPr>
          <w:trHeight w:val="539"/>
        </w:trPr>
        <w:tc>
          <w:tcPr>
            <w:tcW w:w="11280" w:type="dxa"/>
            <w:gridSpan w:val="2"/>
            <w:vMerge/>
            <w:shd w:val="clear" w:color="auto" w:fill="D0CECE" w:themeFill="background2" w:themeFillShade="E6"/>
          </w:tcPr>
          <w:p w:rsidR="00300C9D" w:rsidRPr="0052768A" w:rsidRDefault="00300C9D" w:rsidP="00300C9D">
            <w:pPr>
              <w:spacing w:line="360" w:lineRule="auto"/>
              <w:jc w:val="center"/>
              <w:rPr>
                <w:rFonts w:ascii="GHEA Grapalat" w:hAnsi="GHEA Grapalat"/>
                <w:sz w:val="24"/>
                <w:szCs w:val="24"/>
                <w:lang w:val="hy-AM"/>
              </w:rPr>
            </w:pPr>
          </w:p>
        </w:tc>
        <w:tc>
          <w:tcPr>
            <w:tcW w:w="3760" w:type="dxa"/>
            <w:shd w:val="clear" w:color="auto" w:fill="D0CECE" w:themeFill="background2" w:themeFillShade="E6"/>
            <w:vAlign w:val="center"/>
          </w:tcPr>
          <w:p w:rsidR="00300C9D" w:rsidRPr="0052768A" w:rsidRDefault="00300C9D" w:rsidP="00300C9D">
            <w:pPr>
              <w:spacing w:line="360" w:lineRule="auto"/>
              <w:jc w:val="center"/>
              <w:rPr>
                <w:rFonts w:ascii="GHEA Grapalat" w:hAnsi="GHEA Grapalat"/>
                <w:sz w:val="24"/>
                <w:szCs w:val="24"/>
                <w:lang w:val="hy-AM"/>
              </w:rPr>
            </w:pPr>
            <w:r w:rsidRPr="0052768A">
              <w:rPr>
                <w:rFonts w:ascii="GHEA Grapalat" w:hAnsi="GHEA Grapalat"/>
                <w:sz w:val="24"/>
                <w:szCs w:val="24"/>
                <w:lang w:val="hy-AM"/>
              </w:rPr>
              <w:t>ԳՍ//31279-2021</w:t>
            </w:r>
          </w:p>
        </w:tc>
      </w:tr>
      <w:tr w:rsidR="0052768A" w:rsidRPr="0052768A" w:rsidTr="00D83B73">
        <w:trPr>
          <w:trHeight w:val="1430"/>
        </w:trPr>
        <w:tc>
          <w:tcPr>
            <w:tcW w:w="8185" w:type="dxa"/>
            <w:shd w:val="clear" w:color="auto" w:fill="FFFFFF" w:themeFill="background1"/>
          </w:tcPr>
          <w:p w:rsidR="00D6457E" w:rsidRPr="0052768A" w:rsidRDefault="00C014E1" w:rsidP="00EF6F08">
            <w:pPr>
              <w:pStyle w:val="NormalWeb"/>
              <w:shd w:val="clear" w:color="auto" w:fill="FFFFFF"/>
              <w:spacing w:before="0" w:beforeAutospacing="0" w:after="0" w:afterAutospacing="0" w:line="360" w:lineRule="auto"/>
              <w:ind w:firstLine="157"/>
              <w:jc w:val="both"/>
              <w:rPr>
                <w:rFonts w:ascii="GHEA Grapalat" w:hAnsi="GHEA Grapalat" w:cs="Sylfaen"/>
                <w:shd w:val="clear" w:color="auto" w:fill="FFFFFF"/>
                <w:lang w:val="en-US"/>
              </w:rPr>
            </w:pPr>
            <w:r w:rsidRPr="0052768A">
              <w:rPr>
                <w:rFonts w:ascii="GHEA Grapalat" w:hAnsi="GHEA Grapalat" w:cs="Sylfaen"/>
                <w:shd w:val="clear" w:color="auto" w:fill="FFFFFF"/>
                <w:lang w:val="en-US"/>
              </w:rPr>
              <w:t>1.</w:t>
            </w:r>
            <w:r w:rsidRPr="0052768A">
              <w:rPr>
                <w:rFonts w:ascii="GHEA Grapalat" w:hAnsi="GHEA Grapalat" w:cs="Sylfaen"/>
                <w:shd w:val="clear" w:color="auto" w:fill="FFFFFF"/>
                <w:lang w:val="en-US"/>
              </w:rPr>
              <w:tab/>
              <w:t>Նախագծի 12-րդ կետի 1-ին ենթակետով սահմանված զինվորական ծառայության պարտականությունների կատարման ժամանակ մարտական հերթապահության կամ գործողությունների իրականացման արդյունքում հաշմանդամ դարձած քաղաքացիների համար լիզինգի տրամադրման արտոնությունները առաջարկում ենք տարածել նաև զոհված քաղաքացիների ընտանիքի անդամների վրա /կին /ամուսին/, ծնողներ, զավակներ/։</w:t>
            </w:r>
          </w:p>
        </w:tc>
        <w:tc>
          <w:tcPr>
            <w:tcW w:w="6855" w:type="dxa"/>
            <w:gridSpan w:val="2"/>
            <w:shd w:val="clear" w:color="auto" w:fill="FFFFFF" w:themeFill="background1"/>
          </w:tcPr>
          <w:p w:rsidR="00154430" w:rsidRPr="0052768A" w:rsidRDefault="001961B3" w:rsidP="00C014E1">
            <w:pPr>
              <w:spacing w:line="360" w:lineRule="auto"/>
              <w:jc w:val="center"/>
              <w:rPr>
                <w:rFonts w:ascii="GHEA Grapalat" w:hAnsi="GHEA Grapalat"/>
                <w:b/>
                <w:sz w:val="24"/>
                <w:szCs w:val="24"/>
                <w:lang w:val="hy-AM"/>
              </w:rPr>
            </w:pPr>
            <w:r w:rsidRPr="0052768A">
              <w:rPr>
                <w:rFonts w:ascii="GHEA Grapalat" w:hAnsi="GHEA Grapalat"/>
                <w:b/>
                <w:sz w:val="24"/>
                <w:szCs w:val="24"/>
                <w:lang w:val="hy-AM"/>
              </w:rPr>
              <w:t>Չի ը</w:t>
            </w:r>
            <w:r w:rsidR="00C014E1" w:rsidRPr="0052768A">
              <w:rPr>
                <w:rFonts w:ascii="GHEA Grapalat" w:hAnsi="GHEA Grapalat"/>
                <w:b/>
                <w:sz w:val="24"/>
                <w:szCs w:val="24"/>
                <w:lang w:val="hy-AM"/>
              </w:rPr>
              <w:t xml:space="preserve">նդունվել </w:t>
            </w:r>
          </w:p>
          <w:p w:rsidR="001961B3" w:rsidRPr="0052768A" w:rsidRDefault="001961B3" w:rsidP="0052768A">
            <w:pPr>
              <w:spacing w:line="360" w:lineRule="auto"/>
              <w:ind w:firstLine="178"/>
              <w:jc w:val="both"/>
              <w:rPr>
                <w:rFonts w:ascii="GHEA Grapalat" w:hAnsi="GHEA Grapalat"/>
                <w:b/>
                <w:sz w:val="24"/>
                <w:szCs w:val="24"/>
                <w:lang w:val="hy-AM"/>
              </w:rPr>
            </w:pPr>
            <w:r w:rsidRPr="0052768A">
              <w:rPr>
                <w:rFonts w:ascii="GHEA Grapalat" w:eastAsia="Times New Roman" w:hAnsi="GHEA Grapalat" w:cs="Sylfaen"/>
                <w:sz w:val="24"/>
                <w:szCs w:val="24"/>
                <w:shd w:val="clear" w:color="auto" w:fill="FFFFFF"/>
                <w:lang w:val="hy-AM" w:eastAsia="ru-RU"/>
              </w:rPr>
              <w:t>Զինվորական ծառայության պարտականությունների կատարման ժամանակ մարտական հերթապահության կամ գործողությունների իրականացման արդյունքում հաշմանդամ դարձած քաղաքացիների համար լիզինգի տրամադրման արտոնությունները սահմանված են նրանց աշխատանքով ապահովելու նկատառումներից ելնելով, իսկ</w:t>
            </w:r>
            <w:r w:rsidRPr="0052768A">
              <w:rPr>
                <w:rFonts w:ascii="GHEA Grapalat" w:hAnsi="GHEA Grapalat" w:cs="Sylfaen"/>
                <w:shd w:val="clear" w:color="auto" w:fill="FFFFFF"/>
                <w:lang w:val="hy-AM"/>
              </w:rPr>
              <w:t xml:space="preserve"> </w:t>
            </w:r>
            <w:r w:rsidRPr="0052768A">
              <w:rPr>
                <w:rFonts w:ascii="GHEA Grapalat" w:eastAsia="Times New Roman" w:hAnsi="GHEA Grapalat" w:cs="Sylfaen"/>
                <w:sz w:val="24"/>
                <w:szCs w:val="24"/>
                <w:shd w:val="clear" w:color="auto" w:fill="FFFFFF"/>
                <w:lang w:val="hy-AM" w:eastAsia="ru-RU"/>
              </w:rPr>
              <w:lastRenderedPageBreak/>
              <w:t xml:space="preserve">զոհված քաղաքացիների ընտանիքի անդամներին կարող է տրամադրվել սոցիալական կամ այլ աջակցություն՝ հաշվի առնելով, որ </w:t>
            </w:r>
            <w:r w:rsidRPr="0052768A">
              <w:rPr>
                <w:rFonts w:ascii="GHEA Grapalat" w:hAnsi="GHEA Grapalat" w:cs="Sylfaen"/>
                <w:sz w:val="24"/>
                <w:szCs w:val="24"/>
                <w:lang w:val="hy-AM"/>
              </w:rPr>
              <w:t>ծրագրի հիմնական նպատակը գյուղատնտեսական հողատեսքերի արդյունավետ օգտագործման և ապրանքային արտադրության կազմակերպման համար նպաստավոր պայմանների ստեղծումն է։</w:t>
            </w:r>
            <w:r w:rsidRPr="0052768A">
              <w:rPr>
                <w:rFonts w:ascii="GHEA Grapalat" w:eastAsia="Times New Roman" w:hAnsi="GHEA Grapalat" w:cs="Sylfaen"/>
                <w:sz w:val="24"/>
                <w:szCs w:val="24"/>
                <w:shd w:val="clear" w:color="auto" w:fill="FFFFFF"/>
                <w:lang w:val="hy-AM" w:eastAsia="ru-RU"/>
              </w:rPr>
              <w:t xml:space="preserve"> </w:t>
            </w:r>
          </w:p>
        </w:tc>
      </w:tr>
      <w:tr w:rsidR="0052768A" w:rsidRPr="00F57F24" w:rsidTr="00C014E1">
        <w:trPr>
          <w:trHeight w:val="841"/>
        </w:trPr>
        <w:tc>
          <w:tcPr>
            <w:tcW w:w="8185" w:type="dxa"/>
            <w:shd w:val="clear" w:color="auto" w:fill="FFFFFF" w:themeFill="background1"/>
          </w:tcPr>
          <w:p w:rsidR="00C014E1" w:rsidRPr="0052768A" w:rsidRDefault="00C014E1" w:rsidP="00EF6F08">
            <w:pPr>
              <w:pStyle w:val="NormalWeb"/>
              <w:shd w:val="clear" w:color="auto" w:fill="FFFFFF"/>
              <w:spacing w:before="0" w:beforeAutospacing="0" w:after="0" w:afterAutospacing="0" w:line="360" w:lineRule="auto"/>
              <w:ind w:firstLine="157"/>
              <w:jc w:val="both"/>
              <w:rPr>
                <w:rFonts w:ascii="GHEA Grapalat" w:hAnsi="GHEA Grapalat" w:cs="Sylfaen"/>
                <w:shd w:val="clear" w:color="auto" w:fill="FFFFFF"/>
                <w:lang w:val="hy-AM"/>
              </w:rPr>
            </w:pPr>
            <w:r w:rsidRPr="0052768A">
              <w:rPr>
                <w:rFonts w:ascii="GHEA Grapalat" w:hAnsi="GHEA Grapalat" w:cs="Sylfaen"/>
                <w:shd w:val="clear" w:color="auto" w:fill="FFFFFF"/>
                <w:lang w:val="hy-AM"/>
              </w:rPr>
              <w:lastRenderedPageBreak/>
              <w:t>2.</w:t>
            </w:r>
            <w:r w:rsidRPr="0052768A">
              <w:rPr>
                <w:rFonts w:ascii="GHEA Grapalat" w:hAnsi="GHEA Grapalat" w:cs="Sylfaen"/>
                <w:shd w:val="clear" w:color="auto" w:fill="FFFFFF"/>
                <w:lang w:val="hy-AM"/>
              </w:rPr>
              <w:tab/>
              <w:t>Հաշվի առնելով, որ լիզինգի ծրագրի հիմնական շահառուները մարզերի բնակիչներն են՝ նախագծի 12-րդ կետի 2-րդ ենթակետով պահանջվող կանխավճարի չափը առաջարկում ենք 20 տոկոսից իջեցնել 10 տոկոսի կամ տարանջատել Երևանի բնակչության և մարզերի բնակչության համար սահմանված կանխավճարների չափերը։</w:t>
            </w:r>
          </w:p>
        </w:tc>
        <w:tc>
          <w:tcPr>
            <w:tcW w:w="6855" w:type="dxa"/>
            <w:gridSpan w:val="2"/>
            <w:shd w:val="clear" w:color="auto" w:fill="FFFFFF" w:themeFill="background1"/>
          </w:tcPr>
          <w:p w:rsidR="00C014E1" w:rsidRPr="0052768A" w:rsidRDefault="00C014E1" w:rsidP="00C014E1">
            <w:pPr>
              <w:spacing w:line="360" w:lineRule="auto"/>
              <w:jc w:val="center"/>
              <w:rPr>
                <w:rFonts w:ascii="GHEA Grapalat" w:hAnsi="GHEA Grapalat"/>
                <w:b/>
                <w:sz w:val="24"/>
                <w:szCs w:val="24"/>
                <w:lang w:val="hy-AM"/>
              </w:rPr>
            </w:pPr>
            <w:r w:rsidRPr="0052768A">
              <w:rPr>
                <w:rFonts w:ascii="GHEA Grapalat" w:hAnsi="GHEA Grapalat"/>
                <w:b/>
                <w:sz w:val="24"/>
                <w:szCs w:val="24"/>
                <w:lang w:val="hy-AM"/>
              </w:rPr>
              <w:t xml:space="preserve">Չի </w:t>
            </w:r>
            <w:r w:rsidR="00F20C29" w:rsidRPr="0052768A">
              <w:rPr>
                <w:rFonts w:ascii="GHEA Grapalat" w:hAnsi="GHEA Grapalat"/>
                <w:b/>
                <w:sz w:val="24"/>
                <w:szCs w:val="24"/>
                <w:lang w:val="hy-AM"/>
              </w:rPr>
              <w:t>ը</w:t>
            </w:r>
            <w:r w:rsidRPr="0052768A">
              <w:rPr>
                <w:rFonts w:ascii="GHEA Grapalat" w:hAnsi="GHEA Grapalat"/>
                <w:b/>
                <w:sz w:val="24"/>
                <w:szCs w:val="24"/>
                <w:lang w:val="hy-AM"/>
              </w:rPr>
              <w:t>նդունվել</w:t>
            </w:r>
          </w:p>
          <w:p w:rsidR="00F20C29" w:rsidRPr="0052768A" w:rsidRDefault="00202553" w:rsidP="0052768A">
            <w:pPr>
              <w:spacing w:line="360" w:lineRule="auto"/>
              <w:ind w:firstLine="178"/>
              <w:jc w:val="both"/>
              <w:rPr>
                <w:rFonts w:ascii="GHEA Grapalat" w:hAnsi="GHEA Grapalat"/>
                <w:b/>
                <w:sz w:val="24"/>
                <w:szCs w:val="24"/>
                <w:lang w:val="hy-AM"/>
              </w:rPr>
            </w:pPr>
            <w:r w:rsidRPr="0052768A">
              <w:rPr>
                <w:rFonts w:ascii="GHEA Grapalat" w:hAnsi="GHEA Grapalat"/>
                <w:sz w:val="24"/>
                <w:szCs w:val="24"/>
                <w:lang w:val="hy-AM"/>
              </w:rPr>
              <w:t>Ծրագրի գործողության ընթացքում</w:t>
            </w:r>
            <w:r w:rsidR="00C014E1" w:rsidRPr="0052768A">
              <w:rPr>
                <w:rFonts w:ascii="GHEA Grapalat" w:hAnsi="GHEA Grapalat"/>
                <w:sz w:val="24"/>
                <w:szCs w:val="24"/>
                <w:lang w:val="hy-AM"/>
              </w:rPr>
              <w:t xml:space="preserve"> </w:t>
            </w:r>
            <w:r w:rsidR="00F20C29" w:rsidRPr="0052768A">
              <w:rPr>
                <w:rFonts w:ascii="GHEA Grapalat" w:hAnsi="GHEA Grapalat"/>
                <w:sz w:val="24"/>
                <w:szCs w:val="24"/>
                <w:lang w:val="hy-AM"/>
              </w:rPr>
              <w:t>ֆինանսական կառույցների հետ բազմիցս քննարկվել է կանխավճարի չափի հետ կապված հարցը</w:t>
            </w:r>
            <w:r w:rsidR="00CE3E92" w:rsidRPr="0052768A">
              <w:rPr>
                <w:rFonts w:ascii="GHEA Grapalat" w:hAnsi="GHEA Grapalat"/>
                <w:sz w:val="24"/>
                <w:szCs w:val="24"/>
                <w:lang w:val="hy-AM"/>
              </w:rPr>
              <w:t>։ Հաշվի առնելով, որ լիզինգը</w:t>
            </w:r>
            <w:r w:rsidR="00F20C29" w:rsidRPr="0052768A">
              <w:rPr>
                <w:rFonts w:ascii="GHEA Grapalat" w:hAnsi="GHEA Grapalat"/>
                <w:sz w:val="24"/>
                <w:szCs w:val="24"/>
                <w:lang w:val="hy-AM"/>
              </w:rPr>
              <w:t xml:space="preserve"> </w:t>
            </w:r>
            <w:r w:rsidR="00CE3E92" w:rsidRPr="0052768A">
              <w:rPr>
                <w:rFonts w:ascii="GHEA Grapalat" w:hAnsi="GHEA Grapalat"/>
                <w:sz w:val="24"/>
                <w:szCs w:val="24"/>
                <w:lang w:val="hy-AM"/>
              </w:rPr>
              <w:t xml:space="preserve">տրամադրվում է առանց </w:t>
            </w:r>
            <w:r w:rsidR="001961B3" w:rsidRPr="0052768A">
              <w:rPr>
                <w:rFonts w:ascii="GHEA Grapalat" w:hAnsi="GHEA Grapalat"/>
                <w:sz w:val="24"/>
                <w:szCs w:val="24"/>
                <w:lang w:val="hy-AM"/>
              </w:rPr>
              <w:t xml:space="preserve">այլ </w:t>
            </w:r>
            <w:r w:rsidR="00CE3E92" w:rsidRPr="0052768A">
              <w:rPr>
                <w:rFonts w:ascii="GHEA Grapalat" w:hAnsi="GHEA Grapalat"/>
                <w:sz w:val="24"/>
                <w:szCs w:val="24"/>
                <w:lang w:val="hy-AM"/>
              </w:rPr>
              <w:t xml:space="preserve">գույքի գրավադրման՝ </w:t>
            </w:r>
            <w:r w:rsidRPr="0052768A">
              <w:rPr>
                <w:rFonts w:ascii="GHEA Grapalat" w:hAnsi="GHEA Grapalat"/>
                <w:sz w:val="24"/>
                <w:szCs w:val="24"/>
                <w:lang w:val="hy-AM"/>
              </w:rPr>
              <w:t>նախագծով</w:t>
            </w:r>
            <w:r w:rsidR="00F20C29" w:rsidRPr="0052768A">
              <w:rPr>
                <w:rFonts w:ascii="GHEA Grapalat" w:hAnsi="GHEA Grapalat"/>
                <w:sz w:val="24"/>
                <w:szCs w:val="24"/>
                <w:lang w:val="hy-AM"/>
              </w:rPr>
              <w:t xml:space="preserve"> առաջարկվող </w:t>
            </w:r>
            <w:r w:rsidR="00A03563" w:rsidRPr="0052768A">
              <w:rPr>
                <w:rFonts w:ascii="GHEA Grapalat" w:hAnsi="GHEA Grapalat"/>
                <w:sz w:val="24"/>
                <w:szCs w:val="24"/>
                <w:lang w:val="hy-AM"/>
              </w:rPr>
              <w:t xml:space="preserve">կանխավճարի </w:t>
            </w:r>
            <w:r w:rsidR="00F20C29" w:rsidRPr="0052768A">
              <w:rPr>
                <w:rFonts w:ascii="GHEA Grapalat" w:hAnsi="GHEA Grapalat"/>
                <w:sz w:val="24"/>
                <w:szCs w:val="24"/>
                <w:lang w:val="hy-AM"/>
              </w:rPr>
              <w:t>չափը</w:t>
            </w:r>
            <w:r w:rsidR="00A03563" w:rsidRPr="0052768A">
              <w:rPr>
                <w:rFonts w:ascii="GHEA Grapalat" w:hAnsi="GHEA Grapalat"/>
                <w:sz w:val="24"/>
                <w:szCs w:val="24"/>
                <w:lang w:val="hy-AM"/>
              </w:rPr>
              <w:t xml:space="preserve"> </w:t>
            </w:r>
            <w:r w:rsidR="00F20C29" w:rsidRPr="0052768A">
              <w:rPr>
                <w:rFonts w:ascii="GHEA Grapalat" w:hAnsi="GHEA Grapalat"/>
                <w:sz w:val="24"/>
                <w:szCs w:val="24"/>
                <w:lang w:val="hy-AM"/>
              </w:rPr>
              <w:t xml:space="preserve">մեղմում է </w:t>
            </w:r>
            <w:r w:rsidRPr="0052768A">
              <w:rPr>
                <w:rFonts w:ascii="GHEA Grapalat" w:hAnsi="GHEA Grapalat"/>
                <w:sz w:val="24"/>
                <w:szCs w:val="24"/>
                <w:lang w:val="hy-AM"/>
              </w:rPr>
              <w:t xml:space="preserve">ծրագրի արդյունավետ իրականացման և </w:t>
            </w:r>
            <w:r w:rsidR="00F20C29" w:rsidRPr="0052768A">
              <w:rPr>
                <w:rFonts w:ascii="GHEA Grapalat" w:hAnsi="GHEA Grapalat"/>
                <w:sz w:val="24"/>
                <w:szCs w:val="24"/>
                <w:lang w:val="hy-AM"/>
              </w:rPr>
              <w:t>ֆինանսական կառույցի ռիսկերը։</w:t>
            </w:r>
          </w:p>
        </w:tc>
      </w:tr>
      <w:tr w:rsidR="0052768A" w:rsidRPr="0052768A" w:rsidTr="00C014E1">
        <w:trPr>
          <w:trHeight w:val="481"/>
        </w:trPr>
        <w:tc>
          <w:tcPr>
            <w:tcW w:w="11280" w:type="dxa"/>
            <w:gridSpan w:val="2"/>
            <w:vMerge w:val="restart"/>
            <w:shd w:val="clear" w:color="auto" w:fill="BFBFBF" w:themeFill="background1" w:themeFillShade="BF"/>
            <w:vAlign w:val="center"/>
          </w:tcPr>
          <w:p w:rsidR="00300C9D" w:rsidRPr="0052768A" w:rsidRDefault="00300C9D" w:rsidP="00C014E1">
            <w:pPr>
              <w:spacing w:line="360" w:lineRule="auto"/>
              <w:jc w:val="center"/>
              <w:rPr>
                <w:rFonts w:ascii="GHEA Grapalat" w:hAnsi="GHEA Grapalat"/>
                <w:sz w:val="24"/>
                <w:szCs w:val="24"/>
                <w:lang w:val="hy-AM"/>
              </w:rPr>
            </w:pPr>
            <w:r w:rsidRPr="0052768A">
              <w:rPr>
                <w:rFonts w:ascii="GHEA Grapalat" w:hAnsi="GHEA Grapalat"/>
                <w:sz w:val="24"/>
                <w:szCs w:val="24"/>
                <w:lang w:val="hy-AM"/>
              </w:rPr>
              <w:t xml:space="preserve">ՀՀ </w:t>
            </w:r>
            <w:r w:rsidR="008E06F7" w:rsidRPr="0052768A">
              <w:rPr>
                <w:rFonts w:ascii="GHEA Grapalat" w:hAnsi="GHEA Grapalat"/>
                <w:sz w:val="24"/>
                <w:szCs w:val="24"/>
                <w:lang w:val="hy-AM"/>
              </w:rPr>
              <w:t>ֆինանսներ</w:t>
            </w:r>
            <w:r w:rsidRPr="0052768A">
              <w:rPr>
                <w:rFonts w:ascii="GHEA Grapalat" w:hAnsi="GHEA Grapalat"/>
                <w:sz w:val="24"/>
                <w:szCs w:val="24"/>
                <w:lang w:val="hy-AM"/>
              </w:rPr>
              <w:t>ի նախարարություն</w:t>
            </w:r>
          </w:p>
        </w:tc>
        <w:tc>
          <w:tcPr>
            <w:tcW w:w="3760" w:type="dxa"/>
            <w:shd w:val="clear" w:color="auto" w:fill="BFBFBF" w:themeFill="background1" w:themeFillShade="BF"/>
          </w:tcPr>
          <w:p w:rsidR="00300C9D" w:rsidRPr="0052768A" w:rsidRDefault="00357896" w:rsidP="00C014E1">
            <w:pPr>
              <w:tabs>
                <w:tab w:val="left" w:pos="1100"/>
              </w:tabs>
              <w:spacing w:line="360" w:lineRule="auto"/>
              <w:jc w:val="center"/>
              <w:rPr>
                <w:rFonts w:ascii="GHEA Grapalat" w:hAnsi="GHEA Grapalat"/>
                <w:sz w:val="24"/>
                <w:szCs w:val="24"/>
                <w:lang w:val="hy-AM"/>
              </w:rPr>
            </w:pPr>
            <w:r w:rsidRPr="0052768A">
              <w:rPr>
                <w:rFonts w:ascii="GHEA Grapalat" w:hAnsi="GHEA Grapalat"/>
                <w:sz w:val="24"/>
                <w:szCs w:val="24"/>
              </w:rPr>
              <w:t>10</w:t>
            </w:r>
            <w:r w:rsidR="00300C9D" w:rsidRPr="0052768A">
              <w:rPr>
                <w:rFonts w:ascii="GHEA Grapalat" w:hAnsi="GHEA Grapalat"/>
                <w:sz w:val="24"/>
                <w:szCs w:val="24"/>
              </w:rPr>
              <w:t>.</w:t>
            </w:r>
            <w:r w:rsidR="00C014E1" w:rsidRPr="0052768A">
              <w:rPr>
                <w:rFonts w:ascii="GHEA Grapalat" w:hAnsi="GHEA Grapalat"/>
                <w:sz w:val="24"/>
                <w:szCs w:val="24"/>
                <w:lang w:val="hy-AM"/>
              </w:rPr>
              <w:t>12</w:t>
            </w:r>
            <w:r w:rsidR="00300C9D" w:rsidRPr="0052768A">
              <w:rPr>
                <w:rFonts w:ascii="GHEA Grapalat" w:hAnsi="GHEA Grapalat"/>
                <w:sz w:val="24"/>
                <w:szCs w:val="24"/>
              </w:rPr>
              <w:t>.2021</w:t>
            </w:r>
            <w:r w:rsidR="00300C9D" w:rsidRPr="0052768A">
              <w:rPr>
                <w:rFonts w:ascii="GHEA Grapalat" w:hAnsi="GHEA Grapalat"/>
                <w:sz w:val="24"/>
                <w:szCs w:val="24"/>
                <w:lang w:val="hy-AM"/>
              </w:rPr>
              <w:t>թ.</w:t>
            </w:r>
          </w:p>
        </w:tc>
      </w:tr>
      <w:tr w:rsidR="0052768A" w:rsidRPr="0052768A" w:rsidTr="00300C9D">
        <w:trPr>
          <w:trHeight w:val="530"/>
        </w:trPr>
        <w:tc>
          <w:tcPr>
            <w:tcW w:w="11280" w:type="dxa"/>
            <w:gridSpan w:val="2"/>
            <w:vMerge/>
            <w:shd w:val="clear" w:color="auto" w:fill="BFBFBF" w:themeFill="background1" w:themeFillShade="BF"/>
          </w:tcPr>
          <w:p w:rsidR="00300C9D" w:rsidRPr="0052768A" w:rsidRDefault="00300C9D" w:rsidP="00B941C3">
            <w:pPr>
              <w:spacing w:line="360" w:lineRule="auto"/>
              <w:jc w:val="center"/>
              <w:rPr>
                <w:rFonts w:ascii="GHEA Grapalat" w:hAnsi="GHEA Grapalat"/>
                <w:sz w:val="24"/>
                <w:szCs w:val="24"/>
                <w:lang w:val="hy-AM"/>
              </w:rPr>
            </w:pPr>
          </w:p>
        </w:tc>
        <w:tc>
          <w:tcPr>
            <w:tcW w:w="3760" w:type="dxa"/>
            <w:shd w:val="clear" w:color="auto" w:fill="BFBFBF" w:themeFill="background1" w:themeFillShade="BF"/>
          </w:tcPr>
          <w:p w:rsidR="00300C9D" w:rsidRPr="0052768A" w:rsidRDefault="00357896" w:rsidP="00B941C3">
            <w:pPr>
              <w:tabs>
                <w:tab w:val="left" w:pos="1100"/>
              </w:tabs>
              <w:spacing w:line="360" w:lineRule="auto"/>
              <w:jc w:val="center"/>
              <w:rPr>
                <w:rFonts w:ascii="GHEA Grapalat" w:hAnsi="GHEA Grapalat"/>
                <w:sz w:val="24"/>
                <w:szCs w:val="24"/>
                <w:lang w:val="hy-AM"/>
              </w:rPr>
            </w:pPr>
            <w:r w:rsidRPr="0052768A">
              <w:rPr>
                <w:rFonts w:ascii="GHEA Grapalat" w:hAnsi="GHEA Grapalat"/>
                <w:sz w:val="24"/>
                <w:szCs w:val="24"/>
                <w:lang w:val="hy-AM"/>
              </w:rPr>
              <w:t>01/8-1/20177-2021</w:t>
            </w:r>
          </w:p>
        </w:tc>
      </w:tr>
      <w:tr w:rsidR="0052768A" w:rsidRPr="00F57F24" w:rsidTr="00F57F24">
        <w:trPr>
          <w:trHeight w:val="983"/>
        </w:trPr>
        <w:tc>
          <w:tcPr>
            <w:tcW w:w="8185" w:type="dxa"/>
          </w:tcPr>
          <w:p w:rsidR="00357896" w:rsidRPr="0052768A" w:rsidRDefault="00357896" w:rsidP="00357896">
            <w:pPr>
              <w:spacing w:line="360" w:lineRule="auto"/>
              <w:ind w:firstLine="157"/>
              <w:jc w:val="both"/>
              <w:rPr>
                <w:rFonts w:ascii="GHEA Grapalat" w:hAnsi="GHEA Grapalat"/>
                <w:sz w:val="24"/>
                <w:szCs w:val="24"/>
                <w:lang w:val="hy-AM"/>
              </w:rPr>
            </w:pPr>
            <w:r w:rsidRPr="0052768A">
              <w:rPr>
                <w:rFonts w:ascii="GHEA Grapalat" w:hAnsi="GHEA Grapalat"/>
                <w:sz w:val="24"/>
                <w:szCs w:val="24"/>
                <w:lang w:val="hy-AM"/>
              </w:rPr>
              <w:t>Հայաստանի Հանրապետությունում գյուղատնտեսական տեխնիկայի լիզինգի պետական աջակցության ծրագիրը հաստատելու մասին ՀՀ կառավարության որոշման նախագիծ (այսուհետ՝ Նախագիծ 2).</w:t>
            </w:r>
          </w:p>
          <w:p w:rsidR="00357896" w:rsidRPr="0052768A" w:rsidRDefault="00357896" w:rsidP="00357896">
            <w:pPr>
              <w:spacing w:line="360" w:lineRule="auto"/>
              <w:ind w:firstLine="157"/>
              <w:jc w:val="both"/>
              <w:rPr>
                <w:rFonts w:ascii="GHEA Grapalat" w:hAnsi="GHEA Grapalat"/>
                <w:sz w:val="24"/>
                <w:szCs w:val="24"/>
                <w:lang w:val="hy-AM"/>
              </w:rPr>
            </w:pPr>
            <w:r w:rsidRPr="0052768A">
              <w:rPr>
                <w:rFonts w:ascii="GHEA Grapalat" w:hAnsi="GHEA Grapalat"/>
                <w:sz w:val="24"/>
                <w:szCs w:val="24"/>
                <w:lang w:val="hy-AM"/>
              </w:rPr>
              <w:lastRenderedPageBreak/>
              <w:t>Նախագիծ 2-ի հիմնավորման համաձայն՝ Նախագիծ 2-ը մշակվել է` հաշվի առնելով ՀՀ կառավարության 2021 թվականի հոկտեմբերի 21-ի N 1728-Ն որոշումը (2022թ. հունվարի 1-ից ՀՀ կառավարության կողմից ընդունված բոլոր արձանագրային որոշումները անվավեր ճանաչելու վերաբերյալ), ինչպես նաև մեքենատրակտորային պարկի նորացման խնդիրը և Հայաստանի Հանրապետությունում գյուղատնտեսական տեխնիկայի լիզինգի պետական աջակցության ծրագրի շարունակականության ապահովման անհրաժեշտությունը: Նախագիծ 2-ով հաստատվող Ծրագրի հիմնական նպատակը գյուղատնտեսական հողատեսքերի արդյունավետ օգտագործման և ապրանքային արտադրության կազմակերպման նպաստավոր պայմանների ստեղծման համար գյուղատնտեսությունում տնտեսավարողներին մատչելի պայմաններով, մասնավորապես լիզինգային մեխանիզմների կիրառմամբ գյուղատնտեսական տեխնիկայի մատակարարումն է: Այդ կապակցությամբ հայտնում ենք հետևյալը.</w:t>
            </w:r>
          </w:p>
          <w:p w:rsidR="00357896" w:rsidRPr="0052768A" w:rsidRDefault="00357896" w:rsidP="00357896">
            <w:pPr>
              <w:spacing w:line="360" w:lineRule="auto"/>
              <w:ind w:firstLine="157"/>
              <w:jc w:val="both"/>
              <w:rPr>
                <w:rFonts w:ascii="GHEA Grapalat" w:hAnsi="GHEA Grapalat"/>
                <w:sz w:val="24"/>
                <w:szCs w:val="24"/>
                <w:lang w:val="hy-AM"/>
              </w:rPr>
            </w:pPr>
            <w:r w:rsidRPr="0052768A">
              <w:rPr>
                <w:rFonts w:ascii="GHEA Grapalat" w:hAnsi="GHEA Grapalat"/>
                <w:sz w:val="24"/>
                <w:szCs w:val="24"/>
                <w:lang w:val="hy-AM"/>
              </w:rPr>
              <w:t xml:space="preserve">1) Ծրագրի 12-րդ կետի 1-ին ենթակետի համաձայն՝ լիզինգը տրամադրվում է տարեկան մինչև 14 տոկոս տոկոսադրույքով, որի մինչև 12 տոկոսային կետը սուբսիդավորում է այնպիսի չափաքանակով, որ լիզինգառուի կողմից վճարվող լիզինգի տարեկան տոկոսադրույքը կազմի 2 տոկոս, իսկ ՀՀ կառավարության 18.12.2014թ. N 1444-Ն </w:t>
            </w:r>
            <w:r w:rsidRPr="0052768A">
              <w:rPr>
                <w:rFonts w:ascii="GHEA Grapalat" w:hAnsi="GHEA Grapalat"/>
                <w:sz w:val="24"/>
                <w:szCs w:val="24"/>
                <w:lang w:val="hy-AM"/>
              </w:rPr>
              <w:lastRenderedPageBreak/>
              <w:t xml:space="preserve">որոշմամբ հաստատված սոցիալական աջակցություն ստացող սահմանամերձ բնակավայրերի տարածքներում գործունեություն իրականացնող տնտեսավարողների և զինվորական ծառայության պարտականությունների կատարման ժամանակ մարտական հերթապահության կամ գործողությունների իրականացման արդյունքում հաշմանդամ դարձած քաղաքացիների համար լիզինգի տոկոսադրույքի սուբսիդավորումը կիրականացվի այնպիսի չափաքանակով, որ լիզինգառուի կողմից վճարման ենթակա լիզինգի տարեկան տոկոսադրույքը կազմի 0 տոկոս։ Նշվածի առնչությամբ հարկ է նշել, որ Նախագիծ 2-ով չի հիմնավորվել լիզինգի տոկոսադրույքի սուբսիդավորման չափի որոշման մեխանիզմները, մասնավորապես սուբսիդավորման չափի որոշման համար արդյոք գնահատվել և հաշվի է առնվել գյուղատնտեսությունում տնտեսավարողների վճարունակ պահանջարկը: Հարկ է նշել նաև, որ համաձայն ՀՀ կառավարության 24.12.2003թ. Հայաստանի Հանրապետության պետական բյուջեից իրավաբանական անձանց սուբսիդիաների և դրամաշնորհների հատկացման կարգը հաստատելու մասին N 1937-Ն որոշման հավելվածի 6-րդ կետի՝ սուբսիդիայի հաշվարկման հիմքում դրված ծախսերի կազմը, այդ ծախսերի, այդ թվում` նվազագույն շահավետ գնի հաշվարկման նորմատիվներն ըստ </w:t>
            </w:r>
            <w:r w:rsidRPr="0052768A">
              <w:rPr>
                <w:rFonts w:ascii="GHEA Grapalat" w:hAnsi="GHEA Grapalat"/>
                <w:sz w:val="24"/>
                <w:szCs w:val="24"/>
                <w:lang w:val="hy-AM"/>
              </w:rPr>
              <w:lastRenderedPageBreak/>
              <w:t xml:space="preserve">առանձին ոլորտների և գործունեության տեսակների սահմանում են համապատասխան ոլորտում պետական քաղաքականություն իրականացնող պետական կառավարման մարմինները` համաձայնեցնելով Հայաստանի Հանրապետության ֆինանսների նախարարության հետ, եթե ավելի բարձր իրավական ուժ ունեցող իրավական ակտով դրանք սահմանված չեն: </w:t>
            </w:r>
          </w:p>
          <w:p w:rsidR="00357896" w:rsidRPr="0052768A" w:rsidRDefault="00357896" w:rsidP="00357896">
            <w:pPr>
              <w:spacing w:line="360" w:lineRule="auto"/>
              <w:ind w:firstLine="157"/>
              <w:jc w:val="both"/>
              <w:rPr>
                <w:rFonts w:ascii="GHEA Grapalat" w:hAnsi="GHEA Grapalat"/>
                <w:sz w:val="24"/>
                <w:szCs w:val="24"/>
                <w:lang w:val="hy-AM"/>
              </w:rPr>
            </w:pPr>
            <w:r w:rsidRPr="0052768A">
              <w:rPr>
                <w:rFonts w:ascii="GHEA Grapalat" w:hAnsi="GHEA Grapalat"/>
                <w:sz w:val="24"/>
                <w:szCs w:val="24"/>
                <w:lang w:val="hy-AM"/>
              </w:rPr>
              <w:t>Ելնելով վերոգրյալից՝ առաջարկում ենք ներկայացնել համապատասխան հաշվարկ-հիմնավորում 12 տոկոս սուբսիդավորման չափի վերաբերյալ՝ ներկայացնելով հաշվարկման մեթոդաբանությունը:</w:t>
            </w:r>
          </w:p>
          <w:p w:rsidR="00300C9D" w:rsidRPr="0052768A" w:rsidRDefault="00357896" w:rsidP="00357896">
            <w:pPr>
              <w:spacing w:line="360" w:lineRule="auto"/>
              <w:ind w:firstLine="157"/>
              <w:jc w:val="both"/>
              <w:rPr>
                <w:rFonts w:ascii="GHEA Grapalat" w:hAnsi="GHEA Grapalat"/>
                <w:sz w:val="24"/>
                <w:szCs w:val="24"/>
                <w:lang w:val="hy-AM"/>
              </w:rPr>
            </w:pPr>
            <w:r w:rsidRPr="0052768A">
              <w:rPr>
                <w:rFonts w:ascii="GHEA Grapalat" w:hAnsi="GHEA Grapalat"/>
                <w:sz w:val="24"/>
                <w:szCs w:val="24"/>
                <w:lang w:val="hy-AM"/>
              </w:rPr>
              <w:t>Բացի այդ, լիզինգի տոկոսադրույքի սուբսիդավորման չափը 12 տոկոս սահմանելը հիմնավորման կարիք ունի նաև այն տեսանկյունից, որ Գրությամբ ներկայացված՝ ՀՀ էկոնոմիկայի նախարարության համակարգմամբ գյուղատնտեսության ոլորտում իրականացվող պետական աջակցության ծրագրերի վերաբերյալ աղյուսակում Ագրոպարենային ոլորտի սարքավորումների լիզինգի պետական աջակցության ծրագրի գծով սուբսիդավորման չափը նախատեսված է 10 տոկոս, իսկ Վարկերի տոկոսադրույքների սուբսիդավորման գծով՝ 9 տոկոս:</w:t>
            </w:r>
          </w:p>
        </w:tc>
        <w:tc>
          <w:tcPr>
            <w:tcW w:w="6855" w:type="dxa"/>
            <w:gridSpan w:val="2"/>
          </w:tcPr>
          <w:p w:rsidR="00300C9D" w:rsidRPr="0052768A" w:rsidRDefault="004065D5" w:rsidP="00B941C3">
            <w:pPr>
              <w:spacing w:line="360" w:lineRule="auto"/>
              <w:jc w:val="center"/>
              <w:rPr>
                <w:rFonts w:ascii="GHEA Grapalat" w:hAnsi="GHEA Grapalat"/>
                <w:b/>
                <w:sz w:val="24"/>
                <w:szCs w:val="24"/>
                <w:lang w:val="hy-AM"/>
              </w:rPr>
            </w:pPr>
            <w:r w:rsidRPr="0052768A">
              <w:rPr>
                <w:rFonts w:ascii="GHEA Grapalat" w:hAnsi="GHEA Grapalat"/>
                <w:b/>
                <w:sz w:val="24"/>
                <w:szCs w:val="24"/>
                <w:lang w:val="hy-AM"/>
              </w:rPr>
              <w:lastRenderedPageBreak/>
              <w:t>Մաս</w:t>
            </w:r>
            <w:r w:rsidR="004176FE">
              <w:rPr>
                <w:rFonts w:ascii="GHEA Grapalat" w:hAnsi="GHEA Grapalat"/>
                <w:b/>
                <w:sz w:val="24"/>
                <w:szCs w:val="24"/>
                <w:lang w:val="hy-AM"/>
              </w:rPr>
              <w:t>ամբ</w:t>
            </w:r>
            <w:r w:rsidRPr="0052768A">
              <w:rPr>
                <w:rFonts w:ascii="GHEA Grapalat" w:hAnsi="GHEA Grapalat"/>
                <w:b/>
                <w:sz w:val="24"/>
                <w:szCs w:val="24"/>
                <w:lang w:val="hy-AM"/>
              </w:rPr>
              <w:t xml:space="preserve"> է ընդունվել</w:t>
            </w:r>
          </w:p>
          <w:p w:rsidR="004065D5" w:rsidRPr="0052768A" w:rsidRDefault="004065D5" w:rsidP="0052768A">
            <w:pPr>
              <w:spacing w:line="360" w:lineRule="auto"/>
              <w:ind w:firstLine="178"/>
              <w:jc w:val="both"/>
              <w:rPr>
                <w:rFonts w:ascii="GHEA Grapalat" w:hAnsi="GHEA Grapalat"/>
                <w:sz w:val="24"/>
                <w:szCs w:val="24"/>
                <w:lang w:val="hy-AM"/>
              </w:rPr>
            </w:pPr>
            <w:r w:rsidRPr="0052768A">
              <w:rPr>
                <w:rFonts w:ascii="GHEA Grapalat" w:hAnsi="GHEA Grapalat"/>
                <w:sz w:val="24"/>
                <w:szCs w:val="24"/>
                <w:lang w:val="hy-AM"/>
              </w:rPr>
              <w:t xml:space="preserve">Նախագծի շրջանակում լիզինգի տոկոսադրույքի սուբսիդավորման չափը ՀՀ կառավարության 2017 </w:t>
            </w:r>
            <w:r w:rsidRPr="0052768A">
              <w:rPr>
                <w:rFonts w:ascii="GHEA Grapalat" w:hAnsi="GHEA Grapalat"/>
                <w:sz w:val="24"/>
                <w:szCs w:val="24"/>
                <w:lang w:val="hy-AM"/>
              </w:rPr>
              <w:lastRenderedPageBreak/>
              <w:t xml:space="preserve">թվականի մարտի 16-ի N 11-31 արձանագրային որոշմամբ հավանության արժանացած ծրագրի նկատմամբ փոփոխության չի ենթարկվել և սահմանվել է 2 տոկոս (9 տոկոսից՝ 7 տոկոսի սուբսիդավորմամբ), որը սահմանվել է հաշվի առնելով գյուղատնտեսությունում տնտեսավարողների վճարունակ պահանջարկը։ </w:t>
            </w:r>
            <w:r w:rsidR="00536ED2" w:rsidRPr="0052768A">
              <w:rPr>
                <w:rFonts w:ascii="GHEA Grapalat" w:hAnsi="GHEA Grapalat"/>
                <w:sz w:val="24"/>
                <w:szCs w:val="24"/>
                <w:lang w:val="hy-AM"/>
              </w:rPr>
              <w:t>Տ</w:t>
            </w:r>
            <w:r w:rsidR="00820530" w:rsidRPr="0052768A">
              <w:rPr>
                <w:rFonts w:ascii="GHEA Grapalat" w:hAnsi="GHEA Grapalat"/>
                <w:sz w:val="24"/>
                <w:szCs w:val="24"/>
                <w:lang w:val="hy-AM"/>
              </w:rPr>
              <w:t>ն</w:t>
            </w:r>
            <w:r w:rsidR="00536ED2" w:rsidRPr="0052768A">
              <w:rPr>
                <w:rFonts w:ascii="GHEA Grapalat" w:hAnsi="GHEA Grapalat"/>
                <w:sz w:val="24"/>
                <w:szCs w:val="24"/>
                <w:lang w:val="hy-AM"/>
              </w:rPr>
              <w:t>տեսավարողների վճարունակության ցածր մակարդակը հիմնավորվում է այն հանգամանքով, որ գյուղատնտեսական տեխնիկայի հավաքակայանը գործունակ պահելու համար անհրաժեշտ է նորացնել տարեկան 10-12 տոկոսի չափով, մինչդեռ  ծրագրի իրականացման ամբողջ ժամանակահատված</w:t>
            </w:r>
            <w:r w:rsidR="00AD3DBF" w:rsidRPr="0052768A">
              <w:rPr>
                <w:rFonts w:ascii="GHEA Grapalat" w:hAnsi="GHEA Grapalat"/>
                <w:sz w:val="24"/>
                <w:szCs w:val="24"/>
                <w:lang w:val="hy-AM"/>
              </w:rPr>
              <w:t xml:space="preserve">ի </w:t>
            </w:r>
            <w:r w:rsidR="00536ED2" w:rsidRPr="0052768A">
              <w:rPr>
                <w:rFonts w:ascii="GHEA Grapalat" w:hAnsi="GHEA Grapalat"/>
                <w:sz w:val="24"/>
                <w:szCs w:val="24"/>
                <w:lang w:val="hy-AM"/>
              </w:rPr>
              <w:t>արդյունքները ցույց են տա</w:t>
            </w:r>
            <w:r w:rsidR="00AD3DBF" w:rsidRPr="0052768A">
              <w:rPr>
                <w:rFonts w:ascii="GHEA Grapalat" w:hAnsi="GHEA Grapalat"/>
                <w:sz w:val="24"/>
                <w:szCs w:val="24"/>
                <w:lang w:val="hy-AM"/>
              </w:rPr>
              <w:t>վել</w:t>
            </w:r>
            <w:r w:rsidR="00536ED2" w:rsidRPr="0052768A">
              <w:rPr>
                <w:rFonts w:ascii="GHEA Grapalat" w:hAnsi="GHEA Grapalat"/>
                <w:sz w:val="24"/>
                <w:szCs w:val="24"/>
                <w:lang w:val="hy-AM"/>
              </w:rPr>
              <w:t>, որ նույնիսկ 2 տոկոսի (Կորոնավիրուսի տնտեսական հետևանքների չեզոքացման երկրորդ միջոցառման շրջանակում՝ 0 տոկոսի) պայմանում էլ տնտեսավարողները վճարունակ էին նորացնել տեխնիկայի հավաքակազմը ընդամենը 1-1.5 տոկոսի չափով։ Ինչ վերաբերում է այլ ծրագրերով սահմանված սուբսիդավորման տոկոսադրույքների չափերին, ապա պետք է նշել, որ օրինակ</w:t>
            </w:r>
            <w:r w:rsidR="00820530" w:rsidRPr="0052768A">
              <w:rPr>
                <w:rFonts w:ascii="GHEA Grapalat" w:hAnsi="GHEA Grapalat"/>
                <w:sz w:val="24"/>
                <w:szCs w:val="24"/>
                <w:lang w:val="hy-AM"/>
              </w:rPr>
              <w:t>՝</w:t>
            </w:r>
            <w:r w:rsidR="00536ED2" w:rsidRPr="0052768A">
              <w:rPr>
                <w:rFonts w:ascii="GHEA Grapalat" w:hAnsi="GHEA Grapalat"/>
                <w:sz w:val="24"/>
                <w:szCs w:val="24"/>
                <w:lang w:val="hy-AM"/>
              </w:rPr>
              <w:t xml:space="preserve"> ագրոպարենային ոլորտի </w:t>
            </w:r>
            <w:r w:rsidR="00536ED2" w:rsidRPr="0052768A">
              <w:rPr>
                <w:rFonts w:ascii="GHEA Grapalat" w:hAnsi="GHEA Grapalat"/>
                <w:sz w:val="24"/>
                <w:szCs w:val="24"/>
                <w:lang w:val="hy-AM"/>
              </w:rPr>
              <w:lastRenderedPageBreak/>
              <w:t>սարքավորումների լիզիգի պետական աջակցության ծրագրին հիմնականում մասնակցում են ագրոպարենային ոլորտի ընկերությունները, որոնց վճարունակությունը չի կարելի համեմատել գյուղացիական տնտեսությունների վճարունակության հետ։</w:t>
            </w:r>
          </w:p>
          <w:p w:rsidR="00536ED2" w:rsidRPr="0052768A" w:rsidRDefault="00536ED2" w:rsidP="004065D5">
            <w:pPr>
              <w:spacing w:line="360" w:lineRule="auto"/>
              <w:jc w:val="both"/>
              <w:rPr>
                <w:rFonts w:ascii="GHEA Grapalat" w:hAnsi="GHEA Grapalat"/>
                <w:sz w:val="24"/>
                <w:szCs w:val="24"/>
                <w:lang w:val="hy-AM"/>
              </w:rPr>
            </w:pPr>
          </w:p>
          <w:p w:rsidR="004065D5" w:rsidRPr="0052768A" w:rsidRDefault="004065D5" w:rsidP="004065D5">
            <w:pPr>
              <w:spacing w:line="360" w:lineRule="auto"/>
              <w:jc w:val="both"/>
              <w:rPr>
                <w:rFonts w:ascii="GHEA Grapalat" w:hAnsi="GHEA Grapalat"/>
                <w:sz w:val="24"/>
                <w:szCs w:val="24"/>
                <w:lang w:val="hy-AM"/>
              </w:rPr>
            </w:pPr>
          </w:p>
        </w:tc>
      </w:tr>
      <w:tr w:rsidR="0052768A" w:rsidRPr="00F57F24" w:rsidTr="008C1C66">
        <w:trPr>
          <w:trHeight w:val="274"/>
        </w:trPr>
        <w:tc>
          <w:tcPr>
            <w:tcW w:w="8185" w:type="dxa"/>
          </w:tcPr>
          <w:p w:rsidR="00357896" w:rsidRPr="0052768A" w:rsidRDefault="00357896" w:rsidP="00357896">
            <w:pPr>
              <w:spacing w:line="360" w:lineRule="auto"/>
              <w:ind w:firstLine="157"/>
              <w:jc w:val="both"/>
              <w:rPr>
                <w:rFonts w:ascii="GHEA Grapalat" w:hAnsi="GHEA Grapalat"/>
                <w:sz w:val="24"/>
                <w:szCs w:val="24"/>
                <w:lang w:val="af-ZA"/>
              </w:rPr>
            </w:pPr>
            <w:r w:rsidRPr="0052768A">
              <w:rPr>
                <w:rFonts w:ascii="GHEA Grapalat" w:hAnsi="GHEA Grapalat"/>
                <w:bCs/>
                <w:iCs/>
                <w:sz w:val="24"/>
                <w:szCs w:val="20"/>
                <w:lang w:val="af-ZA"/>
              </w:rPr>
              <w:lastRenderedPageBreak/>
              <w:tab/>
              <w:t xml:space="preserve">2) Ծրագրի 9-րդ կետի 4-րդ ենթակետով սահմանվում է, որ «…Հայաստանի Հանրապետության գյուղատնտեսական տեխնիկայի </w:t>
            </w:r>
            <w:r w:rsidRPr="0052768A">
              <w:rPr>
                <w:rFonts w:ascii="GHEA Grapalat" w:hAnsi="GHEA Grapalat"/>
                <w:bCs/>
                <w:iCs/>
                <w:sz w:val="24"/>
                <w:szCs w:val="20"/>
                <w:lang w:val="af-ZA"/>
              </w:rPr>
              <w:lastRenderedPageBreak/>
              <w:t>հավաքակազմի նորացումը սահմանված տարեկան 10.0-12.5 տոկոսի չափով իրատեսական չի համարվում», սակայն նման եզրակացությանը հանգեցնող փաստային հիմքեր ներկայացված չեն:</w:t>
            </w:r>
          </w:p>
        </w:tc>
        <w:tc>
          <w:tcPr>
            <w:tcW w:w="6855" w:type="dxa"/>
            <w:gridSpan w:val="2"/>
          </w:tcPr>
          <w:p w:rsidR="004176FE" w:rsidRPr="0052768A" w:rsidRDefault="001232D9" w:rsidP="004176FE">
            <w:pPr>
              <w:spacing w:line="360" w:lineRule="auto"/>
              <w:jc w:val="center"/>
              <w:rPr>
                <w:rFonts w:ascii="GHEA Grapalat" w:hAnsi="GHEA Grapalat"/>
                <w:b/>
                <w:sz w:val="24"/>
                <w:szCs w:val="24"/>
                <w:lang w:val="hy-AM"/>
              </w:rPr>
            </w:pPr>
            <w:r>
              <w:rPr>
                <w:rFonts w:ascii="GHEA Grapalat" w:hAnsi="GHEA Grapalat"/>
                <w:b/>
                <w:sz w:val="24"/>
                <w:szCs w:val="24"/>
                <w:lang w:val="hy-AM"/>
              </w:rPr>
              <w:lastRenderedPageBreak/>
              <w:t>Չի ընդունվել</w:t>
            </w:r>
          </w:p>
          <w:p w:rsidR="00357896" w:rsidRPr="0052768A" w:rsidRDefault="00536ED2" w:rsidP="0052768A">
            <w:pPr>
              <w:spacing w:line="360" w:lineRule="auto"/>
              <w:ind w:firstLine="178"/>
              <w:jc w:val="both"/>
              <w:rPr>
                <w:rFonts w:ascii="GHEA Grapalat" w:hAnsi="GHEA Grapalat"/>
                <w:b/>
                <w:sz w:val="24"/>
                <w:szCs w:val="24"/>
                <w:lang w:val="hy-AM"/>
              </w:rPr>
            </w:pPr>
            <w:r w:rsidRPr="0052768A">
              <w:rPr>
                <w:rFonts w:ascii="GHEA Grapalat" w:hAnsi="GHEA Grapalat"/>
                <w:bCs/>
                <w:iCs/>
                <w:sz w:val="24"/>
                <w:szCs w:val="20"/>
                <w:lang w:val="af-ZA"/>
              </w:rPr>
              <w:t xml:space="preserve">Նախագծով ներկայացվել է ինչպես </w:t>
            </w:r>
            <w:r w:rsidR="00AD3DBF" w:rsidRPr="0052768A">
              <w:rPr>
                <w:rFonts w:ascii="GHEA Grapalat" w:hAnsi="GHEA Grapalat"/>
                <w:bCs/>
                <w:iCs/>
                <w:sz w:val="24"/>
                <w:szCs w:val="20"/>
                <w:lang w:val="hy-AM"/>
              </w:rPr>
              <w:t>ՀՀ-</w:t>
            </w:r>
            <w:r w:rsidRPr="0052768A">
              <w:rPr>
                <w:rFonts w:ascii="GHEA Grapalat" w:hAnsi="GHEA Grapalat"/>
                <w:bCs/>
                <w:iCs/>
                <w:sz w:val="24"/>
                <w:szCs w:val="20"/>
                <w:lang w:val="af-ZA"/>
              </w:rPr>
              <w:t xml:space="preserve">ում առկա </w:t>
            </w:r>
            <w:r w:rsidRPr="0052768A">
              <w:rPr>
                <w:rFonts w:ascii="GHEA Grapalat" w:hAnsi="GHEA Grapalat"/>
                <w:bCs/>
                <w:iCs/>
                <w:sz w:val="24"/>
                <w:szCs w:val="20"/>
                <w:lang w:val="af-ZA"/>
              </w:rPr>
              <w:lastRenderedPageBreak/>
              <w:t>գյուղատնտեսական տեխնիկայի վերաբերյալ տեղեկատվությունը, այ</w:t>
            </w:r>
            <w:r w:rsidR="00AD3DBF" w:rsidRPr="0052768A">
              <w:rPr>
                <w:rFonts w:ascii="GHEA Grapalat" w:hAnsi="GHEA Grapalat"/>
                <w:bCs/>
                <w:iCs/>
                <w:sz w:val="24"/>
                <w:szCs w:val="20"/>
                <w:lang w:val="hy-AM"/>
              </w:rPr>
              <w:t>ն</w:t>
            </w:r>
            <w:r w:rsidRPr="0052768A">
              <w:rPr>
                <w:rFonts w:ascii="GHEA Grapalat" w:hAnsi="GHEA Grapalat"/>
                <w:bCs/>
                <w:iCs/>
                <w:sz w:val="24"/>
                <w:szCs w:val="20"/>
                <w:lang w:val="af-ZA"/>
              </w:rPr>
              <w:t xml:space="preserve">պես էլ գործող ծրագրի շրջանակում տեխնիկայի քանակի վերաբերյալ </w:t>
            </w:r>
            <w:r w:rsidR="00AD3DBF" w:rsidRPr="0052768A">
              <w:rPr>
                <w:rFonts w:ascii="GHEA Grapalat" w:hAnsi="GHEA Grapalat"/>
                <w:bCs/>
                <w:iCs/>
                <w:sz w:val="24"/>
                <w:szCs w:val="20"/>
                <w:lang w:val="af-ZA"/>
              </w:rPr>
              <w:t xml:space="preserve">արձանագրված </w:t>
            </w:r>
            <w:r w:rsidRPr="0052768A">
              <w:rPr>
                <w:rFonts w:ascii="GHEA Grapalat" w:hAnsi="GHEA Grapalat"/>
                <w:bCs/>
                <w:iCs/>
                <w:sz w:val="24"/>
                <w:szCs w:val="20"/>
                <w:lang w:val="af-ZA"/>
              </w:rPr>
              <w:t>ցուցանիշները։ Արդյունքները վկայում են, որ</w:t>
            </w:r>
            <w:r w:rsidRPr="0052768A">
              <w:rPr>
                <w:rFonts w:ascii="GHEA Grapalat" w:hAnsi="GHEA Grapalat"/>
                <w:b/>
                <w:sz w:val="24"/>
                <w:szCs w:val="24"/>
                <w:lang w:val="hy-AM"/>
              </w:rPr>
              <w:t xml:space="preserve"> </w:t>
            </w:r>
            <w:r w:rsidRPr="0052768A">
              <w:rPr>
                <w:rFonts w:ascii="GHEA Grapalat" w:hAnsi="GHEA Grapalat"/>
                <w:bCs/>
                <w:iCs/>
                <w:sz w:val="24"/>
                <w:szCs w:val="20"/>
                <w:lang w:val="af-ZA"/>
              </w:rPr>
              <w:t>գյուղատնտեսական տեխնիկայի հավաքակազմի նորացումը</w:t>
            </w:r>
            <w:r w:rsidR="004A1FFD" w:rsidRPr="0052768A">
              <w:rPr>
                <w:rFonts w:ascii="GHEA Grapalat" w:hAnsi="GHEA Grapalat"/>
                <w:bCs/>
                <w:iCs/>
                <w:sz w:val="24"/>
                <w:szCs w:val="20"/>
                <w:lang w:val="af-ZA"/>
              </w:rPr>
              <w:t xml:space="preserve"> տարեկան 10.0-12.5 տոկոսի չափով </w:t>
            </w:r>
            <w:r w:rsidR="004A1FFD" w:rsidRPr="0052768A">
              <w:rPr>
                <w:rFonts w:ascii="GHEA Grapalat" w:hAnsi="GHEA Grapalat"/>
                <w:bCs/>
                <w:iCs/>
                <w:sz w:val="24"/>
                <w:szCs w:val="20"/>
                <w:lang w:val="hy-AM"/>
              </w:rPr>
              <w:t xml:space="preserve">ներկայումս </w:t>
            </w:r>
            <w:r w:rsidR="004A1FFD" w:rsidRPr="0052768A">
              <w:rPr>
                <w:rFonts w:ascii="GHEA Grapalat" w:hAnsi="GHEA Grapalat"/>
                <w:bCs/>
                <w:iCs/>
                <w:sz w:val="24"/>
                <w:szCs w:val="20"/>
                <w:lang w:val="af-ZA"/>
              </w:rPr>
              <w:t>իրատեսական չէ։</w:t>
            </w:r>
          </w:p>
        </w:tc>
      </w:tr>
      <w:tr w:rsidR="0052768A" w:rsidRPr="00F57F24" w:rsidTr="004A1FFD">
        <w:trPr>
          <w:trHeight w:val="1975"/>
        </w:trPr>
        <w:tc>
          <w:tcPr>
            <w:tcW w:w="8185" w:type="dxa"/>
          </w:tcPr>
          <w:p w:rsidR="00357896" w:rsidRPr="0052768A" w:rsidRDefault="00357896" w:rsidP="004176FE">
            <w:pPr>
              <w:spacing w:line="360" w:lineRule="auto"/>
              <w:ind w:firstLine="157"/>
              <w:jc w:val="both"/>
              <w:rPr>
                <w:rFonts w:ascii="GHEA Grapalat" w:hAnsi="GHEA Grapalat"/>
                <w:bCs/>
                <w:iCs/>
                <w:sz w:val="24"/>
                <w:szCs w:val="20"/>
                <w:lang w:val="af-ZA"/>
              </w:rPr>
            </w:pPr>
            <w:r w:rsidRPr="0052768A">
              <w:rPr>
                <w:rFonts w:ascii="GHEA Grapalat" w:hAnsi="GHEA Grapalat"/>
                <w:bCs/>
                <w:iCs/>
                <w:sz w:val="24"/>
                <w:szCs w:val="20"/>
                <w:lang w:val="af-ZA"/>
              </w:rPr>
              <w:lastRenderedPageBreak/>
              <w:t xml:space="preserve">3) Ծրագրի 11-րդ կետի 1-ին ենթակետում Ծրագրի մասնակիցների շարքից, ինչպես նաև N 1 աղյուսակի 2-րդ կետից առաջարկում ենք հանել համայնքներին՝ հիմք ընդունելով Նախագիծ 1-ի վերաբերյալ 2-րդ կետում նշված հիմնավորումը: </w:t>
            </w:r>
          </w:p>
        </w:tc>
        <w:tc>
          <w:tcPr>
            <w:tcW w:w="6855" w:type="dxa"/>
            <w:gridSpan w:val="2"/>
          </w:tcPr>
          <w:p w:rsidR="004176FE" w:rsidRPr="0052768A" w:rsidRDefault="004176FE" w:rsidP="004176FE">
            <w:pPr>
              <w:spacing w:line="360" w:lineRule="auto"/>
              <w:jc w:val="center"/>
              <w:rPr>
                <w:rFonts w:ascii="GHEA Grapalat" w:hAnsi="GHEA Grapalat"/>
                <w:b/>
                <w:sz w:val="24"/>
                <w:szCs w:val="24"/>
                <w:lang w:val="hy-AM"/>
              </w:rPr>
            </w:pPr>
            <w:r w:rsidRPr="0052768A">
              <w:rPr>
                <w:rFonts w:ascii="GHEA Grapalat" w:hAnsi="GHEA Grapalat"/>
                <w:b/>
                <w:sz w:val="24"/>
                <w:szCs w:val="24"/>
                <w:lang w:val="hy-AM"/>
              </w:rPr>
              <w:t>Մաս</w:t>
            </w:r>
            <w:r>
              <w:rPr>
                <w:rFonts w:ascii="GHEA Grapalat" w:hAnsi="GHEA Grapalat"/>
                <w:b/>
                <w:sz w:val="24"/>
                <w:szCs w:val="24"/>
                <w:lang w:val="hy-AM"/>
              </w:rPr>
              <w:t>ամբ</w:t>
            </w:r>
            <w:r w:rsidRPr="0052768A">
              <w:rPr>
                <w:rFonts w:ascii="GHEA Grapalat" w:hAnsi="GHEA Grapalat"/>
                <w:b/>
                <w:sz w:val="24"/>
                <w:szCs w:val="24"/>
                <w:lang w:val="hy-AM"/>
              </w:rPr>
              <w:t xml:space="preserve"> է ընդունվել</w:t>
            </w:r>
          </w:p>
          <w:p w:rsidR="00357896" w:rsidRPr="004176FE" w:rsidRDefault="004176FE" w:rsidP="00570B18">
            <w:pPr>
              <w:spacing w:line="360" w:lineRule="auto"/>
              <w:ind w:firstLine="180"/>
              <w:jc w:val="both"/>
              <w:rPr>
                <w:rFonts w:ascii="GHEA Grapalat" w:hAnsi="GHEA Grapalat"/>
                <w:sz w:val="24"/>
                <w:szCs w:val="24"/>
                <w:lang w:val="hy-AM"/>
              </w:rPr>
            </w:pPr>
            <w:r w:rsidRPr="004176FE">
              <w:rPr>
                <w:rFonts w:ascii="GHEA Grapalat" w:hAnsi="GHEA Grapalat"/>
                <w:sz w:val="24"/>
                <w:szCs w:val="24"/>
                <w:lang w:val="hy-AM"/>
              </w:rPr>
              <w:t>Նախագծի 11-րդ կետի 1-</w:t>
            </w:r>
            <w:r>
              <w:rPr>
                <w:rFonts w:ascii="GHEA Grapalat" w:hAnsi="GHEA Grapalat"/>
                <w:sz w:val="24"/>
                <w:szCs w:val="24"/>
                <w:lang w:val="hy-AM"/>
              </w:rPr>
              <w:t>ի</w:t>
            </w:r>
            <w:r w:rsidRPr="004176FE">
              <w:rPr>
                <w:rFonts w:ascii="GHEA Grapalat" w:hAnsi="GHEA Grapalat"/>
                <w:sz w:val="24"/>
                <w:szCs w:val="24"/>
                <w:lang w:val="hy-AM"/>
              </w:rPr>
              <w:t xml:space="preserve">ն ենթակետը լրացվել է «եթե </w:t>
            </w:r>
            <w:r>
              <w:rPr>
                <w:rFonts w:ascii="GHEA Grapalat" w:hAnsi="GHEA Grapalat"/>
                <w:sz w:val="24"/>
                <w:szCs w:val="24"/>
                <w:lang w:val="hy-AM"/>
              </w:rPr>
              <w:t>տվյալ</w:t>
            </w:r>
            <w:r w:rsidRPr="004176FE">
              <w:rPr>
                <w:rFonts w:ascii="GHEA Grapalat" w:hAnsi="GHEA Grapalat"/>
                <w:sz w:val="24"/>
                <w:szCs w:val="24"/>
                <w:lang w:val="hy-AM"/>
              </w:rPr>
              <w:t xml:space="preserve"> լիզինգի առարկան </w:t>
            </w:r>
            <w:r>
              <w:rPr>
                <w:rFonts w:ascii="GHEA Grapalat" w:hAnsi="GHEA Grapalat"/>
                <w:sz w:val="24"/>
                <w:szCs w:val="24"/>
                <w:lang w:val="hy-AM"/>
              </w:rPr>
              <w:t>նախատեսված</w:t>
            </w:r>
            <w:r w:rsidRPr="004176FE">
              <w:rPr>
                <w:rFonts w:ascii="GHEA Grapalat" w:hAnsi="GHEA Grapalat"/>
                <w:sz w:val="24"/>
                <w:szCs w:val="24"/>
                <w:lang w:val="hy-AM"/>
              </w:rPr>
              <w:t xml:space="preserve"> չէ </w:t>
            </w:r>
            <w:r>
              <w:rPr>
                <w:rFonts w:ascii="GHEA Grapalat" w:hAnsi="GHEA Grapalat"/>
                <w:sz w:val="24"/>
                <w:szCs w:val="24"/>
                <w:lang w:val="hy-AM"/>
              </w:rPr>
              <w:t xml:space="preserve">ձեռք բերել </w:t>
            </w:r>
            <w:r w:rsidRPr="004176FE">
              <w:rPr>
                <w:rFonts w:ascii="GHEA Grapalat" w:hAnsi="GHEA Grapalat"/>
                <w:sz w:val="24"/>
                <w:szCs w:val="24"/>
                <w:lang w:val="hy-AM"/>
              </w:rPr>
              <w:t>սուբվ</w:t>
            </w:r>
            <w:r>
              <w:rPr>
                <w:rFonts w:ascii="GHEA Grapalat" w:hAnsi="GHEA Grapalat"/>
                <w:sz w:val="24"/>
                <w:szCs w:val="24"/>
                <w:lang w:val="hy-AM"/>
              </w:rPr>
              <w:t>ե</w:t>
            </w:r>
            <w:r w:rsidRPr="004176FE">
              <w:rPr>
                <w:rFonts w:ascii="GHEA Grapalat" w:hAnsi="GHEA Grapalat"/>
                <w:sz w:val="24"/>
                <w:szCs w:val="24"/>
                <w:lang w:val="hy-AM"/>
              </w:rPr>
              <w:t>նցիոն ծրագրեր</w:t>
            </w:r>
            <w:r>
              <w:rPr>
                <w:rFonts w:ascii="GHEA Grapalat" w:hAnsi="GHEA Grapalat"/>
                <w:sz w:val="24"/>
                <w:szCs w:val="24"/>
                <w:lang w:val="hy-AM"/>
              </w:rPr>
              <w:t>ով</w:t>
            </w:r>
            <w:r w:rsidRPr="004176FE">
              <w:rPr>
                <w:rFonts w:ascii="GHEA Grapalat" w:hAnsi="GHEA Grapalat"/>
                <w:sz w:val="24"/>
                <w:szCs w:val="24"/>
                <w:lang w:val="hy-AM"/>
              </w:rPr>
              <w:t>» բառերով։</w:t>
            </w:r>
          </w:p>
        </w:tc>
      </w:tr>
      <w:tr w:rsidR="0052768A" w:rsidRPr="00F57F24" w:rsidTr="00300C9D">
        <w:trPr>
          <w:trHeight w:val="2780"/>
        </w:trPr>
        <w:tc>
          <w:tcPr>
            <w:tcW w:w="8185" w:type="dxa"/>
          </w:tcPr>
          <w:p w:rsidR="00357896" w:rsidRPr="0052768A" w:rsidRDefault="00357896" w:rsidP="00357896">
            <w:pPr>
              <w:shd w:val="clear" w:color="auto" w:fill="FFFFFF"/>
              <w:tabs>
                <w:tab w:val="num" w:pos="567"/>
                <w:tab w:val="left" w:pos="851"/>
              </w:tabs>
              <w:spacing w:line="360" w:lineRule="auto"/>
              <w:jc w:val="both"/>
              <w:rPr>
                <w:rFonts w:ascii="GHEA Grapalat" w:hAnsi="GHEA Grapalat"/>
                <w:bCs/>
                <w:iCs/>
                <w:sz w:val="24"/>
                <w:szCs w:val="20"/>
                <w:lang w:val="af-ZA"/>
              </w:rPr>
            </w:pPr>
            <w:r w:rsidRPr="0052768A">
              <w:rPr>
                <w:rFonts w:ascii="GHEA Grapalat" w:hAnsi="GHEA Grapalat"/>
                <w:bCs/>
                <w:iCs/>
                <w:sz w:val="24"/>
                <w:szCs w:val="20"/>
                <w:lang w:val="af-ZA"/>
              </w:rPr>
              <w:t>4) Ծրագրի 12-րդ կետի 4-րդ ենթակետում անհրաժեշտ է հստակեցնել, թե որ տեսակի վճարումներին է վերաբերում դադարի շրջանը (հիմնական գումար և/կամ տոկոսագումար): Նույն ենթակետով նպատակահարմար ենք համարում նաև ամրագրել դրույթներ, որոնք կկարգավորեն դադարի հետևանքով լիզինգի պայմանագրի ժամկետի փոփոխության, տոկոսների հաշվարկման և վճարումների նոր ժամանակացույցի հաստատման հետ կապված հարաբերությունները:</w:t>
            </w:r>
          </w:p>
        </w:tc>
        <w:tc>
          <w:tcPr>
            <w:tcW w:w="6855" w:type="dxa"/>
            <w:gridSpan w:val="2"/>
          </w:tcPr>
          <w:p w:rsidR="004A1FFD" w:rsidRPr="0052768A" w:rsidRDefault="001232D9" w:rsidP="004A1FFD">
            <w:pPr>
              <w:spacing w:line="360" w:lineRule="auto"/>
              <w:jc w:val="center"/>
              <w:rPr>
                <w:rFonts w:ascii="GHEA Grapalat" w:hAnsi="GHEA Grapalat"/>
                <w:b/>
                <w:sz w:val="24"/>
                <w:szCs w:val="24"/>
                <w:lang w:val="hy-AM"/>
              </w:rPr>
            </w:pPr>
            <w:r w:rsidRPr="0052768A">
              <w:rPr>
                <w:rFonts w:ascii="GHEA Grapalat" w:hAnsi="GHEA Grapalat"/>
                <w:b/>
                <w:sz w:val="24"/>
                <w:szCs w:val="24"/>
                <w:lang w:val="hy-AM"/>
              </w:rPr>
              <w:t>Մաս</w:t>
            </w:r>
            <w:r>
              <w:rPr>
                <w:rFonts w:ascii="GHEA Grapalat" w:hAnsi="GHEA Grapalat"/>
                <w:b/>
                <w:sz w:val="24"/>
                <w:szCs w:val="24"/>
                <w:lang w:val="hy-AM"/>
              </w:rPr>
              <w:t>ամբ</w:t>
            </w:r>
            <w:r w:rsidR="004A1FFD" w:rsidRPr="0052768A">
              <w:rPr>
                <w:rFonts w:ascii="GHEA Grapalat" w:hAnsi="GHEA Grapalat"/>
                <w:b/>
                <w:sz w:val="24"/>
                <w:szCs w:val="24"/>
                <w:lang w:val="hy-AM"/>
              </w:rPr>
              <w:t xml:space="preserve"> է ընդունվել</w:t>
            </w:r>
          </w:p>
          <w:p w:rsidR="00357896" w:rsidRPr="0052768A" w:rsidRDefault="004A1FFD" w:rsidP="00570B18">
            <w:pPr>
              <w:spacing w:line="360" w:lineRule="auto"/>
              <w:ind w:firstLine="180"/>
              <w:jc w:val="both"/>
              <w:rPr>
                <w:rFonts w:ascii="GHEA Grapalat" w:hAnsi="GHEA Grapalat"/>
                <w:b/>
                <w:sz w:val="24"/>
                <w:szCs w:val="24"/>
                <w:lang w:val="hy-AM"/>
              </w:rPr>
            </w:pPr>
            <w:r w:rsidRPr="0052768A">
              <w:rPr>
                <w:rFonts w:ascii="GHEA Grapalat" w:hAnsi="GHEA Grapalat"/>
                <w:bCs/>
                <w:iCs/>
                <w:sz w:val="24"/>
                <w:szCs w:val="20"/>
                <w:lang w:val="af-ZA"/>
              </w:rPr>
              <w:t>Հստակեցվել է ծրագրի 12-րդ կետի 4-րդ ենթակետը, ընդ որում</w:t>
            </w:r>
            <w:r w:rsidR="00570B18">
              <w:rPr>
                <w:rFonts w:ascii="GHEA Grapalat" w:hAnsi="GHEA Grapalat"/>
                <w:bCs/>
                <w:iCs/>
                <w:sz w:val="24"/>
                <w:szCs w:val="20"/>
                <w:lang w:val="hy-AM"/>
              </w:rPr>
              <w:t>՝</w:t>
            </w:r>
            <w:r w:rsidRPr="0052768A">
              <w:rPr>
                <w:rFonts w:ascii="GHEA Grapalat" w:hAnsi="GHEA Grapalat"/>
                <w:bCs/>
                <w:iCs/>
                <w:sz w:val="24"/>
                <w:szCs w:val="20"/>
                <w:lang w:val="af-ZA"/>
              </w:rPr>
              <w:t xml:space="preserve"> դադարի շրջանի հետ կապված լիզինգի պայմանագրի ժամկետի փոփոխություն չի նախատեսվում, իսկ վճարումների ժամանակացույց</w:t>
            </w:r>
            <w:r w:rsidR="00AD3DBF" w:rsidRPr="0052768A">
              <w:rPr>
                <w:rFonts w:ascii="GHEA Grapalat" w:hAnsi="GHEA Grapalat"/>
                <w:bCs/>
                <w:iCs/>
                <w:sz w:val="24"/>
                <w:szCs w:val="20"/>
                <w:lang w:val="hy-AM"/>
              </w:rPr>
              <w:t>ի</w:t>
            </w:r>
            <w:r w:rsidRPr="0052768A">
              <w:rPr>
                <w:rFonts w:ascii="GHEA Grapalat" w:hAnsi="GHEA Grapalat"/>
                <w:bCs/>
                <w:iCs/>
                <w:sz w:val="24"/>
                <w:szCs w:val="20"/>
                <w:lang w:val="af-ZA"/>
              </w:rPr>
              <w:t xml:space="preserve"> հետ կապված հարաբերությունները կարգավորվում են լիզինգառուի և ֆինանսակա</w:t>
            </w:r>
            <w:r w:rsidRPr="0052768A">
              <w:rPr>
                <w:rFonts w:ascii="GHEA Grapalat" w:hAnsi="GHEA Grapalat"/>
                <w:bCs/>
                <w:iCs/>
                <w:sz w:val="24"/>
                <w:szCs w:val="20"/>
                <w:lang w:val="hy-AM"/>
              </w:rPr>
              <w:t>ն կառույցի միջև կնքվող պայմանագրով։</w:t>
            </w:r>
          </w:p>
        </w:tc>
      </w:tr>
      <w:tr w:rsidR="0052768A" w:rsidRPr="00F57F24" w:rsidTr="00300C9D">
        <w:trPr>
          <w:trHeight w:val="2780"/>
        </w:trPr>
        <w:tc>
          <w:tcPr>
            <w:tcW w:w="8185" w:type="dxa"/>
          </w:tcPr>
          <w:p w:rsidR="00357896" w:rsidRPr="0052768A" w:rsidRDefault="00357896" w:rsidP="00357896">
            <w:pPr>
              <w:shd w:val="clear" w:color="auto" w:fill="FFFFFF"/>
              <w:tabs>
                <w:tab w:val="num" w:pos="567"/>
                <w:tab w:val="left" w:pos="851"/>
              </w:tabs>
              <w:spacing w:line="360" w:lineRule="auto"/>
              <w:jc w:val="both"/>
              <w:rPr>
                <w:rFonts w:ascii="GHEA Grapalat" w:hAnsi="GHEA Grapalat"/>
                <w:bCs/>
                <w:iCs/>
                <w:sz w:val="24"/>
                <w:szCs w:val="20"/>
                <w:lang w:val="af-ZA"/>
              </w:rPr>
            </w:pPr>
            <w:r w:rsidRPr="0052768A">
              <w:rPr>
                <w:rFonts w:ascii="GHEA Grapalat" w:hAnsi="GHEA Grapalat"/>
                <w:bCs/>
                <w:iCs/>
                <w:sz w:val="24"/>
                <w:szCs w:val="20"/>
                <w:lang w:val="af-ZA"/>
              </w:rPr>
              <w:lastRenderedPageBreak/>
              <w:t>5) Ծրագրի 12-րդ կետի 5-րդ ենթակետի համաձայն՝ Ծրագրի շրջանակում նույն լիզինգառուի կողմից ձեռք բերվող լիզինգի առարկաների հանրագումարի մնացորդը չպետք է գերազանցի 400.0 մլն դրամը:</w:t>
            </w:r>
          </w:p>
          <w:p w:rsidR="00357896" w:rsidRPr="0052768A" w:rsidRDefault="00357896" w:rsidP="00357896">
            <w:pPr>
              <w:shd w:val="clear" w:color="auto" w:fill="FFFFFF"/>
              <w:tabs>
                <w:tab w:val="num" w:pos="567"/>
                <w:tab w:val="left" w:pos="851"/>
              </w:tabs>
              <w:spacing w:line="360" w:lineRule="auto"/>
              <w:jc w:val="both"/>
              <w:rPr>
                <w:rFonts w:ascii="GHEA Grapalat" w:hAnsi="GHEA Grapalat"/>
                <w:bCs/>
                <w:iCs/>
                <w:sz w:val="24"/>
                <w:szCs w:val="20"/>
                <w:lang w:val="af-ZA"/>
              </w:rPr>
            </w:pPr>
            <w:r w:rsidRPr="0052768A">
              <w:rPr>
                <w:rFonts w:ascii="GHEA Grapalat" w:hAnsi="GHEA Grapalat"/>
                <w:bCs/>
                <w:iCs/>
                <w:sz w:val="24"/>
                <w:szCs w:val="20"/>
                <w:lang w:val="af-ZA"/>
              </w:rPr>
              <w:tab/>
              <w:t xml:space="preserve">Նշված ենթակետում «լիզինգի առարկաների հանրագումարի մնացորդը» արտահայտությունն առաջարկում ենք փոխարինել «լիզինգի առարկաների ընդհանուր գումարը» ձևակերպմամբ, ինչի արդյունքում առավելագույն սահմանաչափ կսահմանվի առարկաների ընդհանուր արժեքի նկատմամբ և կբացառվեն այն դեպքերը, երբ նույն լիզինգառուն գործող լիզինգի մարմանը զուգընթաց պարբերաբար ձեռք կբերի նոր առարկաներ՝ այդպիսով չգերազանցելով սահմանված շեմը: Դա թույլ կտա Ծրագրի արժեքի շրջանակներում օժանդակության գործիքը հասանելի դարձնել շահառուների ավելի լայն շրջանակների: Հարկ է նշել նաև, որ ՀՀ կառավարության 18.11.2021թ. Հայաստանի Հանրապետության կառավարության 2021-2026 թվականների գործունեության միջոցառումների ծրագիրը հաստատելու մասին N 1902-Լ որոշման N 2 հավելվածի Էկոնոմիկայի նախարարություն բաժնի 9.2 կետի համաձայն՝ միևնույն լիզինգառուի կողմից ձեռք բերվող լիզինգի առարկաների ընդհանուր գումարը չպետք է </w:t>
            </w:r>
          </w:p>
          <w:p w:rsidR="00357896" w:rsidRPr="0052768A" w:rsidRDefault="00357896" w:rsidP="00357896">
            <w:pPr>
              <w:shd w:val="clear" w:color="auto" w:fill="FFFFFF"/>
              <w:tabs>
                <w:tab w:val="num" w:pos="567"/>
                <w:tab w:val="left" w:pos="851"/>
              </w:tabs>
              <w:spacing w:line="360" w:lineRule="auto"/>
              <w:jc w:val="both"/>
              <w:rPr>
                <w:rFonts w:ascii="GHEA Grapalat" w:hAnsi="GHEA Grapalat"/>
                <w:bCs/>
                <w:iCs/>
                <w:sz w:val="24"/>
                <w:szCs w:val="20"/>
                <w:lang w:val="af-ZA"/>
              </w:rPr>
            </w:pPr>
            <w:r w:rsidRPr="0052768A">
              <w:rPr>
                <w:rFonts w:ascii="GHEA Grapalat" w:hAnsi="GHEA Grapalat"/>
                <w:bCs/>
                <w:iCs/>
                <w:sz w:val="24"/>
                <w:szCs w:val="20"/>
                <w:lang w:val="af-ZA"/>
              </w:rPr>
              <w:t>գերազանցի 200 մլն ՀՀ դրամը:</w:t>
            </w:r>
          </w:p>
          <w:p w:rsidR="00357896" w:rsidRPr="0052768A" w:rsidRDefault="00357896" w:rsidP="00357896">
            <w:pPr>
              <w:shd w:val="clear" w:color="auto" w:fill="FFFFFF"/>
              <w:tabs>
                <w:tab w:val="num" w:pos="567"/>
                <w:tab w:val="left" w:pos="851"/>
              </w:tabs>
              <w:spacing w:line="360" w:lineRule="auto"/>
              <w:jc w:val="both"/>
              <w:rPr>
                <w:rFonts w:ascii="GHEA Grapalat" w:hAnsi="GHEA Grapalat"/>
                <w:bCs/>
                <w:iCs/>
                <w:sz w:val="24"/>
                <w:szCs w:val="20"/>
                <w:lang w:val="af-ZA"/>
              </w:rPr>
            </w:pPr>
            <w:r w:rsidRPr="0052768A">
              <w:rPr>
                <w:rFonts w:ascii="GHEA Grapalat" w:hAnsi="GHEA Grapalat"/>
                <w:bCs/>
                <w:iCs/>
                <w:sz w:val="24"/>
                <w:szCs w:val="20"/>
                <w:lang w:val="af-ZA"/>
              </w:rPr>
              <w:lastRenderedPageBreak/>
              <w:tab/>
              <w:t>Միաժամանակ նույն ենթակետում նշվում է նաև, որ լիզինգի առարկաների ընդհանուր գումարը 200.0 մլն դրամը գերազանցելու դեպքում ֆինանսական կառույցը մինչև լիզինգի պայմանագիր կնքելը այդ մասին գրավոր տեղեկացնում է էկոնոմիկայի նախարարությանը, մինչդեռ չի ներկայացվել տվյալ հանգամանքի առակայության պարագայում էկոնոմիկայի նախարարության հետագա քայլերը:</w:t>
            </w:r>
          </w:p>
        </w:tc>
        <w:tc>
          <w:tcPr>
            <w:tcW w:w="6855" w:type="dxa"/>
            <w:gridSpan w:val="2"/>
          </w:tcPr>
          <w:p w:rsidR="008E254F" w:rsidRPr="0052768A" w:rsidRDefault="008E254F" w:rsidP="008E254F">
            <w:pPr>
              <w:spacing w:line="360" w:lineRule="auto"/>
              <w:jc w:val="center"/>
              <w:rPr>
                <w:rFonts w:ascii="GHEA Grapalat" w:hAnsi="GHEA Grapalat"/>
                <w:b/>
                <w:sz w:val="24"/>
                <w:szCs w:val="24"/>
                <w:lang w:val="hy-AM"/>
              </w:rPr>
            </w:pPr>
            <w:r w:rsidRPr="0052768A">
              <w:rPr>
                <w:rFonts w:ascii="GHEA Grapalat" w:hAnsi="GHEA Grapalat"/>
                <w:b/>
                <w:sz w:val="24"/>
                <w:szCs w:val="24"/>
                <w:lang w:val="hy-AM"/>
              </w:rPr>
              <w:lastRenderedPageBreak/>
              <w:t>Մաս</w:t>
            </w:r>
            <w:r>
              <w:rPr>
                <w:rFonts w:ascii="GHEA Grapalat" w:hAnsi="GHEA Grapalat"/>
                <w:b/>
                <w:sz w:val="24"/>
                <w:szCs w:val="24"/>
                <w:lang w:val="hy-AM"/>
              </w:rPr>
              <w:t>ամբ</w:t>
            </w:r>
            <w:r w:rsidRPr="0052768A">
              <w:rPr>
                <w:rFonts w:ascii="GHEA Grapalat" w:hAnsi="GHEA Grapalat"/>
                <w:b/>
                <w:sz w:val="24"/>
                <w:szCs w:val="24"/>
                <w:lang w:val="hy-AM"/>
              </w:rPr>
              <w:t xml:space="preserve"> է ընդունվել</w:t>
            </w:r>
          </w:p>
          <w:p w:rsidR="00357896" w:rsidRDefault="008E254F" w:rsidP="008E254F">
            <w:pPr>
              <w:spacing w:line="360" w:lineRule="auto"/>
              <w:jc w:val="both"/>
              <w:rPr>
                <w:rFonts w:ascii="GHEA Grapalat" w:hAnsi="GHEA Grapalat"/>
                <w:bCs/>
                <w:iCs/>
                <w:sz w:val="24"/>
                <w:szCs w:val="20"/>
                <w:lang w:val="hy-AM"/>
              </w:rPr>
            </w:pPr>
            <w:r>
              <w:rPr>
                <w:rFonts w:ascii="GHEA Grapalat" w:hAnsi="GHEA Grapalat"/>
                <w:bCs/>
                <w:iCs/>
                <w:sz w:val="24"/>
                <w:szCs w:val="20"/>
                <w:lang w:val="hy-AM"/>
              </w:rPr>
              <w:t>Նախագծում «</w:t>
            </w:r>
            <w:r w:rsidRPr="0052768A">
              <w:rPr>
                <w:rFonts w:ascii="GHEA Grapalat" w:hAnsi="GHEA Grapalat"/>
                <w:bCs/>
                <w:iCs/>
                <w:sz w:val="24"/>
                <w:szCs w:val="20"/>
                <w:lang w:val="af-ZA"/>
              </w:rPr>
              <w:t>լիզինգի առարկաների հանրագումարի մնացորդը</w:t>
            </w:r>
            <w:r>
              <w:rPr>
                <w:rFonts w:ascii="GHEA Grapalat" w:hAnsi="GHEA Grapalat"/>
                <w:bCs/>
                <w:iCs/>
                <w:sz w:val="24"/>
                <w:szCs w:val="20"/>
                <w:lang w:val="hy-AM"/>
              </w:rPr>
              <w:t>» բառերը փոխարինվել են «</w:t>
            </w:r>
            <w:r w:rsidRPr="008E254F">
              <w:rPr>
                <w:rFonts w:ascii="GHEA Grapalat" w:hAnsi="GHEA Grapalat"/>
                <w:bCs/>
                <w:iCs/>
                <w:sz w:val="24"/>
                <w:szCs w:val="20"/>
                <w:lang w:val="hy-AM"/>
              </w:rPr>
              <w:t>լիզինգի առարկաների ընդհանուր գումարը</w:t>
            </w:r>
            <w:r>
              <w:rPr>
                <w:rFonts w:ascii="GHEA Grapalat" w:hAnsi="GHEA Grapalat"/>
                <w:bCs/>
                <w:iCs/>
                <w:sz w:val="24"/>
                <w:szCs w:val="20"/>
                <w:lang w:val="hy-AM"/>
              </w:rPr>
              <w:t xml:space="preserve">» բառերով, իսկ </w:t>
            </w:r>
            <w:r w:rsidRPr="0052768A">
              <w:rPr>
                <w:rFonts w:ascii="GHEA Grapalat" w:hAnsi="GHEA Grapalat"/>
                <w:bCs/>
                <w:iCs/>
                <w:sz w:val="24"/>
                <w:szCs w:val="20"/>
                <w:lang w:val="af-ZA"/>
              </w:rPr>
              <w:t xml:space="preserve">200.0 մլն դրամը գերազանցելու դեպքում ֆինանսական </w:t>
            </w:r>
            <w:r>
              <w:rPr>
                <w:rFonts w:ascii="GHEA Grapalat" w:hAnsi="GHEA Grapalat"/>
                <w:bCs/>
                <w:iCs/>
                <w:sz w:val="24"/>
                <w:szCs w:val="20"/>
                <w:lang w:val="af-ZA"/>
              </w:rPr>
              <w:t>կառույցի կողմից Էկոնոմիկայի նախարարությանը տեղեկացնելու</w:t>
            </w:r>
            <w:r>
              <w:rPr>
                <w:rFonts w:ascii="GHEA Grapalat" w:hAnsi="GHEA Grapalat"/>
                <w:bCs/>
                <w:iCs/>
                <w:sz w:val="24"/>
                <w:szCs w:val="20"/>
                <w:lang w:val="hy-AM"/>
              </w:rPr>
              <w:t xml:space="preserve"> պահանջը հանվել է։</w:t>
            </w:r>
          </w:p>
          <w:p w:rsidR="008E254F" w:rsidRPr="008E254F" w:rsidRDefault="007A2792" w:rsidP="00E258B6">
            <w:pPr>
              <w:spacing w:line="360" w:lineRule="auto"/>
              <w:jc w:val="both"/>
              <w:rPr>
                <w:rFonts w:ascii="GHEA Grapalat" w:hAnsi="GHEA Grapalat"/>
                <w:b/>
                <w:sz w:val="24"/>
                <w:szCs w:val="24"/>
                <w:lang w:val="hy-AM"/>
              </w:rPr>
            </w:pPr>
            <w:r>
              <w:rPr>
                <w:rFonts w:ascii="GHEA Grapalat" w:hAnsi="GHEA Grapalat"/>
                <w:bCs/>
                <w:iCs/>
                <w:sz w:val="24"/>
                <w:szCs w:val="20"/>
                <w:lang w:val="hy-AM"/>
              </w:rPr>
              <w:t>Մի</w:t>
            </w:r>
            <w:r w:rsidR="008E254F">
              <w:rPr>
                <w:rFonts w:ascii="GHEA Grapalat" w:hAnsi="GHEA Grapalat"/>
                <w:bCs/>
                <w:iCs/>
                <w:sz w:val="24"/>
                <w:szCs w:val="20"/>
                <w:lang w:val="hy-AM"/>
              </w:rPr>
              <w:t>աժամանակ</w:t>
            </w:r>
            <w:r>
              <w:rPr>
                <w:rFonts w:ascii="GHEA Grapalat" w:hAnsi="GHEA Grapalat"/>
                <w:bCs/>
                <w:iCs/>
                <w:sz w:val="24"/>
                <w:szCs w:val="20"/>
                <w:lang w:val="hy-AM"/>
              </w:rPr>
              <w:t>,</w:t>
            </w:r>
            <w:r w:rsidR="008E254F">
              <w:rPr>
                <w:rFonts w:ascii="GHEA Grapalat" w:hAnsi="GHEA Grapalat"/>
                <w:bCs/>
                <w:iCs/>
                <w:sz w:val="24"/>
                <w:szCs w:val="20"/>
                <w:lang w:val="hy-AM"/>
              </w:rPr>
              <w:t xml:space="preserve"> </w:t>
            </w:r>
            <w:r w:rsidR="008E254F" w:rsidRPr="00177343">
              <w:rPr>
                <w:rFonts w:ascii="GHEA Grapalat" w:hAnsi="GHEA Grapalat"/>
                <w:sz w:val="24"/>
                <w:szCs w:val="24"/>
                <w:lang w:val="hy-AM"/>
              </w:rPr>
              <w:t xml:space="preserve">լիզինգի առարկաների </w:t>
            </w:r>
            <w:r w:rsidR="008E254F" w:rsidRPr="008E254F">
              <w:rPr>
                <w:rFonts w:ascii="GHEA Grapalat" w:hAnsi="GHEA Grapalat"/>
                <w:bCs/>
                <w:iCs/>
                <w:sz w:val="24"/>
                <w:szCs w:val="20"/>
                <w:lang w:val="hy-AM"/>
              </w:rPr>
              <w:t xml:space="preserve">ընդհանուր </w:t>
            </w:r>
            <w:r w:rsidR="008E254F">
              <w:rPr>
                <w:rFonts w:ascii="GHEA Grapalat" w:hAnsi="GHEA Grapalat"/>
                <w:bCs/>
                <w:iCs/>
                <w:sz w:val="24"/>
                <w:szCs w:val="20"/>
                <w:lang w:val="hy-AM"/>
              </w:rPr>
              <w:t xml:space="preserve">գումարի՝ 400.0 մլն դրամ շեմի սահմանումը պայմանավորված է ինչպես գործող ծրագրի ընդունման ժամանակահատվածի համեմատությամբ </w:t>
            </w:r>
            <w:r>
              <w:rPr>
                <w:rFonts w:ascii="GHEA Grapalat" w:hAnsi="GHEA Grapalat"/>
                <w:bCs/>
                <w:iCs/>
                <w:sz w:val="24"/>
                <w:szCs w:val="20"/>
                <w:lang w:val="hy-AM"/>
              </w:rPr>
              <w:t>գյուղատնտեսական տեխնիկայի գների էական աճով, այնպես էլ տնտեսավարողներին գյուղատնտեսական տեխնիկայի կայան</w:t>
            </w:r>
            <w:r w:rsidR="00E258B6">
              <w:rPr>
                <w:rFonts w:ascii="GHEA Grapalat" w:hAnsi="GHEA Grapalat"/>
                <w:bCs/>
                <w:iCs/>
                <w:sz w:val="24"/>
                <w:szCs w:val="20"/>
                <w:lang w:val="hy-AM"/>
              </w:rPr>
              <w:t>ներ</w:t>
            </w:r>
            <w:r>
              <w:rPr>
                <w:rFonts w:ascii="GHEA Grapalat" w:hAnsi="GHEA Grapalat"/>
                <w:bCs/>
                <w:iCs/>
                <w:sz w:val="24"/>
                <w:szCs w:val="20"/>
                <w:lang w:val="hy-AM"/>
              </w:rPr>
              <w:t xml:space="preserve">ի ստեղծման </w:t>
            </w:r>
            <w:r w:rsidR="00E258B6">
              <w:rPr>
                <w:rFonts w:ascii="GHEA Grapalat" w:hAnsi="GHEA Grapalat"/>
                <w:bCs/>
                <w:iCs/>
                <w:sz w:val="24"/>
                <w:szCs w:val="20"/>
                <w:lang w:val="hy-AM"/>
              </w:rPr>
              <w:t>համար պայմաններ</w:t>
            </w:r>
            <w:r w:rsidR="00324D58">
              <w:rPr>
                <w:rFonts w:ascii="GHEA Grapalat" w:hAnsi="GHEA Grapalat"/>
                <w:bCs/>
                <w:iCs/>
                <w:sz w:val="24"/>
                <w:szCs w:val="20"/>
                <w:lang w:val="hy-AM"/>
              </w:rPr>
              <w:t>ի ապահովմամբ</w:t>
            </w:r>
            <w:r>
              <w:rPr>
                <w:rFonts w:ascii="GHEA Grapalat" w:hAnsi="GHEA Grapalat"/>
                <w:bCs/>
                <w:iCs/>
                <w:sz w:val="24"/>
                <w:szCs w:val="20"/>
                <w:lang w:val="hy-AM"/>
              </w:rPr>
              <w:t>։</w:t>
            </w:r>
          </w:p>
        </w:tc>
      </w:tr>
      <w:tr w:rsidR="0052768A" w:rsidRPr="00F57F24" w:rsidTr="00300C9D">
        <w:trPr>
          <w:trHeight w:val="2780"/>
        </w:trPr>
        <w:tc>
          <w:tcPr>
            <w:tcW w:w="8185" w:type="dxa"/>
          </w:tcPr>
          <w:p w:rsidR="00357896" w:rsidRPr="0052768A" w:rsidRDefault="00357896" w:rsidP="00357896">
            <w:pPr>
              <w:shd w:val="clear" w:color="auto" w:fill="FFFFFF"/>
              <w:tabs>
                <w:tab w:val="num" w:pos="567"/>
                <w:tab w:val="left" w:pos="851"/>
              </w:tabs>
              <w:spacing w:line="360" w:lineRule="auto"/>
              <w:jc w:val="both"/>
              <w:rPr>
                <w:rFonts w:ascii="GHEA Grapalat" w:hAnsi="GHEA Grapalat"/>
                <w:bCs/>
                <w:iCs/>
                <w:sz w:val="24"/>
                <w:szCs w:val="20"/>
                <w:lang w:val="af-ZA"/>
              </w:rPr>
            </w:pPr>
            <w:r w:rsidRPr="0052768A">
              <w:rPr>
                <w:rFonts w:ascii="GHEA Grapalat" w:hAnsi="GHEA Grapalat"/>
                <w:bCs/>
                <w:iCs/>
                <w:sz w:val="24"/>
                <w:szCs w:val="20"/>
                <w:lang w:val="af-ZA"/>
              </w:rPr>
              <w:lastRenderedPageBreak/>
              <w:t xml:space="preserve">6) Ծրագրի 21-րդ կետի 1-ին և 2-րդ ենթակետերի համաձայն՝ Ծրագրի իրականացման ֆինանսավորման աղբյուրը ՀՀ պետական բյուջեն է, 2022 թվականին ծրագրի իրականացման համար գնահատված արժեքը կկազմի 719.5 մլն դրամ: </w:t>
            </w:r>
          </w:p>
          <w:p w:rsidR="00357896" w:rsidRPr="0052768A" w:rsidRDefault="00357896" w:rsidP="00357896">
            <w:pPr>
              <w:shd w:val="clear" w:color="auto" w:fill="FFFFFF"/>
              <w:tabs>
                <w:tab w:val="num" w:pos="567"/>
                <w:tab w:val="left" w:pos="851"/>
              </w:tabs>
              <w:spacing w:line="360" w:lineRule="auto"/>
              <w:jc w:val="both"/>
              <w:rPr>
                <w:rFonts w:ascii="GHEA Grapalat" w:hAnsi="GHEA Grapalat"/>
                <w:bCs/>
                <w:iCs/>
                <w:sz w:val="24"/>
                <w:szCs w:val="20"/>
                <w:lang w:val="af-ZA"/>
              </w:rPr>
            </w:pPr>
            <w:r w:rsidRPr="0052768A">
              <w:rPr>
                <w:rFonts w:ascii="GHEA Grapalat" w:hAnsi="GHEA Grapalat"/>
                <w:bCs/>
                <w:iCs/>
                <w:sz w:val="24"/>
                <w:szCs w:val="20"/>
                <w:lang w:val="af-ZA"/>
              </w:rPr>
              <w:tab/>
              <w:t xml:space="preserve">Նախագիծ 2-ի հիմնավորման մեջ նշվում է, որ 719.5 մլն դրամի հաշվարկ-հիմնավորումը ներկայացվել է 2022-2024 թվականների միջնաժամկետ ծախսային ծրագրի և 2022 թվականի բյուջետային ֆինանսական հայտի շրջանակում, որից 597.6 մլն դրամը կուղղվի նախորդ տարիներին ձեռքբերված գյուղատնտեսական տեխնիկայի լիզինգի տոկոսադրույքի սուբսիդավորմանը, իսկ 121.9 մլն դրամը՝ 2022 թվականին կանխատեսվող շուրջ 1.4 մլրդ դրամ արժեքով գյուղատնտեսական տեխնիկայի լիզինգի տոկոսադրույքի սուբսիդավորմանը: Այդ կապակցությամբ հարկ է նշել, որ ՀՀ էկոնոմիկայի նախարարության 04.10.2021թ. N 01/14195-21 գրության </w:t>
            </w:r>
            <w:r w:rsidRPr="0052768A">
              <w:rPr>
                <w:rFonts w:ascii="GHEA Grapalat" w:hAnsi="GHEA Grapalat"/>
                <w:bCs/>
                <w:iCs/>
                <w:sz w:val="24"/>
                <w:szCs w:val="20"/>
                <w:lang w:val="af-ZA"/>
              </w:rPr>
              <w:lastRenderedPageBreak/>
              <w:t>շրջանակներում ներկայացված վարկային հաշվիչի համաձայն՝ Ծրագրի գծով 2021 թվականի չմարած պարտավորությունների չափը կազմում էր 234.8 մլն դրամ, մինչդեռ 07.12.2021թ. N 01/17868-2021 գրությամբ ներկայացված աղյուսակի համաձայն՝ տվյալ պարտավորության չափը կազմում է 138.3 մլն դրամ, ուստի ենթադրաբար նախորդ տարիներին ձեռքբերված գյուղատնտեսական տեխնիկայի լիզինգի տոկոսադրույքի սուբսիդավորման համար 2022թ. անհրաժեշտ գումարի չափը նույնպես պետք նվազած լինի:</w:t>
            </w:r>
          </w:p>
          <w:p w:rsidR="00357896" w:rsidRPr="0052768A" w:rsidRDefault="00357896" w:rsidP="00357896">
            <w:pPr>
              <w:shd w:val="clear" w:color="auto" w:fill="FFFFFF"/>
              <w:tabs>
                <w:tab w:val="num" w:pos="567"/>
                <w:tab w:val="left" w:pos="851"/>
              </w:tabs>
              <w:spacing w:line="360" w:lineRule="auto"/>
              <w:jc w:val="both"/>
              <w:rPr>
                <w:rFonts w:ascii="GHEA Grapalat" w:hAnsi="GHEA Grapalat"/>
                <w:bCs/>
                <w:iCs/>
                <w:sz w:val="24"/>
                <w:szCs w:val="20"/>
                <w:lang w:val="af-ZA"/>
              </w:rPr>
            </w:pPr>
            <w:r w:rsidRPr="0052768A">
              <w:rPr>
                <w:rFonts w:ascii="GHEA Grapalat" w:hAnsi="GHEA Grapalat"/>
                <w:bCs/>
                <w:iCs/>
                <w:sz w:val="24"/>
                <w:szCs w:val="20"/>
                <w:lang w:val="af-ZA"/>
              </w:rPr>
              <w:tab/>
              <w:t xml:space="preserve">Այդ կապակցությամբ առաջարկում ենք Նախագծին կից ներկայացնել նախորդ տարիներին ձեռքբերված գյուղատնտեսական տեխնիկայի լիզինգի տոկոսադրույքների սուբսիդավորման մասով համապատասխան վարկային հաշվիչներ՝ դեկտեմբեր ամսվա որևէ օրվա դրությամբ վարկային պորտֆելների փաստացի մնացորդներով հաշվարկված: Հարկ է նշել նաև, որ ՀՀ 2022թ. պետական բյուջեի նախագծով Ծրագրի իրականացման համար նախատեսվել է 524.7 մլն դրամ: Միաժամանակ 21-րդ կետի 2-րդ ենթակետի 2-րդ նախադասությունը առաջարկում ենք խմբագրել հետևյալ բովանդակությամբ՝ Ծրագրի հետագա տարիների ֆինանսավորումը կիրականացվի յուրաքանչյուր տարվա բյուջետային գործընթացի շրջանակներում իրականացված քննարկումների արդյունքում՝ </w:t>
            </w:r>
            <w:r w:rsidRPr="0052768A">
              <w:rPr>
                <w:rFonts w:ascii="GHEA Grapalat" w:hAnsi="GHEA Grapalat"/>
                <w:bCs/>
                <w:iCs/>
                <w:sz w:val="24"/>
                <w:szCs w:val="20"/>
                <w:lang w:val="af-ZA"/>
              </w:rPr>
              <w:lastRenderedPageBreak/>
              <w:t>առաջիկա տարվա պետական բյուջեով ծրագրի համար նախատեսված գումարի շրջանակներում:</w:t>
            </w:r>
          </w:p>
        </w:tc>
        <w:tc>
          <w:tcPr>
            <w:tcW w:w="6855" w:type="dxa"/>
            <w:gridSpan w:val="2"/>
          </w:tcPr>
          <w:p w:rsidR="00655D9C" w:rsidRPr="0052768A" w:rsidRDefault="00296C1E" w:rsidP="00655D9C">
            <w:pPr>
              <w:spacing w:line="360" w:lineRule="auto"/>
              <w:ind w:firstLine="375"/>
              <w:jc w:val="center"/>
              <w:rPr>
                <w:rFonts w:ascii="GHEA Grapalat" w:hAnsi="GHEA Grapalat"/>
                <w:b/>
                <w:sz w:val="24"/>
                <w:szCs w:val="24"/>
                <w:lang w:val="hy-AM"/>
              </w:rPr>
            </w:pPr>
            <w:r w:rsidRPr="0052768A">
              <w:rPr>
                <w:rFonts w:ascii="GHEA Grapalat" w:hAnsi="GHEA Grapalat"/>
                <w:b/>
                <w:sz w:val="24"/>
                <w:szCs w:val="24"/>
                <w:lang w:val="hy-AM"/>
              </w:rPr>
              <w:lastRenderedPageBreak/>
              <w:t>Մասամբ է ընդունվել</w:t>
            </w:r>
          </w:p>
          <w:p w:rsidR="00655D9C" w:rsidRPr="0052768A" w:rsidRDefault="00296C1E" w:rsidP="0052768A">
            <w:pPr>
              <w:spacing w:line="360" w:lineRule="auto"/>
              <w:ind w:firstLine="178"/>
              <w:jc w:val="both"/>
              <w:rPr>
                <w:rFonts w:ascii="GHEA Grapalat" w:hAnsi="GHEA Grapalat"/>
                <w:sz w:val="24"/>
                <w:szCs w:val="24"/>
                <w:lang w:val="hy-AM"/>
              </w:rPr>
            </w:pPr>
            <w:r w:rsidRPr="0052768A">
              <w:rPr>
                <w:rFonts w:ascii="GHEA Grapalat" w:hAnsi="GHEA Grapalat"/>
                <w:sz w:val="24"/>
                <w:szCs w:val="24"/>
                <w:lang w:val="hy-AM"/>
              </w:rPr>
              <w:t xml:space="preserve">Էկոնոմիկայի նախարարությունից </w:t>
            </w:r>
            <w:r w:rsidRPr="0052768A">
              <w:rPr>
                <w:rFonts w:ascii="GHEA Grapalat" w:hAnsi="GHEA Grapalat"/>
                <w:bCs/>
                <w:iCs/>
                <w:sz w:val="24"/>
                <w:szCs w:val="20"/>
                <w:lang w:val="af-ZA"/>
              </w:rPr>
              <w:t xml:space="preserve">07.12.2021թ. N 01/17868-2021 </w:t>
            </w:r>
            <w:r w:rsidRPr="0052768A">
              <w:rPr>
                <w:rFonts w:ascii="GHEA Grapalat" w:hAnsi="GHEA Grapalat"/>
                <w:sz w:val="24"/>
                <w:szCs w:val="24"/>
                <w:lang w:val="hy-AM"/>
              </w:rPr>
              <w:t xml:space="preserve">գրությամբ ներկայացված աղյուսակի հետ կապված հարկ է նշել, որ ծրագրի շրջանակում 2021 թվականի չմարված պարտավորությունների չափը ենթակա է փոփոխության, հաշվի առնելով ԳՖԿ-ի կողմից ներկայացված պաշտոնական գրությունը՝ նախորդ ամիսների և նոյեմբեր ամսվա պահանջները բավարարելու </w:t>
            </w:r>
            <w:r w:rsidR="00655D9C" w:rsidRPr="0052768A">
              <w:rPr>
                <w:rFonts w:ascii="GHEA Grapalat" w:hAnsi="GHEA Grapalat"/>
                <w:sz w:val="24"/>
                <w:szCs w:val="24"/>
                <w:lang w:val="hy-AM"/>
              </w:rPr>
              <w:t xml:space="preserve">նպատակով անհրաժեշտ գումարի չափի վերաբերյալ։ </w:t>
            </w:r>
            <w:r w:rsidR="0052768A" w:rsidRPr="0052768A">
              <w:rPr>
                <w:rFonts w:ascii="GHEA Grapalat" w:hAnsi="GHEA Grapalat"/>
                <w:sz w:val="24"/>
                <w:szCs w:val="24"/>
                <w:lang w:val="hy-AM"/>
              </w:rPr>
              <w:t>Վերոնշյալ</w:t>
            </w:r>
            <w:r w:rsidR="00655D9C" w:rsidRPr="0052768A">
              <w:rPr>
                <w:rFonts w:ascii="GHEA Grapalat" w:hAnsi="GHEA Grapalat"/>
                <w:sz w:val="24"/>
                <w:szCs w:val="24"/>
                <w:lang w:val="hy-AM"/>
              </w:rPr>
              <w:t xml:space="preserve"> գումարի չափը իր մեջ չի ներառում դեկտեմբեր ամսվա պարտավորությունների մարման համար անհրաժեշտ գումարի չափը։</w:t>
            </w:r>
          </w:p>
          <w:p w:rsidR="00655D9C" w:rsidRPr="0052768A" w:rsidRDefault="00655D9C" w:rsidP="0052768A">
            <w:pPr>
              <w:spacing w:line="360" w:lineRule="auto"/>
              <w:ind w:firstLine="178"/>
              <w:jc w:val="both"/>
              <w:rPr>
                <w:rFonts w:ascii="GHEA Grapalat" w:hAnsi="GHEA Grapalat"/>
                <w:sz w:val="24"/>
                <w:szCs w:val="24"/>
                <w:lang w:val="hy-AM"/>
              </w:rPr>
            </w:pPr>
            <w:r w:rsidRPr="0052768A">
              <w:rPr>
                <w:rFonts w:ascii="GHEA Grapalat" w:hAnsi="GHEA Grapalat"/>
                <w:sz w:val="24"/>
                <w:szCs w:val="24"/>
                <w:lang w:val="hy-AM"/>
              </w:rPr>
              <w:t>Միաժամանակ հայտնում ենք,</w:t>
            </w:r>
            <w:r w:rsidR="002E4785">
              <w:rPr>
                <w:rFonts w:ascii="GHEA Grapalat" w:hAnsi="GHEA Grapalat"/>
                <w:sz w:val="24"/>
                <w:szCs w:val="24"/>
                <w:lang w:val="hy-AM"/>
              </w:rPr>
              <w:t xml:space="preserve"> </w:t>
            </w:r>
            <w:r w:rsidR="00570B18">
              <w:rPr>
                <w:rFonts w:ascii="GHEA Grapalat" w:hAnsi="GHEA Grapalat"/>
                <w:sz w:val="24"/>
                <w:szCs w:val="24"/>
                <w:lang w:val="hy-AM"/>
              </w:rPr>
              <w:t xml:space="preserve">որ </w:t>
            </w:r>
            <w:r w:rsidR="002E4785">
              <w:rPr>
                <w:rFonts w:ascii="GHEA Grapalat" w:hAnsi="GHEA Grapalat"/>
                <w:sz w:val="24"/>
                <w:szCs w:val="24"/>
                <w:lang w:val="hy-AM"/>
              </w:rPr>
              <w:t>ճշգրտված</w:t>
            </w:r>
            <w:r w:rsidRPr="0052768A">
              <w:rPr>
                <w:rFonts w:ascii="GHEA Grapalat" w:hAnsi="GHEA Grapalat"/>
                <w:sz w:val="24"/>
                <w:szCs w:val="24"/>
                <w:lang w:val="hy-AM"/>
              </w:rPr>
              <w:t xml:space="preserve"> </w:t>
            </w:r>
            <w:r w:rsidR="002E4785">
              <w:rPr>
                <w:rFonts w:ascii="GHEA Grapalat" w:hAnsi="GHEA Grapalat"/>
                <w:sz w:val="24"/>
                <w:szCs w:val="24"/>
                <w:lang w:val="hy-AM"/>
              </w:rPr>
              <w:t xml:space="preserve">մնացորդների հաշվով հաշվարկներ կատարվել են </w:t>
            </w:r>
            <w:r w:rsidR="002E4785">
              <w:rPr>
                <w:rFonts w:ascii="GHEA Grapalat" w:hAnsi="GHEA Grapalat"/>
                <w:sz w:val="24"/>
                <w:szCs w:val="24"/>
                <w:lang w:val="hy-AM"/>
              </w:rPr>
              <w:lastRenderedPageBreak/>
              <w:t xml:space="preserve">սեպտեմբերի 1-ի դրությամբ, որի հիման վրա կազմվել և ներկայացվել է բյուջետային </w:t>
            </w:r>
            <w:r w:rsidR="004176FE">
              <w:rPr>
                <w:rFonts w:ascii="GHEA Grapalat" w:hAnsi="GHEA Grapalat"/>
                <w:sz w:val="24"/>
                <w:szCs w:val="24"/>
                <w:lang w:val="hy-AM"/>
              </w:rPr>
              <w:t>հայտ</w:t>
            </w:r>
            <w:r w:rsidR="002E4785">
              <w:rPr>
                <w:rFonts w:ascii="GHEA Grapalat" w:hAnsi="GHEA Grapalat"/>
                <w:sz w:val="24"/>
                <w:szCs w:val="24"/>
                <w:lang w:val="hy-AM"/>
              </w:rPr>
              <w:t>ը</w:t>
            </w:r>
            <w:r w:rsidR="00570B18">
              <w:rPr>
                <w:rFonts w:ascii="GHEA Grapalat" w:hAnsi="GHEA Grapalat"/>
                <w:sz w:val="24"/>
                <w:szCs w:val="24"/>
                <w:lang w:val="hy-AM"/>
              </w:rPr>
              <w:t>՝ 719.5 մլն դրամ գումարի չափով,</w:t>
            </w:r>
            <w:r w:rsidR="002E4785">
              <w:rPr>
                <w:rFonts w:ascii="GHEA Grapalat" w:hAnsi="GHEA Grapalat"/>
                <w:sz w:val="24"/>
                <w:szCs w:val="24"/>
                <w:lang w:val="hy-AM"/>
              </w:rPr>
              <w:t xml:space="preserve"> ընդ որում</w:t>
            </w:r>
            <w:r w:rsidR="00570B18">
              <w:rPr>
                <w:rFonts w:ascii="GHEA Grapalat" w:hAnsi="GHEA Grapalat"/>
                <w:sz w:val="24"/>
                <w:szCs w:val="24"/>
                <w:lang w:val="hy-AM"/>
              </w:rPr>
              <w:t>՝</w:t>
            </w:r>
            <w:r w:rsidR="002E4785">
              <w:rPr>
                <w:rFonts w:ascii="GHEA Grapalat" w:hAnsi="GHEA Grapalat"/>
                <w:sz w:val="24"/>
                <w:szCs w:val="24"/>
                <w:lang w:val="hy-AM"/>
              </w:rPr>
              <w:t xml:space="preserve"> 2022 թվականի ծրագրի իրականացման համար</w:t>
            </w:r>
            <w:r w:rsidR="00570B18">
              <w:rPr>
                <w:rFonts w:ascii="GHEA Grapalat" w:hAnsi="GHEA Grapalat"/>
                <w:sz w:val="24"/>
                <w:szCs w:val="24"/>
                <w:lang w:val="hy-AM"/>
              </w:rPr>
              <w:t xml:space="preserve"> ՀՀ պետական բյուջեով</w:t>
            </w:r>
            <w:r w:rsidR="002E4785">
              <w:rPr>
                <w:rFonts w:ascii="GHEA Grapalat" w:hAnsi="GHEA Grapalat"/>
                <w:sz w:val="24"/>
                <w:szCs w:val="24"/>
                <w:lang w:val="hy-AM"/>
              </w:rPr>
              <w:t xml:space="preserve"> հաստատվել է 524.7 մլն դրամ։</w:t>
            </w:r>
          </w:p>
          <w:p w:rsidR="00357896" w:rsidRPr="0052768A" w:rsidRDefault="00655D9C" w:rsidP="00B941C3">
            <w:pPr>
              <w:spacing w:line="360" w:lineRule="auto"/>
              <w:jc w:val="center"/>
              <w:rPr>
                <w:rFonts w:ascii="GHEA Grapalat" w:hAnsi="GHEA Grapalat"/>
                <w:b/>
                <w:sz w:val="24"/>
                <w:szCs w:val="24"/>
                <w:lang w:val="hy-AM"/>
              </w:rPr>
            </w:pPr>
            <w:r w:rsidRPr="0052768A">
              <w:rPr>
                <w:rFonts w:ascii="GHEA Grapalat" w:hAnsi="GHEA Grapalat"/>
                <w:b/>
                <w:sz w:val="24"/>
                <w:szCs w:val="24"/>
                <w:lang w:val="hy-AM"/>
              </w:rPr>
              <w:t xml:space="preserve"> </w:t>
            </w:r>
          </w:p>
        </w:tc>
      </w:tr>
      <w:tr w:rsidR="0052768A" w:rsidRPr="00F57F24" w:rsidTr="008C1C66">
        <w:trPr>
          <w:trHeight w:val="840"/>
        </w:trPr>
        <w:tc>
          <w:tcPr>
            <w:tcW w:w="8185" w:type="dxa"/>
          </w:tcPr>
          <w:p w:rsidR="00357896" w:rsidRPr="0052768A" w:rsidRDefault="00357896" w:rsidP="00357896">
            <w:pPr>
              <w:shd w:val="clear" w:color="auto" w:fill="FFFFFF"/>
              <w:tabs>
                <w:tab w:val="num" w:pos="567"/>
                <w:tab w:val="left" w:pos="851"/>
              </w:tabs>
              <w:spacing w:line="360" w:lineRule="auto"/>
              <w:jc w:val="both"/>
              <w:rPr>
                <w:rFonts w:ascii="GHEA Grapalat" w:hAnsi="GHEA Grapalat"/>
                <w:bCs/>
                <w:iCs/>
                <w:sz w:val="24"/>
                <w:szCs w:val="20"/>
                <w:lang w:val="af-ZA"/>
              </w:rPr>
            </w:pPr>
            <w:r w:rsidRPr="0052768A">
              <w:rPr>
                <w:rFonts w:ascii="GHEA Grapalat" w:hAnsi="GHEA Grapalat"/>
                <w:bCs/>
                <w:iCs/>
                <w:sz w:val="24"/>
                <w:szCs w:val="20"/>
                <w:lang w:val="af-ZA"/>
              </w:rPr>
              <w:lastRenderedPageBreak/>
              <w:t>7) Առաջարկում ենք Ծրագրի 21-րդ կետի 4-րդ ենթակետը և Աղյուսակ 2-ը հանել և դրանք շարադրել հիմնավորման մեջ՝ հաշվի առնելով, որ դրանց կոնտեքստն  առավելապես տեղեկատվական է (աղյուսակում բերվում են 2017թ.-ից իրականացվող ծրագրի ամփոփ արդյունքները): Միաժամանակ, որպես ծրագրի ֆինանսական գնահատականների հիմնավորում, անհրաժեշտ է ներկայացնել դրանց հիմքում առկա ամփոփ հաշվարկները՝ լիզինգի տրամադրման և պետական աջակցության առաջարկվող պայմաններով:</w:t>
            </w:r>
          </w:p>
        </w:tc>
        <w:tc>
          <w:tcPr>
            <w:tcW w:w="6855" w:type="dxa"/>
            <w:gridSpan w:val="2"/>
          </w:tcPr>
          <w:p w:rsidR="00357896" w:rsidRPr="0052768A" w:rsidRDefault="00820530" w:rsidP="00B941C3">
            <w:pPr>
              <w:spacing w:line="360" w:lineRule="auto"/>
              <w:jc w:val="center"/>
              <w:rPr>
                <w:rFonts w:ascii="GHEA Grapalat" w:hAnsi="GHEA Grapalat"/>
                <w:b/>
                <w:sz w:val="24"/>
                <w:szCs w:val="24"/>
                <w:lang w:val="hy-AM"/>
              </w:rPr>
            </w:pPr>
            <w:r w:rsidRPr="0052768A">
              <w:rPr>
                <w:rFonts w:ascii="GHEA Grapalat" w:hAnsi="GHEA Grapalat"/>
                <w:b/>
                <w:sz w:val="24"/>
                <w:szCs w:val="24"/>
                <w:lang w:val="hy-AM"/>
              </w:rPr>
              <w:t>Չի ընդունվել</w:t>
            </w:r>
          </w:p>
          <w:p w:rsidR="00820530" w:rsidRPr="0052768A" w:rsidRDefault="00820530" w:rsidP="00570B18">
            <w:pPr>
              <w:spacing w:line="360" w:lineRule="auto"/>
              <w:ind w:firstLine="180"/>
              <w:jc w:val="both"/>
              <w:rPr>
                <w:rFonts w:ascii="GHEA Grapalat" w:hAnsi="GHEA Grapalat"/>
                <w:sz w:val="24"/>
                <w:szCs w:val="24"/>
                <w:lang w:val="hy-AM"/>
              </w:rPr>
            </w:pPr>
            <w:r w:rsidRPr="0052768A">
              <w:rPr>
                <w:rFonts w:ascii="GHEA Grapalat" w:hAnsi="GHEA Grapalat"/>
                <w:sz w:val="24"/>
                <w:szCs w:val="24"/>
                <w:lang w:val="hy-AM"/>
              </w:rPr>
              <w:t>Աղյուսակում ներկայացված տվյալները չեն կրում տեղեկատվական բնույթ, այլ դրանք հիմք են ծառայել ամփոփ հաշվարկների իրականացման համար։</w:t>
            </w:r>
          </w:p>
        </w:tc>
      </w:tr>
      <w:tr w:rsidR="0052768A" w:rsidRPr="00F57F24" w:rsidTr="005F309D">
        <w:trPr>
          <w:trHeight w:val="9330"/>
        </w:trPr>
        <w:tc>
          <w:tcPr>
            <w:tcW w:w="8185" w:type="dxa"/>
          </w:tcPr>
          <w:p w:rsidR="00357896" w:rsidRPr="0052768A" w:rsidRDefault="00357896" w:rsidP="00357896">
            <w:pPr>
              <w:shd w:val="clear" w:color="auto" w:fill="FFFFFF"/>
              <w:tabs>
                <w:tab w:val="num" w:pos="567"/>
                <w:tab w:val="left" w:pos="851"/>
              </w:tabs>
              <w:spacing w:line="360" w:lineRule="auto"/>
              <w:jc w:val="both"/>
              <w:rPr>
                <w:rFonts w:ascii="GHEA Grapalat" w:hAnsi="GHEA Grapalat"/>
                <w:bCs/>
                <w:iCs/>
                <w:sz w:val="24"/>
                <w:szCs w:val="20"/>
                <w:lang w:val="af-ZA"/>
              </w:rPr>
            </w:pPr>
            <w:r w:rsidRPr="0052768A">
              <w:rPr>
                <w:rFonts w:ascii="GHEA Grapalat" w:hAnsi="GHEA Grapalat"/>
                <w:bCs/>
                <w:iCs/>
                <w:sz w:val="24"/>
                <w:szCs w:val="20"/>
                <w:lang w:val="af-ZA"/>
              </w:rPr>
              <w:lastRenderedPageBreak/>
              <w:t>8) Առաջարկում ենք, Ծրագրի մոնիթորինգի իրականացման շրջանակում, ֆինանսական կառույցների հետ մեկտեղ դիտարկել նաև ՀՀ էկոնոմիկայի նախարարությանն ընդգրկելու հնարավորությունը:</w:t>
            </w:r>
          </w:p>
          <w:p w:rsidR="00357896" w:rsidRPr="0052768A" w:rsidRDefault="00357896" w:rsidP="00357896">
            <w:pPr>
              <w:shd w:val="clear" w:color="auto" w:fill="FFFFFF"/>
              <w:tabs>
                <w:tab w:val="num" w:pos="567"/>
                <w:tab w:val="left" w:pos="851"/>
              </w:tabs>
              <w:spacing w:line="360" w:lineRule="auto"/>
              <w:jc w:val="both"/>
              <w:rPr>
                <w:rFonts w:ascii="GHEA Grapalat" w:hAnsi="GHEA Grapalat"/>
                <w:bCs/>
                <w:iCs/>
                <w:sz w:val="24"/>
                <w:szCs w:val="20"/>
                <w:lang w:val="af-ZA"/>
              </w:rPr>
            </w:pPr>
            <w:r w:rsidRPr="0052768A">
              <w:rPr>
                <w:rFonts w:ascii="GHEA Grapalat" w:hAnsi="GHEA Grapalat"/>
                <w:bCs/>
                <w:iCs/>
                <w:sz w:val="24"/>
                <w:szCs w:val="20"/>
                <w:lang w:val="af-ZA"/>
              </w:rPr>
              <w:t>Միաժամանակ հաշվի առնելով այն հանագամանքը, որ Ծրագիրը կարող է հանգեցնել պետական բյուջեի պարտավորությունների անկառավարելի աճի առաջարկում ենք ՀՀ կառավարության որոշումը լրացնել համապատասխան դրույթով՝ սահմանափակելով ծրագրի գործողության ժամկետը և ծրագրի ընթացքում ստանձնվելիք պարտավորությունների առավելագույն սահմանաչափը:</w:t>
            </w:r>
          </w:p>
        </w:tc>
        <w:tc>
          <w:tcPr>
            <w:tcW w:w="6855" w:type="dxa"/>
            <w:gridSpan w:val="2"/>
          </w:tcPr>
          <w:p w:rsidR="008B5D7F" w:rsidRPr="0052768A" w:rsidRDefault="008B5D7F" w:rsidP="008B5D7F">
            <w:pPr>
              <w:spacing w:line="360" w:lineRule="auto"/>
              <w:jc w:val="center"/>
              <w:rPr>
                <w:rFonts w:ascii="GHEA Grapalat" w:hAnsi="GHEA Grapalat"/>
                <w:b/>
                <w:sz w:val="24"/>
                <w:szCs w:val="24"/>
                <w:lang w:val="hy-AM"/>
              </w:rPr>
            </w:pPr>
            <w:r w:rsidRPr="0052768A">
              <w:rPr>
                <w:rFonts w:ascii="GHEA Grapalat" w:hAnsi="GHEA Grapalat"/>
                <w:b/>
                <w:sz w:val="24"/>
                <w:szCs w:val="24"/>
                <w:lang w:val="hy-AM"/>
              </w:rPr>
              <w:t>Չի ընդունվել</w:t>
            </w:r>
          </w:p>
          <w:p w:rsidR="00357896" w:rsidRDefault="008B5D7F" w:rsidP="00570B18">
            <w:pPr>
              <w:spacing w:line="360" w:lineRule="auto"/>
              <w:ind w:firstLine="180"/>
              <w:jc w:val="both"/>
              <w:rPr>
                <w:rFonts w:ascii="GHEA Grapalat" w:hAnsi="GHEA Grapalat"/>
                <w:sz w:val="24"/>
                <w:szCs w:val="24"/>
                <w:lang w:val="hy-AM"/>
              </w:rPr>
            </w:pPr>
            <w:r w:rsidRPr="0052768A">
              <w:rPr>
                <w:rFonts w:ascii="GHEA Grapalat" w:hAnsi="GHEA Grapalat"/>
                <w:bCs/>
                <w:iCs/>
                <w:sz w:val="24"/>
                <w:szCs w:val="20"/>
                <w:lang w:val="hy-AM"/>
              </w:rPr>
              <w:t>Հաշվի առնելով, որ լիզինգի պայմանագրի գործողության ամբողջ ընթացքում գույքը համարվում է ֆինանսական կառույցի սեփականությունը, և վերջինս</w:t>
            </w:r>
            <w:r w:rsidR="00820530" w:rsidRPr="0052768A">
              <w:rPr>
                <w:rFonts w:ascii="GHEA Grapalat" w:hAnsi="GHEA Grapalat"/>
                <w:bCs/>
                <w:iCs/>
                <w:sz w:val="24"/>
                <w:szCs w:val="20"/>
                <w:lang w:val="hy-AM"/>
              </w:rPr>
              <w:t xml:space="preserve"> էլ</w:t>
            </w:r>
            <w:r w:rsidRPr="0052768A">
              <w:rPr>
                <w:rFonts w:ascii="GHEA Grapalat" w:hAnsi="GHEA Grapalat"/>
                <w:bCs/>
                <w:iCs/>
                <w:sz w:val="24"/>
                <w:szCs w:val="20"/>
                <w:lang w:val="hy-AM"/>
              </w:rPr>
              <w:t xml:space="preserve"> կրում է գույքի հետ կապված ռիսկերը, հետևաբար մոնիթորինգի իրականացման գործառույթը դրվել է ֆինանսական կառույցի վրա, որն էլ ամսական պարբերականությամբ հաշվետվություն է ներկայացնում </w:t>
            </w:r>
            <w:r w:rsidR="00820530" w:rsidRPr="0052768A">
              <w:rPr>
                <w:rFonts w:ascii="GHEA Grapalat" w:hAnsi="GHEA Grapalat"/>
                <w:bCs/>
                <w:iCs/>
                <w:sz w:val="24"/>
                <w:szCs w:val="20"/>
                <w:lang w:val="hy-AM"/>
              </w:rPr>
              <w:t>նախարարության</w:t>
            </w:r>
            <w:r w:rsidRPr="0052768A">
              <w:rPr>
                <w:rFonts w:ascii="GHEA Grapalat" w:hAnsi="GHEA Grapalat"/>
                <w:bCs/>
                <w:iCs/>
                <w:sz w:val="24"/>
                <w:szCs w:val="20"/>
                <w:lang w:val="hy-AM"/>
              </w:rPr>
              <w:t>ը։ Ծրագրի գործողության</w:t>
            </w:r>
            <w:r w:rsidRPr="0052768A">
              <w:rPr>
                <w:rFonts w:ascii="GHEA Grapalat" w:hAnsi="GHEA Grapalat"/>
                <w:bCs/>
                <w:iCs/>
                <w:sz w:val="24"/>
                <w:szCs w:val="20"/>
                <w:lang w:val="af-ZA"/>
              </w:rPr>
              <w:t xml:space="preserve"> ժամկետ</w:t>
            </w:r>
            <w:r w:rsidR="00AD3DBF" w:rsidRPr="0052768A">
              <w:rPr>
                <w:rFonts w:ascii="GHEA Grapalat" w:hAnsi="GHEA Grapalat"/>
                <w:bCs/>
                <w:iCs/>
                <w:sz w:val="24"/>
                <w:szCs w:val="20"/>
                <w:lang w:val="hy-AM"/>
              </w:rPr>
              <w:t>ի</w:t>
            </w:r>
            <w:r w:rsidRPr="0052768A">
              <w:rPr>
                <w:rFonts w:ascii="GHEA Grapalat" w:hAnsi="GHEA Grapalat"/>
                <w:bCs/>
                <w:iCs/>
                <w:sz w:val="24"/>
                <w:szCs w:val="20"/>
                <w:lang w:val="af-ZA"/>
              </w:rPr>
              <w:t xml:space="preserve"> և ծրագրի ընթացքում </w:t>
            </w:r>
            <w:r w:rsidR="00AD3DBF" w:rsidRPr="0052768A">
              <w:rPr>
                <w:rFonts w:ascii="GHEA Grapalat" w:hAnsi="GHEA Grapalat"/>
                <w:bCs/>
                <w:iCs/>
                <w:sz w:val="24"/>
                <w:szCs w:val="20"/>
                <w:lang w:val="af-ZA"/>
              </w:rPr>
              <w:t>ստանձն</w:t>
            </w:r>
            <w:r w:rsidRPr="0052768A">
              <w:rPr>
                <w:rFonts w:ascii="GHEA Grapalat" w:hAnsi="GHEA Grapalat"/>
                <w:bCs/>
                <w:iCs/>
                <w:sz w:val="24"/>
                <w:szCs w:val="20"/>
                <w:lang w:val="af-ZA"/>
              </w:rPr>
              <w:t>ելիք պարտավորությունների</w:t>
            </w:r>
            <w:r w:rsidRPr="0052768A">
              <w:rPr>
                <w:rFonts w:ascii="GHEA Grapalat" w:hAnsi="GHEA Grapalat"/>
                <w:bCs/>
                <w:iCs/>
                <w:sz w:val="24"/>
                <w:szCs w:val="20"/>
                <w:lang w:val="hy-AM"/>
              </w:rPr>
              <w:t xml:space="preserve"> հետ կապված հայտնում ենք, որ ՀՀ կառավարության 2021-2026 թվականների ծրագրով նպատակ է դրվել </w:t>
            </w:r>
            <w:r w:rsidRPr="0052768A">
              <w:rPr>
                <w:rFonts w:ascii="GHEA Grapalat" w:hAnsi="GHEA Grapalat"/>
                <w:sz w:val="24"/>
                <w:szCs w:val="24"/>
                <w:lang w:val="hy-AM"/>
              </w:rPr>
              <w:t>շարունակել գյուղատնտեսական տեխնիկայի լիզինգի օժանդակության ծրագիրը՝ յուրաքանչյուր տարի տեխնիկայի հավաքակազմը թարմացնելով առնվազն 500 միավոր գյուղատնտեսական տեխնիկայով։</w:t>
            </w:r>
          </w:p>
          <w:p w:rsidR="00F57F24" w:rsidRDefault="00F57F24" w:rsidP="00570B18">
            <w:pPr>
              <w:spacing w:line="360" w:lineRule="auto"/>
              <w:ind w:firstLine="180"/>
              <w:jc w:val="both"/>
              <w:rPr>
                <w:rFonts w:ascii="GHEA Grapalat" w:hAnsi="GHEA Grapalat"/>
                <w:sz w:val="24"/>
                <w:szCs w:val="24"/>
                <w:lang w:val="hy-AM"/>
              </w:rPr>
            </w:pPr>
          </w:p>
          <w:p w:rsidR="00F57F24" w:rsidRDefault="00F57F24" w:rsidP="00570B18">
            <w:pPr>
              <w:spacing w:line="360" w:lineRule="auto"/>
              <w:ind w:firstLine="180"/>
              <w:jc w:val="both"/>
              <w:rPr>
                <w:rFonts w:ascii="GHEA Grapalat" w:hAnsi="GHEA Grapalat"/>
                <w:sz w:val="24"/>
                <w:szCs w:val="24"/>
                <w:lang w:val="hy-AM"/>
              </w:rPr>
            </w:pPr>
          </w:p>
          <w:p w:rsidR="00F57F24" w:rsidRDefault="00F57F24" w:rsidP="00570B18">
            <w:pPr>
              <w:spacing w:line="360" w:lineRule="auto"/>
              <w:ind w:firstLine="180"/>
              <w:jc w:val="both"/>
              <w:rPr>
                <w:rFonts w:ascii="GHEA Grapalat" w:hAnsi="GHEA Grapalat"/>
                <w:sz w:val="24"/>
                <w:szCs w:val="24"/>
                <w:lang w:val="hy-AM"/>
              </w:rPr>
            </w:pPr>
          </w:p>
          <w:p w:rsidR="00F57F24" w:rsidRPr="0052768A" w:rsidRDefault="00F57F24" w:rsidP="00570B18">
            <w:pPr>
              <w:spacing w:line="360" w:lineRule="auto"/>
              <w:ind w:firstLine="180"/>
              <w:jc w:val="both"/>
              <w:rPr>
                <w:rFonts w:ascii="GHEA Grapalat" w:hAnsi="GHEA Grapalat"/>
                <w:b/>
                <w:sz w:val="24"/>
                <w:szCs w:val="24"/>
                <w:lang w:val="hy-AM"/>
              </w:rPr>
            </w:pPr>
          </w:p>
        </w:tc>
      </w:tr>
      <w:tr w:rsidR="005F309D" w:rsidRPr="0052768A" w:rsidTr="003340A6">
        <w:trPr>
          <w:trHeight w:val="481"/>
        </w:trPr>
        <w:tc>
          <w:tcPr>
            <w:tcW w:w="11280" w:type="dxa"/>
            <w:gridSpan w:val="2"/>
            <w:vMerge w:val="restart"/>
            <w:shd w:val="clear" w:color="auto" w:fill="BFBFBF" w:themeFill="background1" w:themeFillShade="BF"/>
            <w:vAlign w:val="center"/>
          </w:tcPr>
          <w:p w:rsidR="005F309D" w:rsidRPr="0052768A" w:rsidRDefault="005F309D" w:rsidP="00F57F24">
            <w:pPr>
              <w:spacing w:line="360" w:lineRule="auto"/>
              <w:jc w:val="center"/>
              <w:rPr>
                <w:rFonts w:ascii="GHEA Grapalat" w:hAnsi="GHEA Grapalat"/>
                <w:sz w:val="24"/>
                <w:szCs w:val="24"/>
                <w:lang w:val="hy-AM"/>
              </w:rPr>
            </w:pPr>
            <w:r w:rsidRPr="005F309D">
              <w:rPr>
                <w:rFonts w:ascii="GHEA Grapalat" w:hAnsi="GHEA Grapalat"/>
                <w:sz w:val="24"/>
                <w:szCs w:val="24"/>
                <w:lang w:val="hy-AM"/>
              </w:rPr>
              <w:lastRenderedPageBreak/>
              <w:t>Վարչապետի աշխատ</w:t>
            </w:r>
            <w:r w:rsidRPr="00CF603D">
              <w:rPr>
                <w:rFonts w:ascii="GHEA Grapalat" w:hAnsi="GHEA Grapalat"/>
                <w:sz w:val="24"/>
                <w:szCs w:val="24"/>
                <w:lang w:val="hy-AM"/>
              </w:rPr>
              <w:t>ակա</w:t>
            </w:r>
            <w:r w:rsidRPr="005F309D">
              <w:rPr>
                <w:rFonts w:ascii="GHEA Grapalat" w:hAnsi="GHEA Grapalat"/>
                <w:sz w:val="24"/>
                <w:szCs w:val="24"/>
                <w:lang w:val="hy-AM"/>
              </w:rPr>
              <w:t>զմ</w:t>
            </w:r>
          </w:p>
        </w:tc>
        <w:tc>
          <w:tcPr>
            <w:tcW w:w="3760" w:type="dxa"/>
            <w:shd w:val="clear" w:color="auto" w:fill="BFBFBF" w:themeFill="background1" w:themeFillShade="BF"/>
          </w:tcPr>
          <w:p w:rsidR="005F309D" w:rsidRPr="0052768A" w:rsidRDefault="005F309D" w:rsidP="003340A6">
            <w:pPr>
              <w:tabs>
                <w:tab w:val="left" w:pos="1100"/>
              </w:tabs>
              <w:spacing w:line="360" w:lineRule="auto"/>
              <w:jc w:val="center"/>
              <w:rPr>
                <w:rFonts w:ascii="GHEA Grapalat" w:hAnsi="GHEA Grapalat"/>
                <w:sz w:val="24"/>
                <w:szCs w:val="24"/>
                <w:lang w:val="hy-AM"/>
              </w:rPr>
            </w:pPr>
            <w:r>
              <w:rPr>
                <w:rFonts w:ascii="GHEA Grapalat" w:hAnsi="GHEA Grapalat"/>
                <w:sz w:val="24"/>
                <w:szCs w:val="24"/>
              </w:rPr>
              <w:t>27</w:t>
            </w:r>
            <w:r w:rsidRPr="0052768A">
              <w:rPr>
                <w:rFonts w:ascii="GHEA Grapalat" w:hAnsi="GHEA Grapalat"/>
                <w:sz w:val="24"/>
                <w:szCs w:val="24"/>
              </w:rPr>
              <w:t>.</w:t>
            </w:r>
            <w:r w:rsidRPr="0052768A">
              <w:rPr>
                <w:rFonts w:ascii="GHEA Grapalat" w:hAnsi="GHEA Grapalat"/>
                <w:sz w:val="24"/>
                <w:szCs w:val="24"/>
                <w:lang w:val="hy-AM"/>
              </w:rPr>
              <w:t>12</w:t>
            </w:r>
            <w:r w:rsidRPr="0052768A">
              <w:rPr>
                <w:rFonts w:ascii="GHEA Grapalat" w:hAnsi="GHEA Grapalat"/>
                <w:sz w:val="24"/>
                <w:szCs w:val="24"/>
              </w:rPr>
              <w:t>.2021</w:t>
            </w:r>
            <w:r w:rsidRPr="0052768A">
              <w:rPr>
                <w:rFonts w:ascii="GHEA Grapalat" w:hAnsi="GHEA Grapalat"/>
                <w:sz w:val="24"/>
                <w:szCs w:val="24"/>
                <w:lang w:val="hy-AM"/>
              </w:rPr>
              <w:t>թ.</w:t>
            </w:r>
          </w:p>
        </w:tc>
      </w:tr>
      <w:tr w:rsidR="005F309D" w:rsidRPr="0052768A" w:rsidTr="003340A6">
        <w:trPr>
          <w:trHeight w:val="530"/>
        </w:trPr>
        <w:tc>
          <w:tcPr>
            <w:tcW w:w="11280" w:type="dxa"/>
            <w:gridSpan w:val="2"/>
            <w:vMerge/>
            <w:shd w:val="clear" w:color="auto" w:fill="BFBFBF" w:themeFill="background1" w:themeFillShade="BF"/>
          </w:tcPr>
          <w:p w:rsidR="005F309D" w:rsidRPr="0052768A" w:rsidRDefault="005F309D" w:rsidP="003340A6">
            <w:pPr>
              <w:spacing w:line="360" w:lineRule="auto"/>
              <w:jc w:val="center"/>
              <w:rPr>
                <w:rFonts w:ascii="GHEA Grapalat" w:hAnsi="GHEA Grapalat"/>
                <w:sz w:val="24"/>
                <w:szCs w:val="24"/>
                <w:lang w:val="hy-AM"/>
              </w:rPr>
            </w:pPr>
          </w:p>
        </w:tc>
        <w:tc>
          <w:tcPr>
            <w:tcW w:w="3760" w:type="dxa"/>
            <w:shd w:val="clear" w:color="auto" w:fill="BFBFBF" w:themeFill="background1" w:themeFillShade="BF"/>
          </w:tcPr>
          <w:p w:rsidR="005F309D" w:rsidRPr="0052768A" w:rsidRDefault="005F309D" w:rsidP="003340A6">
            <w:pPr>
              <w:tabs>
                <w:tab w:val="left" w:pos="1100"/>
              </w:tabs>
              <w:spacing w:line="360" w:lineRule="auto"/>
              <w:jc w:val="center"/>
              <w:rPr>
                <w:rFonts w:ascii="GHEA Grapalat" w:hAnsi="GHEA Grapalat"/>
                <w:sz w:val="24"/>
                <w:szCs w:val="24"/>
                <w:lang w:val="hy-AM"/>
              </w:rPr>
            </w:pPr>
            <w:r w:rsidRPr="005F309D">
              <w:rPr>
                <w:rFonts w:ascii="GHEA Grapalat" w:hAnsi="GHEA Grapalat"/>
                <w:sz w:val="24"/>
                <w:szCs w:val="24"/>
                <w:lang w:val="hy-AM"/>
              </w:rPr>
              <w:t>02/16.20/45104-2021</w:t>
            </w:r>
          </w:p>
        </w:tc>
      </w:tr>
      <w:tr w:rsidR="005F309D" w:rsidRPr="00F57F24" w:rsidTr="00F57F24">
        <w:trPr>
          <w:trHeight w:val="557"/>
        </w:trPr>
        <w:tc>
          <w:tcPr>
            <w:tcW w:w="8185" w:type="dxa"/>
          </w:tcPr>
          <w:p w:rsidR="00587AE5" w:rsidRPr="00587AE5" w:rsidRDefault="00587AE5" w:rsidP="00587AE5">
            <w:pPr>
              <w:shd w:val="clear" w:color="auto" w:fill="FFFFFF"/>
              <w:tabs>
                <w:tab w:val="num" w:pos="567"/>
                <w:tab w:val="left" w:pos="851"/>
              </w:tabs>
              <w:spacing w:line="360" w:lineRule="auto"/>
              <w:jc w:val="both"/>
              <w:rPr>
                <w:rFonts w:ascii="GHEA Grapalat" w:hAnsi="GHEA Grapalat"/>
                <w:bCs/>
                <w:iCs/>
                <w:sz w:val="24"/>
                <w:szCs w:val="20"/>
                <w:lang w:val="hy-AM"/>
              </w:rPr>
            </w:pPr>
            <w:r w:rsidRPr="00587AE5">
              <w:rPr>
                <w:rFonts w:ascii="GHEA Grapalat" w:hAnsi="GHEA Grapalat"/>
                <w:bCs/>
                <w:iCs/>
                <w:sz w:val="24"/>
                <w:szCs w:val="20"/>
                <w:lang w:val="hy-AM"/>
              </w:rPr>
              <w:t>Նախագծով հաստատվող հավելվածի 9-րդ կետի 4-րդ ենթակետի համաձայն՝</w:t>
            </w:r>
            <w:r w:rsidRPr="00587AE5">
              <w:rPr>
                <w:rFonts w:ascii="GHEA Grapalat" w:hAnsi="GHEA Grapalat"/>
                <w:b/>
                <w:bCs/>
                <w:iCs/>
                <w:sz w:val="24"/>
                <w:szCs w:val="20"/>
                <w:lang w:val="hy-AM"/>
              </w:rPr>
              <w:t xml:space="preserve"> «</w:t>
            </w:r>
            <w:r w:rsidRPr="00587AE5">
              <w:rPr>
                <w:rFonts w:ascii="GHEA Grapalat" w:hAnsi="GHEA Grapalat"/>
                <w:bCs/>
                <w:iCs/>
                <w:sz w:val="24"/>
                <w:szCs w:val="20"/>
                <w:lang w:val="hy-AM"/>
              </w:rPr>
              <w:t xml:space="preserve">գյուղատնտեսության ոլորտում տնտեսավարողների ցածր վճարունակության և նոր գյուղատնտեսական տեխնիկա ձեռք բերելու ցածր վճարունակ պահանջարկի հետևանքով Հայաստանի Հանրապետության գյուղատնտեսական տեխնիկայի հավաքակազմի նորացումը </w:t>
            </w:r>
            <w:r w:rsidRPr="00587AE5">
              <w:rPr>
                <w:rFonts w:ascii="GHEA Grapalat" w:hAnsi="GHEA Grapalat"/>
                <w:b/>
                <w:bCs/>
                <w:iCs/>
                <w:sz w:val="24"/>
                <w:szCs w:val="20"/>
                <w:u w:val="single"/>
                <w:lang w:val="hy-AM"/>
              </w:rPr>
              <w:t>սահմանված տարեկան 10.0-12.5 տոկոսի չափով իրատեսական չի համարվում,</w:t>
            </w:r>
            <w:r w:rsidRPr="00587AE5">
              <w:rPr>
                <w:rFonts w:ascii="GHEA Grapalat" w:hAnsi="GHEA Grapalat"/>
                <w:bCs/>
                <w:iCs/>
                <w:sz w:val="24"/>
                <w:szCs w:val="20"/>
                <w:lang w:val="hy-AM"/>
              </w:rPr>
              <w:t xml:space="preserve"> այդ պատճառով ծրագրի շրջանակներում նախատեսվում է տեխնիկայի նորացումը իրականացնել ավելի փոքր ծավալներով՝ 1.0-3.0 տոկոսի չափով...»: </w:t>
            </w:r>
          </w:p>
          <w:p w:rsidR="00F57F24" w:rsidRPr="00F57F24" w:rsidRDefault="00587AE5" w:rsidP="00587AE5">
            <w:pPr>
              <w:shd w:val="clear" w:color="auto" w:fill="FFFFFF"/>
              <w:tabs>
                <w:tab w:val="num" w:pos="567"/>
                <w:tab w:val="left" w:pos="851"/>
              </w:tabs>
              <w:spacing w:line="360" w:lineRule="auto"/>
              <w:jc w:val="both"/>
              <w:rPr>
                <w:rFonts w:ascii="GHEA Grapalat" w:hAnsi="GHEA Grapalat"/>
                <w:bCs/>
                <w:i/>
                <w:iCs/>
                <w:sz w:val="24"/>
                <w:szCs w:val="20"/>
                <w:lang w:val="hy-AM"/>
              </w:rPr>
            </w:pPr>
            <w:r w:rsidRPr="00587AE5">
              <w:rPr>
                <w:rFonts w:ascii="GHEA Grapalat" w:hAnsi="GHEA Grapalat"/>
                <w:bCs/>
                <w:iCs/>
                <w:sz w:val="24"/>
                <w:szCs w:val="20"/>
                <w:lang w:val="hy-AM"/>
              </w:rPr>
              <w:t xml:space="preserve">Այս կապակցությամբ պարզաբանման կարիք ունի </w:t>
            </w:r>
            <w:r w:rsidRPr="00587AE5">
              <w:rPr>
                <w:rFonts w:ascii="GHEA Grapalat" w:hAnsi="GHEA Grapalat"/>
                <w:b/>
                <w:bCs/>
                <w:iCs/>
                <w:sz w:val="24"/>
                <w:szCs w:val="20"/>
                <w:lang w:val="hy-AM"/>
              </w:rPr>
              <w:t>«</w:t>
            </w:r>
            <w:r w:rsidRPr="00587AE5">
              <w:rPr>
                <w:rFonts w:ascii="GHEA Grapalat" w:hAnsi="GHEA Grapalat"/>
                <w:b/>
                <w:bCs/>
                <w:iCs/>
                <w:sz w:val="24"/>
                <w:szCs w:val="20"/>
                <w:u w:val="single"/>
                <w:lang w:val="hy-AM"/>
              </w:rPr>
              <w:t>սահմանված տարեկան 10.0-12.5 տոկոսի չափով իրատեսական չի համարվում</w:t>
            </w:r>
            <w:r w:rsidRPr="00587AE5">
              <w:rPr>
                <w:rFonts w:ascii="GHEA Grapalat" w:hAnsi="GHEA Grapalat"/>
                <w:b/>
                <w:bCs/>
                <w:iCs/>
                <w:sz w:val="24"/>
                <w:szCs w:val="20"/>
                <w:lang w:val="hy-AM"/>
              </w:rPr>
              <w:t xml:space="preserve">» </w:t>
            </w:r>
            <w:r w:rsidRPr="00587AE5">
              <w:rPr>
                <w:rFonts w:ascii="GHEA Grapalat" w:hAnsi="GHEA Grapalat"/>
                <w:bCs/>
                <w:iCs/>
                <w:sz w:val="24"/>
                <w:szCs w:val="20"/>
                <w:lang w:val="hy-AM"/>
              </w:rPr>
              <w:t>արտահայտության ամրագրման անհրաժեշտությունը և որտեղ է այն սահմանված, քանի որ հավելվածի 22-րդ կետի 3-րդ ենթակետում հստակ ներառված է 2021թ. օգոստոսի 26-ի ԱԺՈ 002-Ն որոշմամբ հավանության արժանացած ՀՀ կառավարության ծրագրի «2.4 ԳՅՈՒՂԱՏՆՏԵՍՈՒԹՅՈՒՆ» բաժնի 7-րդ պարբերության պահանջը, որի համաձայն՝</w:t>
            </w:r>
            <w:r w:rsidRPr="00587AE5">
              <w:rPr>
                <w:rFonts w:ascii="GHEA Grapalat" w:hAnsi="GHEA Grapalat"/>
                <w:b/>
                <w:bCs/>
                <w:iCs/>
                <w:sz w:val="24"/>
                <w:szCs w:val="20"/>
                <w:lang w:val="hy-AM"/>
              </w:rPr>
              <w:t xml:space="preserve"> </w:t>
            </w:r>
            <w:r w:rsidRPr="00066D3E">
              <w:rPr>
                <w:rFonts w:ascii="GHEA Grapalat" w:hAnsi="GHEA Grapalat"/>
                <w:bCs/>
                <w:i/>
                <w:iCs/>
                <w:sz w:val="24"/>
                <w:szCs w:val="20"/>
                <w:lang w:val="hy-AM"/>
              </w:rPr>
              <w:t>«</w:t>
            </w:r>
            <w:r w:rsidRPr="00587AE5">
              <w:rPr>
                <w:rFonts w:ascii="GHEA Grapalat" w:hAnsi="GHEA Grapalat"/>
                <w:bCs/>
                <w:i/>
                <w:iCs/>
                <w:sz w:val="24"/>
                <w:szCs w:val="20"/>
                <w:lang w:val="hy-AM"/>
              </w:rPr>
              <w:t xml:space="preserve">յուրաքանչյուր տարի հանրապետությունում կթարմացվեն առկա տեխնիկայի հավաքակազմը՝ շուրջ 500 միավոր </w:t>
            </w:r>
            <w:r w:rsidRPr="00587AE5">
              <w:rPr>
                <w:rFonts w:ascii="GHEA Grapalat" w:hAnsi="GHEA Grapalat"/>
                <w:bCs/>
                <w:i/>
                <w:iCs/>
                <w:sz w:val="24"/>
                <w:szCs w:val="20"/>
                <w:lang w:val="hy-AM"/>
              </w:rPr>
              <w:lastRenderedPageBreak/>
              <w:t>նոր գյուղատնտեսական տեխնիկայի տարբեր տեսակներով</w:t>
            </w:r>
            <w:r w:rsidR="00F57F24">
              <w:rPr>
                <w:rFonts w:ascii="GHEA Grapalat" w:hAnsi="GHEA Grapalat"/>
                <w:bCs/>
                <w:i/>
                <w:iCs/>
                <w:sz w:val="24"/>
                <w:szCs w:val="20"/>
                <w:lang w:val="hy-AM"/>
              </w:rPr>
              <w:t>»:</w:t>
            </w:r>
          </w:p>
        </w:tc>
        <w:tc>
          <w:tcPr>
            <w:tcW w:w="6855" w:type="dxa"/>
            <w:gridSpan w:val="2"/>
          </w:tcPr>
          <w:p w:rsidR="00587AE5" w:rsidRPr="0052768A" w:rsidRDefault="00587AE5" w:rsidP="00587AE5">
            <w:pPr>
              <w:spacing w:line="360" w:lineRule="auto"/>
              <w:ind w:firstLine="375"/>
              <w:jc w:val="center"/>
              <w:rPr>
                <w:rFonts w:ascii="GHEA Grapalat" w:hAnsi="GHEA Grapalat"/>
                <w:b/>
                <w:sz w:val="24"/>
                <w:szCs w:val="24"/>
                <w:lang w:val="hy-AM"/>
              </w:rPr>
            </w:pPr>
            <w:r w:rsidRPr="0052768A">
              <w:rPr>
                <w:rFonts w:ascii="GHEA Grapalat" w:hAnsi="GHEA Grapalat"/>
                <w:b/>
                <w:sz w:val="24"/>
                <w:szCs w:val="24"/>
                <w:lang w:val="hy-AM"/>
              </w:rPr>
              <w:lastRenderedPageBreak/>
              <w:t>Մասամբ է ընդունվել</w:t>
            </w:r>
          </w:p>
          <w:p w:rsidR="005F309D" w:rsidRPr="0052768A" w:rsidRDefault="00587AE5" w:rsidP="00587AE5">
            <w:pPr>
              <w:spacing w:line="360" w:lineRule="auto"/>
              <w:jc w:val="both"/>
              <w:rPr>
                <w:rFonts w:ascii="GHEA Grapalat" w:hAnsi="GHEA Grapalat"/>
                <w:b/>
                <w:sz w:val="24"/>
                <w:szCs w:val="24"/>
                <w:lang w:val="hy-AM"/>
              </w:rPr>
            </w:pPr>
            <w:r w:rsidRPr="000A66BB">
              <w:rPr>
                <w:rFonts w:ascii="GHEA Grapalat" w:eastAsia="Times New Roman" w:hAnsi="GHEA Grapalat" w:cs="Calibri"/>
                <w:color w:val="191919"/>
                <w:sz w:val="24"/>
                <w:szCs w:val="24"/>
                <w:shd w:val="clear" w:color="auto" w:fill="FFFFFF"/>
                <w:lang w:val="hy-AM"/>
              </w:rPr>
              <w:t xml:space="preserve">Նախագծով հաստատված հավելվածի </w:t>
            </w:r>
            <w:r w:rsidRPr="00DB4D6C">
              <w:rPr>
                <w:rFonts w:ascii="GHEA Grapalat" w:hAnsi="GHEA Grapalat"/>
                <w:sz w:val="24"/>
                <w:szCs w:val="24"/>
                <w:lang w:val="hy-AM"/>
              </w:rPr>
              <w:t>9-րդ կետի 4-րդ ենթակետ</w:t>
            </w:r>
            <w:r>
              <w:rPr>
                <w:rFonts w:ascii="GHEA Grapalat" w:hAnsi="GHEA Grapalat"/>
                <w:sz w:val="24"/>
                <w:szCs w:val="24"/>
                <w:lang w:val="hy-AM"/>
              </w:rPr>
              <w:t xml:space="preserve">ում ներառվել է </w:t>
            </w:r>
            <w:r w:rsidRPr="00DB4D6C">
              <w:rPr>
                <w:rFonts w:ascii="GHEA Grapalat" w:eastAsia="Times New Roman" w:hAnsi="GHEA Grapalat" w:cs="Calibri"/>
                <w:color w:val="191919"/>
                <w:sz w:val="24"/>
                <w:szCs w:val="24"/>
                <w:shd w:val="clear" w:color="auto" w:fill="FFFFFF"/>
                <w:lang w:val="hy-AM"/>
              </w:rPr>
              <w:t>10.0-12.5 տոկոսի չափով</w:t>
            </w:r>
            <w:r>
              <w:rPr>
                <w:rFonts w:ascii="GHEA Grapalat" w:eastAsia="Times New Roman" w:hAnsi="GHEA Grapalat" w:cs="Calibri"/>
                <w:color w:val="191919"/>
                <w:sz w:val="24"/>
                <w:szCs w:val="24"/>
                <w:shd w:val="clear" w:color="auto" w:fill="FFFFFF"/>
                <w:lang w:val="hy-AM"/>
              </w:rPr>
              <w:t xml:space="preserve"> գյուղատնտեսական տեխնիկայի նորացման անհրաժեշտությունը՝ հաշվի առնելով գյուղատնտեսական տեխնիկայի </w:t>
            </w:r>
            <w:r w:rsidRPr="000A66BB">
              <w:rPr>
                <w:rFonts w:ascii="GHEA Grapalat" w:eastAsia="Times New Roman" w:hAnsi="GHEA Grapalat" w:cs="Calibri"/>
                <w:color w:val="191919"/>
                <w:sz w:val="24"/>
                <w:szCs w:val="24"/>
                <w:shd w:val="clear" w:color="auto" w:fill="FFFFFF"/>
                <w:lang w:val="hy-AM"/>
              </w:rPr>
              <w:t>նորմատիվային օգտակար ծառայության ժամկետը</w:t>
            </w:r>
            <w:r>
              <w:rPr>
                <w:rFonts w:ascii="GHEA Grapalat" w:eastAsia="Times New Roman" w:hAnsi="GHEA Grapalat" w:cs="Calibri"/>
                <w:color w:val="191919"/>
                <w:sz w:val="24"/>
                <w:szCs w:val="24"/>
                <w:shd w:val="clear" w:color="auto" w:fill="FFFFFF"/>
                <w:lang w:val="hy-AM"/>
              </w:rPr>
              <w:t xml:space="preserve">, որը գյուղատնտեսական տրակտորների համար սահմանված է 15 տարի, այլ մեքենաների և սարքավորումների համար՝ 10 տարի </w:t>
            </w:r>
            <w:r w:rsidRPr="00E83E65">
              <w:rPr>
                <w:rFonts w:ascii="GHEA Grapalat" w:eastAsia="Times New Roman" w:hAnsi="GHEA Grapalat" w:cs="Calibri"/>
                <w:color w:val="191919"/>
                <w:sz w:val="24"/>
                <w:szCs w:val="24"/>
                <w:shd w:val="clear" w:color="auto" w:fill="FFFFFF"/>
                <w:lang w:val="hy-AM"/>
              </w:rPr>
              <w:t>(</w:t>
            </w:r>
            <w:r>
              <w:rPr>
                <w:rFonts w:ascii="GHEA Grapalat" w:eastAsia="Times New Roman" w:hAnsi="GHEA Grapalat" w:cs="Calibri"/>
                <w:color w:val="191919"/>
                <w:sz w:val="24"/>
                <w:szCs w:val="24"/>
                <w:shd w:val="clear" w:color="auto" w:fill="FFFFFF"/>
                <w:lang w:val="hy-AM"/>
              </w:rPr>
              <w:t xml:space="preserve">ՀՀ ֆինանսների նախարարի 2016 թվականի հունվարի 8-ի </w:t>
            </w:r>
            <w:r w:rsidRPr="00E83E65">
              <w:rPr>
                <w:rFonts w:ascii="GHEA Grapalat" w:eastAsia="Times New Roman" w:hAnsi="GHEA Grapalat" w:cs="Calibri"/>
                <w:color w:val="191919"/>
                <w:sz w:val="24"/>
                <w:szCs w:val="24"/>
                <w:shd w:val="clear" w:color="auto" w:fill="FFFFFF"/>
                <w:lang w:val="hy-AM"/>
              </w:rPr>
              <w:t>N</w:t>
            </w:r>
            <w:r>
              <w:rPr>
                <w:rFonts w:ascii="GHEA Grapalat" w:eastAsia="Times New Roman" w:hAnsi="GHEA Grapalat" w:cs="Calibri"/>
                <w:color w:val="191919"/>
                <w:sz w:val="24"/>
                <w:szCs w:val="24"/>
                <w:shd w:val="clear" w:color="auto" w:fill="FFFFFF"/>
                <w:lang w:val="hy-AM"/>
              </w:rPr>
              <w:t xml:space="preserve"> 3-Ն հրաման</w:t>
            </w:r>
            <w:r w:rsidRPr="00E83E65">
              <w:rPr>
                <w:rFonts w:ascii="GHEA Grapalat" w:eastAsia="Times New Roman" w:hAnsi="GHEA Grapalat" w:cs="Calibri"/>
                <w:color w:val="191919"/>
                <w:sz w:val="24"/>
                <w:szCs w:val="24"/>
                <w:shd w:val="clear" w:color="auto" w:fill="FFFFFF"/>
                <w:lang w:val="hy-AM"/>
              </w:rPr>
              <w:t>)</w:t>
            </w:r>
            <w:r>
              <w:rPr>
                <w:rFonts w:ascii="GHEA Grapalat" w:eastAsia="Times New Roman" w:hAnsi="GHEA Grapalat" w:cs="Calibri"/>
                <w:color w:val="191919"/>
                <w:sz w:val="24"/>
                <w:szCs w:val="24"/>
                <w:shd w:val="clear" w:color="auto" w:fill="FFFFFF"/>
                <w:lang w:val="hy-AM"/>
              </w:rPr>
              <w:t>, իսկ Հարկային օրենսգրքի 121-րդ հոդվածով այլ հիմնական միջոցների ամորտիզացիոն նվազագույն ժամկետ է սահմանված 8 տարի։</w:t>
            </w:r>
          </w:p>
        </w:tc>
      </w:tr>
      <w:tr w:rsidR="005F309D" w:rsidRPr="00F57F24" w:rsidTr="003340A6">
        <w:trPr>
          <w:trHeight w:val="1266"/>
        </w:trPr>
        <w:tc>
          <w:tcPr>
            <w:tcW w:w="8185" w:type="dxa"/>
          </w:tcPr>
          <w:p w:rsidR="005F309D" w:rsidRPr="005F309D" w:rsidRDefault="005F309D" w:rsidP="005F309D">
            <w:pPr>
              <w:spacing w:line="360" w:lineRule="auto"/>
              <w:jc w:val="both"/>
              <w:rPr>
                <w:rFonts w:ascii="GHEA Grapalat" w:hAnsi="GHEA Grapalat"/>
                <w:color w:val="000000"/>
                <w:sz w:val="24"/>
                <w:szCs w:val="24"/>
                <w:shd w:val="clear" w:color="auto" w:fill="FFFFFF"/>
                <w:lang w:val="hy-AM"/>
              </w:rPr>
            </w:pPr>
            <w:r>
              <w:rPr>
                <w:rFonts w:ascii="GHEA Grapalat" w:hAnsi="GHEA Grapalat"/>
                <w:b/>
                <w:sz w:val="24"/>
                <w:szCs w:val="24"/>
                <w:lang w:val="hy-AM"/>
              </w:rPr>
              <w:lastRenderedPageBreak/>
              <w:t xml:space="preserve">     </w:t>
            </w:r>
            <w:r w:rsidRPr="00282476">
              <w:rPr>
                <w:rFonts w:ascii="GHEA Grapalat" w:hAnsi="GHEA Grapalat" w:cs="Arial"/>
                <w:color w:val="000000"/>
                <w:sz w:val="24"/>
                <w:szCs w:val="24"/>
                <w:shd w:val="clear" w:color="auto" w:fill="FFFFFF"/>
                <w:lang w:val="hy-AM"/>
              </w:rPr>
              <w:t>Նախագծի</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նախաբանում</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նշված</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չէ</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օրենքի</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այն</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դրույթը</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որը</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կառավարությանը</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լիազորում</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է</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ընդունել</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սույն</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որոշման</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նախագիծը</w:t>
            </w:r>
            <w:r>
              <w:rPr>
                <w:rFonts w:ascii="GHEA Grapalat" w:hAnsi="GHEA Grapalat"/>
                <w:color w:val="000000"/>
                <w:sz w:val="24"/>
                <w:szCs w:val="24"/>
                <w:shd w:val="clear" w:color="auto" w:fill="FFFFFF"/>
                <w:lang w:val="hy-AM"/>
              </w:rPr>
              <w:t>, մինչդ</w:t>
            </w:r>
            <w:r w:rsidRPr="00282476">
              <w:rPr>
                <w:rFonts w:ascii="GHEA Grapalat" w:hAnsi="GHEA Grapalat"/>
                <w:color w:val="000000"/>
                <w:sz w:val="24"/>
                <w:szCs w:val="24"/>
                <w:shd w:val="clear" w:color="auto" w:fill="FFFFFF"/>
                <w:lang w:val="hy-AM"/>
              </w:rPr>
              <w:t xml:space="preserve">եռ </w:t>
            </w:r>
            <w:r w:rsidRPr="00282476">
              <w:rPr>
                <w:rFonts w:ascii="GHEA Grapalat" w:hAnsi="GHEA Grapalat" w:cs="Calibri"/>
                <w:color w:val="000000"/>
                <w:sz w:val="24"/>
                <w:szCs w:val="24"/>
                <w:shd w:val="clear" w:color="auto" w:fill="FFFFFF"/>
                <w:lang w:val="hy-AM"/>
              </w:rPr>
              <w:t>«</w:t>
            </w:r>
            <w:r w:rsidRPr="00282476">
              <w:rPr>
                <w:rFonts w:ascii="GHEA Grapalat" w:hAnsi="GHEA Grapalat" w:cs="Arial"/>
                <w:color w:val="000000"/>
                <w:sz w:val="24"/>
                <w:szCs w:val="24"/>
                <w:shd w:val="clear" w:color="auto" w:fill="FFFFFF"/>
                <w:lang w:val="hy-AM"/>
              </w:rPr>
              <w:t>Նորմատիվ</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իրավական</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ակտերի</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մասին</w:t>
            </w:r>
            <w:r w:rsidRPr="00282476">
              <w:rPr>
                <w:rFonts w:ascii="GHEA Grapalat" w:hAnsi="GHEA Grapalat" w:cs="Calibri"/>
                <w:color w:val="000000"/>
                <w:sz w:val="24"/>
                <w:szCs w:val="24"/>
                <w:shd w:val="clear" w:color="auto" w:fill="FFFFFF"/>
                <w:lang w:val="hy-AM"/>
              </w:rPr>
              <w:t>»</w:t>
            </w:r>
            <w:r>
              <w:rPr>
                <w:rFonts w:ascii="GHEA Grapalat" w:hAnsi="GHEA Grapalat" w:cs="Calibri"/>
                <w:color w:val="000000"/>
                <w:sz w:val="24"/>
                <w:szCs w:val="24"/>
                <w:shd w:val="clear" w:color="auto" w:fill="FFFFFF"/>
                <w:lang w:val="hy-AM"/>
              </w:rPr>
              <w:t xml:space="preserve"> ՀՀ</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օրենքի</w:t>
            </w:r>
            <w:r w:rsidRPr="00282476">
              <w:rPr>
                <w:rFonts w:ascii="GHEA Grapalat" w:hAnsi="GHEA Grapalat"/>
                <w:color w:val="000000"/>
                <w:sz w:val="24"/>
                <w:szCs w:val="24"/>
                <w:shd w:val="clear" w:color="auto" w:fill="FFFFFF"/>
                <w:lang w:val="hy-AM"/>
              </w:rPr>
              <w:t xml:space="preserve"> 1-</w:t>
            </w:r>
            <w:r w:rsidRPr="00282476">
              <w:rPr>
                <w:rFonts w:ascii="GHEA Grapalat" w:hAnsi="GHEA Grapalat" w:cs="Arial"/>
                <w:color w:val="000000"/>
                <w:sz w:val="24"/>
                <w:szCs w:val="24"/>
                <w:shd w:val="clear" w:color="auto" w:fill="FFFFFF"/>
                <w:lang w:val="hy-AM"/>
              </w:rPr>
              <w:t>ին</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հոդվածի</w:t>
            </w:r>
            <w:r w:rsidRPr="00282476">
              <w:rPr>
                <w:rFonts w:ascii="GHEA Grapalat" w:hAnsi="GHEA Grapalat"/>
                <w:color w:val="000000"/>
                <w:sz w:val="24"/>
                <w:szCs w:val="24"/>
                <w:shd w:val="clear" w:color="auto" w:fill="FFFFFF"/>
                <w:lang w:val="hy-AM"/>
              </w:rPr>
              <w:t xml:space="preserve"> 2-</w:t>
            </w:r>
            <w:r w:rsidRPr="00282476">
              <w:rPr>
                <w:rFonts w:ascii="GHEA Grapalat" w:hAnsi="GHEA Grapalat" w:cs="Arial"/>
                <w:color w:val="000000"/>
                <w:sz w:val="24"/>
                <w:szCs w:val="24"/>
                <w:shd w:val="clear" w:color="auto" w:fill="FFFFFF"/>
                <w:lang w:val="hy-AM"/>
              </w:rPr>
              <w:t>րդ</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մասի</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համաձայն՝</w:t>
            </w:r>
            <w:r w:rsidRPr="00282476">
              <w:rPr>
                <w:rFonts w:ascii="GHEA Grapalat" w:hAnsi="GHEA Grapalat"/>
                <w:color w:val="000000"/>
                <w:sz w:val="24"/>
                <w:szCs w:val="24"/>
                <w:shd w:val="clear" w:color="auto" w:fill="FFFFFF"/>
                <w:lang w:val="hy-AM"/>
              </w:rPr>
              <w:t xml:space="preserve"> նորմատիվ իրավական ակտի կառուցվածքի վերաբերյալ դրույթների գործո</w:t>
            </w:r>
            <w:r>
              <w:rPr>
                <w:rFonts w:ascii="GHEA Grapalat" w:hAnsi="GHEA Grapalat"/>
                <w:color w:val="000000"/>
                <w:sz w:val="24"/>
                <w:szCs w:val="24"/>
                <w:shd w:val="clear" w:color="auto" w:fill="FFFFFF"/>
                <w:lang w:val="hy-AM"/>
              </w:rPr>
              <w:t xml:space="preserve">ղությունը տարածվում է ներքին </w:t>
            </w:r>
            <w:r w:rsidRPr="00282476">
              <w:rPr>
                <w:rFonts w:ascii="GHEA Grapalat" w:hAnsi="GHEA Grapalat"/>
                <w:color w:val="000000"/>
                <w:sz w:val="24"/>
                <w:szCs w:val="24"/>
                <w:shd w:val="clear" w:color="auto" w:fill="FFFFFF"/>
                <w:lang w:val="hy-AM"/>
              </w:rPr>
              <w:t>իրավական ակտերի վրա</w:t>
            </w:r>
            <w:r>
              <w:rPr>
                <w:rFonts w:ascii="GHEA Grapalat" w:hAnsi="GHEA Grapalat"/>
                <w:color w:val="000000"/>
                <w:sz w:val="24"/>
                <w:szCs w:val="24"/>
                <w:shd w:val="clear" w:color="auto" w:fill="FFFFFF"/>
                <w:lang w:val="hy-AM"/>
              </w:rPr>
              <w:t xml:space="preserve">, իսկ </w:t>
            </w:r>
            <w:r w:rsidRPr="00282476">
              <w:rPr>
                <w:rFonts w:ascii="GHEA Grapalat" w:hAnsi="GHEA Grapalat"/>
                <w:color w:val="000000"/>
                <w:sz w:val="24"/>
                <w:szCs w:val="24"/>
                <w:shd w:val="clear" w:color="auto" w:fill="FFFFFF"/>
                <w:lang w:val="hy-AM"/>
              </w:rPr>
              <w:t>1</w:t>
            </w:r>
            <w:r>
              <w:rPr>
                <w:rFonts w:ascii="GHEA Grapalat" w:hAnsi="GHEA Grapalat"/>
                <w:color w:val="000000"/>
                <w:sz w:val="24"/>
                <w:szCs w:val="24"/>
                <w:shd w:val="clear" w:color="auto" w:fill="FFFFFF"/>
                <w:lang w:val="hy-AM"/>
              </w:rPr>
              <w:t>3</w:t>
            </w:r>
            <w:r w:rsidRPr="00282476">
              <w:rPr>
                <w:rFonts w:ascii="GHEA Grapalat" w:hAnsi="GHEA Grapalat"/>
                <w:color w:val="000000"/>
                <w:sz w:val="24"/>
                <w:szCs w:val="24"/>
                <w:shd w:val="clear" w:color="auto" w:fill="FFFFFF"/>
                <w:lang w:val="hy-AM"/>
              </w:rPr>
              <w:t>-</w:t>
            </w:r>
            <w:r>
              <w:rPr>
                <w:rFonts w:ascii="GHEA Grapalat" w:hAnsi="GHEA Grapalat" w:cs="Arial"/>
                <w:color w:val="000000"/>
                <w:sz w:val="24"/>
                <w:szCs w:val="24"/>
                <w:shd w:val="clear" w:color="auto" w:fill="FFFFFF"/>
                <w:lang w:val="hy-AM"/>
              </w:rPr>
              <w:t>րդ</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հոդվածի</w:t>
            </w:r>
            <w:r>
              <w:rPr>
                <w:rFonts w:ascii="GHEA Grapalat" w:hAnsi="GHEA Grapalat"/>
                <w:color w:val="000000"/>
                <w:sz w:val="24"/>
                <w:szCs w:val="24"/>
                <w:shd w:val="clear" w:color="auto" w:fill="FFFFFF"/>
                <w:lang w:val="hy-AM"/>
              </w:rPr>
              <w:t xml:space="preserve"> 1</w:t>
            </w:r>
            <w:r w:rsidRPr="00282476">
              <w:rPr>
                <w:rFonts w:ascii="GHEA Grapalat" w:hAnsi="GHEA Grapalat"/>
                <w:color w:val="000000"/>
                <w:sz w:val="24"/>
                <w:szCs w:val="24"/>
                <w:shd w:val="clear" w:color="auto" w:fill="FFFFFF"/>
                <w:lang w:val="hy-AM"/>
              </w:rPr>
              <w:t>-</w:t>
            </w:r>
            <w:r>
              <w:rPr>
                <w:rFonts w:ascii="GHEA Grapalat" w:hAnsi="GHEA Grapalat" w:cs="Arial"/>
                <w:color w:val="000000"/>
                <w:sz w:val="24"/>
                <w:szCs w:val="24"/>
                <w:shd w:val="clear" w:color="auto" w:fill="FFFFFF"/>
                <w:lang w:val="hy-AM"/>
              </w:rPr>
              <w:t>ին</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մասի</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համաձայն</w:t>
            </w:r>
            <w:r>
              <w:rPr>
                <w:rFonts w:ascii="GHEA Grapalat" w:hAnsi="GHEA Grapalat" w:cs="Arial"/>
                <w:color w:val="000000"/>
                <w:sz w:val="24"/>
                <w:szCs w:val="24"/>
                <w:shd w:val="clear" w:color="auto" w:fill="FFFFFF"/>
                <w:lang w:val="hy-AM"/>
              </w:rPr>
              <w:t>՝</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ենթաօրենսդրական</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նորմատիվ</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իրավական</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ակտը</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ունենում</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է</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նախաբան</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որում</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նշվում</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է</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օրենսդրական</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իրավական</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ակտի</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հոդվածը</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կամ</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մասը</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որը</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ներառում</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է</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Սահմանադրության</w:t>
            </w:r>
            <w:r w:rsidRPr="00282476">
              <w:rPr>
                <w:rFonts w:ascii="GHEA Grapalat" w:hAnsi="GHEA Grapalat"/>
                <w:color w:val="000000"/>
                <w:sz w:val="24"/>
                <w:szCs w:val="24"/>
                <w:shd w:val="clear" w:color="auto" w:fill="FFFFFF"/>
                <w:lang w:val="hy-AM"/>
              </w:rPr>
              <w:t xml:space="preserve"> 6-</w:t>
            </w:r>
            <w:r w:rsidRPr="00282476">
              <w:rPr>
                <w:rFonts w:ascii="GHEA Grapalat" w:hAnsi="GHEA Grapalat" w:cs="Arial"/>
                <w:color w:val="000000"/>
                <w:sz w:val="24"/>
                <w:szCs w:val="24"/>
                <w:shd w:val="clear" w:color="auto" w:fill="FFFFFF"/>
                <w:lang w:val="hy-AM"/>
              </w:rPr>
              <w:t>րդ</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հոդվածի</w:t>
            </w:r>
            <w:r w:rsidRPr="00282476">
              <w:rPr>
                <w:rFonts w:ascii="GHEA Grapalat" w:hAnsi="GHEA Grapalat"/>
                <w:color w:val="000000"/>
                <w:sz w:val="24"/>
                <w:szCs w:val="24"/>
                <w:shd w:val="clear" w:color="auto" w:fill="FFFFFF"/>
                <w:lang w:val="hy-AM"/>
              </w:rPr>
              <w:t xml:space="preserve"> 2-</w:t>
            </w:r>
            <w:r w:rsidRPr="00282476">
              <w:rPr>
                <w:rFonts w:ascii="GHEA Grapalat" w:hAnsi="GHEA Grapalat" w:cs="Arial"/>
                <w:color w:val="000000"/>
                <w:sz w:val="24"/>
                <w:szCs w:val="24"/>
                <w:shd w:val="clear" w:color="auto" w:fill="FFFFFF"/>
                <w:lang w:val="hy-AM"/>
              </w:rPr>
              <w:t>րդ</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մասով</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սահմանված</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լիազորող</w:t>
            </w:r>
            <w:r w:rsidRPr="00282476">
              <w:rPr>
                <w:rFonts w:ascii="GHEA Grapalat" w:hAnsi="GHEA Grapalat"/>
                <w:color w:val="000000"/>
                <w:sz w:val="24"/>
                <w:szCs w:val="24"/>
                <w:shd w:val="clear" w:color="auto" w:fill="FFFFFF"/>
                <w:lang w:val="hy-AM"/>
              </w:rPr>
              <w:t xml:space="preserve"> </w:t>
            </w:r>
            <w:r w:rsidRPr="00282476">
              <w:rPr>
                <w:rFonts w:ascii="GHEA Grapalat" w:hAnsi="GHEA Grapalat" w:cs="Arial"/>
                <w:color w:val="000000"/>
                <w:sz w:val="24"/>
                <w:szCs w:val="24"/>
                <w:shd w:val="clear" w:color="auto" w:fill="FFFFFF"/>
                <w:lang w:val="hy-AM"/>
              </w:rPr>
              <w:t>նորմեր</w:t>
            </w:r>
            <w:r>
              <w:rPr>
                <w:rFonts w:ascii="GHEA Grapalat" w:hAnsi="GHEA Grapalat" w:cs="Arial"/>
                <w:color w:val="000000"/>
                <w:sz w:val="24"/>
                <w:szCs w:val="24"/>
                <w:shd w:val="clear" w:color="auto" w:fill="FFFFFF"/>
                <w:lang w:val="hy-AM"/>
              </w:rPr>
              <w:t>։</w:t>
            </w:r>
          </w:p>
        </w:tc>
        <w:tc>
          <w:tcPr>
            <w:tcW w:w="6855" w:type="dxa"/>
            <w:gridSpan w:val="2"/>
          </w:tcPr>
          <w:p w:rsidR="00587AE5" w:rsidRDefault="00CF603D" w:rsidP="00587AE5">
            <w:pPr>
              <w:spacing w:line="360" w:lineRule="auto"/>
              <w:ind w:firstLine="375"/>
              <w:jc w:val="center"/>
              <w:rPr>
                <w:rFonts w:ascii="GHEA Grapalat" w:hAnsi="GHEA Grapalat"/>
                <w:b/>
                <w:sz w:val="24"/>
                <w:szCs w:val="24"/>
                <w:lang w:val="hy-AM"/>
              </w:rPr>
            </w:pPr>
            <w:r>
              <w:rPr>
                <w:rFonts w:ascii="GHEA Grapalat" w:hAnsi="GHEA Grapalat"/>
                <w:b/>
                <w:sz w:val="24"/>
                <w:szCs w:val="24"/>
                <w:lang w:val="hy-AM"/>
              </w:rPr>
              <w:t>Չի ընդունել</w:t>
            </w:r>
          </w:p>
          <w:p w:rsidR="00CF603D" w:rsidRPr="00CF603D" w:rsidRDefault="00CF603D" w:rsidP="00CF603D">
            <w:pPr>
              <w:spacing w:line="360" w:lineRule="auto"/>
              <w:ind w:firstLine="375"/>
              <w:jc w:val="both"/>
              <w:rPr>
                <w:rFonts w:ascii="GHEA Grapalat" w:hAnsi="GHEA Grapalat"/>
                <w:sz w:val="24"/>
                <w:szCs w:val="24"/>
                <w:lang w:val="hy-AM"/>
              </w:rPr>
            </w:pPr>
            <w:r w:rsidRPr="00CF603D">
              <w:rPr>
                <w:rFonts w:ascii="GHEA Grapalat" w:hAnsi="GHEA Grapalat"/>
                <w:sz w:val="24"/>
                <w:szCs w:val="24"/>
                <w:lang w:val="hy-AM"/>
              </w:rPr>
              <w:t xml:space="preserve">Նախագծի նախաբանում </w:t>
            </w:r>
            <w:r>
              <w:rPr>
                <w:rFonts w:ascii="GHEA Grapalat" w:hAnsi="GHEA Grapalat"/>
                <w:sz w:val="24"/>
                <w:szCs w:val="24"/>
                <w:lang w:val="hy-AM"/>
              </w:rPr>
              <w:t>նշ</w:t>
            </w:r>
            <w:r w:rsidRPr="00CF603D">
              <w:rPr>
                <w:rFonts w:ascii="GHEA Grapalat" w:hAnsi="GHEA Grapalat"/>
                <w:sz w:val="24"/>
                <w:szCs w:val="24"/>
                <w:lang w:val="hy-AM"/>
              </w:rPr>
              <w:t>ված են այն իրավական նորմերը, որոնց հիման վրա կառավարությունը ընդունել է գյուղատնտեսության ոլորտում ի</w:t>
            </w:r>
            <w:r>
              <w:rPr>
                <w:rFonts w:ascii="GHEA Grapalat" w:hAnsi="GHEA Grapalat"/>
                <w:sz w:val="24"/>
                <w:szCs w:val="24"/>
                <w:lang w:val="hy-AM"/>
              </w:rPr>
              <w:t>ր</w:t>
            </w:r>
            <w:r w:rsidRPr="00CF603D">
              <w:rPr>
                <w:rFonts w:ascii="GHEA Grapalat" w:hAnsi="GHEA Grapalat"/>
                <w:sz w:val="24"/>
                <w:szCs w:val="24"/>
                <w:lang w:val="hy-AM"/>
              </w:rPr>
              <w:t>ականացվո</w:t>
            </w:r>
            <w:r>
              <w:rPr>
                <w:rFonts w:ascii="GHEA Grapalat" w:hAnsi="GHEA Grapalat"/>
                <w:sz w:val="24"/>
                <w:szCs w:val="24"/>
                <w:lang w:val="hy-AM"/>
              </w:rPr>
              <w:t>ղ</w:t>
            </w:r>
            <w:r w:rsidRPr="00CF603D">
              <w:rPr>
                <w:rFonts w:ascii="GHEA Grapalat" w:hAnsi="GHEA Grapalat"/>
                <w:sz w:val="24"/>
                <w:szCs w:val="24"/>
                <w:lang w:val="hy-AM"/>
              </w:rPr>
              <w:t xml:space="preserve"> բոլոր պետական աջակցության ծրագրեր</w:t>
            </w:r>
            <w:r>
              <w:rPr>
                <w:rFonts w:ascii="GHEA Grapalat" w:hAnsi="GHEA Grapalat"/>
                <w:sz w:val="24"/>
                <w:szCs w:val="24"/>
                <w:lang w:val="hy-AM"/>
              </w:rPr>
              <w:t>ը։</w:t>
            </w:r>
          </w:p>
          <w:p w:rsidR="005F309D" w:rsidRPr="0052768A" w:rsidRDefault="005F309D" w:rsidP="003340A6">
            <w:pPr>
              <w:spacing w:line="360" w:lineRule="auto"/>
              <w:jc w:val="center"/>
              <w:rPr>
                <w:rFonts w:ascii="GHEA Grapalat" w:hAnsi="GHEA Grapalat"/>
                <w:b/>
                <w:sz w:val="24"/>
                <w:szCs w:val="24"/>
                <w:lang w:val="hy-AM"/>
              </w:rPr>
            </w:pPr>
          </w:p>
        </w:tc>
      </w:tr>
    </w:tbl>
    <w:p w:rsidR="00BB72DE" w:rsidRPr="0052768A" w:rsidRDefault="00B20DBB" w:rsidP="00CD36AB">
      <w:pPr>
        <w:spacing w:after="0" w:line="360" w:lineRule="auto"/>
        <w:jc w:val="center"/>
        <w:rPr>
          <w:rFonts w:ascii="GHEA Grapalat" w:hAnsi="GHEA Grapalat"/>
          <w:b/>
          <w:sz w:val="24"/>
          <w:szCs w:val="24"/>
          <w:lang w:val="hy-AM"/>
        </w:rPr>
      </w:pPr>
      <w:r w:rsidRPr="0052768A">
        <w:rPr>
          <w:rFonts w:ascii="GHEA Grapalat" w:hAnsi="GHEA Grapalat"/>
          <w:b/>
          <w:sz w:val="24"/>
          <w:szCs w:val="24"/>
          <w:lang w:val="hy-AM"/>
        </w:rPr>
        <w:t xml:space="preserve"> </w:t>
      </w:r>
    </w:p>
    <w:sectPr w:rsidR="00BB72DE" w:rsidRPr="0052768A" w:rsidSect="00F57F24">
      <w:pgSz w:w="16838" w:h="11906" w:orient="landscape"/>
      <w:pgMar w:top="993" w:right="650" w:bottom="540" w:left="1138" w:header="0" w:footer="5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Armenian">
    <w:charset w:val="00"/>
    <w:family w:val="roman"/>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GHEA Grapalat">
    <w:altName w:val="Arial"/>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DE"/>
    <w:rsid w:val="00022A18"/>
    <w:rsid w:val="00047FC5"/>
    <w:rsid w:val="00066D3E"/>
    <w:rsid w:val="00092CD5"/>
    <w:rsid w:val="00096BD7"/>
    <w:rsid w:val="000E2F21"/>
    <w:rsid w:val="00120B08"/>
    <w:rsid w:val="001232D9"/>
    <w:rsid w:val="0014508F"/>
    <w:rsid w:val="00154430"/>
    <w:rsid w:val="00165A58"/>
    <w:rsid w:val="001961B3"/>
    <w:rsid w:val="00202553"/>
    <w:rsid w:val="00233862"/>
    <w:rsid w:val="002347BD"/>
    <w:rsid w:val="00261E9E"/>
    <w:rsid w:val="00284CE6"/>
    <w:rsid w:val="00296C1E"/>
    <w:rsid w:val="002E4785"/>
    <w:rsid w:val="002F01E1"/>
    <w:rsid w:val="00300C9D"/>
    <w:rsid w:val="00324D58"/>
    <w:rsid w:val="00345AA3"/>
    <w:rsid w:val="00352545"/>
    <w:rsid w:val="00357896"/>
    <w:rsid w:val="00365FF8"/>
    <w:rsid w:val="003D571D"/>
    <w:rsid w:val="004065D5"/>
    <w:rsid w:val="004176FE"/>
    <w:rsid w:val="004A074A"/>
    <w:rsid w:val="004A1FFD"/>
    <w:rsid w:val="004C4BD2"/>
    <w:rsid w:val="004D2FBC"/>
    <w:rsid w:val="0052768A"/>
    <w:rsid w:val="00536ED2"/>
    <w:rsid w:val="00570B18"/>
    <w:rsid w:val="00587AE5"/>
    <w:rsid w:val="005A5E1E"/>
    <w:rsid w:val="005F309D"/>
    <w:rsid w:val="005F3DE5"/>
    <w:rsid w:val="00607FFA"/>
    <w:rsid w:val="006441E8"/>
    <w:rsid w:val="00655D9C"/>
    <w:rsid w:val="00703A06"/>
    <w:rsid w:val="0071506A"/>
    <w:rsid w:val="00742666"/>
    <w:rsid w:val="00757583"/>
    <w:rsid w:val="00764A28"/>
    <w:rsid w:val="007A2792"/>
    <w:rsid w:val="007F4C20"/>
    <w:rsid w:val="0080529E"/>
    <w:rsid w:val="00820530"/>
    <w:rsid w:val="008764D8"/>
    <w:rsid w:val="008A422E"/>
    <w:rsid w:val="008B5D7F"/>
    <w:rsid w:val="008C1C66"/>
    <w:rsid w:val="008E06F7"/>
    <w:rsid w:val="008E254F"/>
    <w:rsid w:val="008F73AA"/>
    <w:rsid w:val="0095253F"/>
    <w:rsid w:val="009F01CD"/>
    <w:rsid w:val="00A03563"/>
    <w:rsid w:val="00A4165D"/>
    <w:rsid w:val="00A566EC"/>
    <w:rsid w:val="00AA76FF"/>
    <w:rsid w:val="00AD3DBF"/>
    <w:rsid w:val="00B20DBB"/>
    <w:rsid w:val="00B4098B"/>
    <w:rsid w:val="00B53B97"/>
    <w:rsid w:val="00B65F55"/>
    <w:rsid w:val="00BB72DE"/>
    <w:rsid w:val="00C014E1"/>
    <w:rsid w:val="00CD36AB"/>
    <w:rsid w:val="00CE2D2C"/>
    <w:rsid w:val="00CE3E92"/>
    <w:rsid w:val="00CF603D"/>
    <w:rsid w:val="00CF7C17"/>
    <w:rsid w:val="00D03322"/>
    <w:rsid w:val="00D6457E"/>
    <w:rsid w:val="00D71E57"/>
    <w:rsid w:val="00D83B73"/>
    <w:rsid w:val="00D91247"/>
    <w:rsid w:val="00DA5D80"/>
    <w:rsid w:val="00E07C4D"/>
    <w:rsid w:val="00E258B6"/>
    <w:rsid w:val="00E66902"/>
    <w:rsid w:val="00E82D06"/>
    <w:rsid w:val="00ED01D5"/>
    <w:rsid w:val="00EF6F08"/>
    <w:rsid w:val="00F03264"/>
    <w:rsid w:val="00F07E78"/>
    <w:rsid w:val="00F20C29"/>
    <w:rsid w:val="00F5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9DCC7-6042-46EE-968C-7B1956C8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A566EC"/>
    <w:pPr>
      <w:keepNext/>
      <w:spacing w:after="0" w:line="240" w:lineRule="auto"/>
      <w:ind w:firstLine="720"/>
      <w:outlineLvl w:val="7"/>
    </w:pPr>
    <w:rPr>
      <w:rFonts w:ascii="Times Armenian" w:eastAsia="Times New Roman" w:hAnsi="Times Armeni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BB72DE"/>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rsid w:val="00BB72DE"/>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E66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902"/>
    <w:rPr>
      <w:rFonts w:ascii="Segoe UI" w:hAnsi="Segoe UI" w:cs="Segoe UI"/>
      <w:sz w:val="18"/>
      <w:szCs w:val="18"/>
    </w:rPr>
  </w:style>
  <w:style w:type="paragraph" w:styleId="NormalWeb">
    <w:name w:val="Normal (Web)"/>
    <w:basedOn w:val="Normal"/>
    <w:link w:val="NormalWebChar"/>
    <w:uiPriority w:val="99"/>
    <w:qFormat/>
    <w:rsid w:val="00764A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A566EC"/>
    <w:rPr>
      <w:rFonts w:ascii="Times Armenian" w:eastAsia="Times New Roman" w:hAnsi="Times Armenian" w:cs="Times New Roman"/>
      <w:sz w:val="24"/>
      <w:szCs w:val="20"/>
      <w:lang w:val="en-GB"/>
    </w:rPr>
  </w:style>
  <w:style w:type="character" w:customStyle="1" w:styleId="NormalWebChar">
    <w:name w:val="Normal (Web) Char"/>
    <w:link w:val="NormalWeb"/>
    <w:uiPriority w:val="99"/>
    <w:rsid w:val="00A566EC"/>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iPriority w:val="99"/>
    <w:semiHidden/>
    <w:unhideWhenUsed/>
    <w:rsid w:val="00587AE5"/>
    <w:pPr>
      <w:spacing w:after="120"/>
      <w:ind w:left="283"/>
    </w:pPr>
  </w:style>
  <w:style w:type="character" w:customStyle="1" w:styleId="BodyTextIndentChar">
    <w:name w:val="Body Text Indent Char"/>
    <w:basedOn w:val="DefaultParagraphFont"/>
    <w:link w:val="BodyTextIndent"/>
    <w:uiPriority w:val="99"/>
    <w:semiHidden/>
    <w:rsid w:val="00587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93156">
      <w:bodyDiv w:val="1"/>
      <w:marLeft w:val="0"/>
      <w:marRight w:val="0"/>
      <w:marTop w:val="0"/>
      <w:marBottom w:val="0"/>
      <w:divBdr>
        <w:top w:val="none" w:sz="0" w:space="0" w:color="auto"/>
        <w:left w:val="none" w:sz="0" w:space="0" w:color="auto"/>
        <w:bottom w:val="none" w:sz="0" w:space="0" w:color="auto"/>
        <w:right w:val="none" w:sz="0" w:space="0" w:color="auto"/>
      </w:divBdr>
      <w:divsChild>
        <w:div w:id="1070493875">
          <w:marLeft w:val="0"/>
          <w:marRight w:val="0"/>
          <w:marTop w:val="0"/>
          <w:marBottom w:val="0"/>
          <w:divBdr>
            <w:top w:val="none" w:sz="0" w:space="0" w:color="auto"/>
            <w:left w:val="none" w:sz="0" w:space="0" w:color="auto"/>
            <w:bottom w:val="none" w:sz="0" w:space="0" w:color="auto"/>
            <w:right w:val="none" w:sz="0" w:space="0" w:color="auto"/>
          </w:divBdr>
          <w:divsChild>
            <w:div w:id="2086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0339">
      <w:bodyDiv w:val="1"/>
      <w:marLeft w:val="0"/>
      <w:marRight w:val="0"/>
      <w:marTop w:val="0"/>
      <w:marBottom w:val="0"/>
      <w:divBdr>
        <w:top w:val="none" w:sz="0" w:space="0" w:color="auto"/>
        <w:left w:val="none" w:sz="0" w:space="0" w:color="auto"/>
        <w:bottom w:val="none" w:sz="0" w:space="0" w:color="auto"/>
        <w:right w:val="none" w:sz="0" w:space="0" w:color="auto"/>
      </w:divBdr>
      <w:divsChild>
        <w:div w:id="878787185">
          <w:marLeft w:val="0"/>
          <w:marRight w:val="0"/>
          <w:marTop w:val="0"/>
          <w:marBottom w:val="0"/>
          <w:divBdr>
            <w:top w:val="none" w:sz="0" w:space="0" w:color="auto"/>
            <w:left w:val="none" w:sz="0" w:space="0" w:color="auto"/>
            <w:bottom w:val="none" w:sz="0" w:space="0" w:color="auto"/>
            <w:right w:val="none" w:sz="0" w:space="0" w:color="auto"/>
          </w:divBdr>
          <w:divsChild>
            <w:div w:id="19344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14</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Grigoryan</dc:creator>
  <cp:keywords>https:/mul2-mineconomy.gov.am/tasks/163997/oneclick/3Ampopatert.docx?token=11ea4edfd8c27c579f9fb47ce9af4f59</cp:keywords>
  <cp:lastModifiedBy>Sona Grigoryan</cp:lastModifiedBy>
  <cp:revision>20</cp:revision>
  <cp:lastPrinted>2022-01-03T06:58:00Z</cp:lastPrinted>
  <dcterms:created xsi:type="dcterms:W3CDTF">2021-12-07T14:04:00Z</dcterms:created>
  <dcterms:modified xsi:type="dcterms:W3CDTF">2022-01-20T13:23:00Z</dcterms:modified>
</cp:coreProperties>
</file>