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656FF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E15F07">
        <w:rPr>
          <w:rFonts w:ascii="GHEA Mariam" w:hAnsi="GHEA Mariam"/>
          <w:sz w:val="24"/>
          <w:szCs w:val="24"/>
          <w:lang w:val="hy-AM"/>
        </w:rPr>
        <w:t>7</w:t>
      </w:r>
      <w:r w:rsidR="007B5325">
        <w:rPr>
          <w:rFonts w:ascii="GHEA Mariam" w:hAnsi="GHEA Mariam"/>
          <w:sz w:val="24"/>
          <w:szCs w:val="24"/>
          <w:lang w:val="hy-AM"/>
        </w:rPr>
        <w:t xml:space="preserve">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201DC"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201DC" w:rsidRPr="006201DC" w:rsidRDefault="006201DC" w:rsidP="006201DC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6201DC">
        <w:rPr>
          <w:rFonts w:ascii="GHEA Mariam" w:hAnsi="GHEA Mariam"/>
          <w:sz w:val="24"/>
          <w:szCs w:val="24"/>
          <w:lang w:val="fr-FR"/>
        </w:rPr>
        <w:t>«</w:t>
      </w:r>
      <w:r w:rsidRPr="006201DC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6201DC">
        <w:rPr>
          <w:rFonts w:ascii="GHEA Mariam" w:hAnsi="GHEA Mariam"/>
          <w:sz w:val="24"/>
          <w:szCs w:val="24"/>
          <w:lang w:val="fr-FR"/>
        </w:rPr>
        <w:t xml:space="preserve"> </w:t>
      </w:r>
      <w:r w:rsidRPr="006201DC">
        <w:rPr>
          <w:rFonts w:ascii="GHEA Mariam" w:hAnsi="GHEA Mariam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6201DC">
        <w:rPr>
          <w:rFonts w:ascii="GHEA Mariam" w:hAnsi="GHEA Mariam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/>
          <w:sz w:val="24"/>
          <w:szCs w:val="24"/>
          <w:lang w:val="fr-FR"/>
        </w:rPr>
        <w:t xml:space="preserve"> </w:t>
      </w:r>
      <w:r w:rsidRPr="006201DC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6201DC">
        <w:rPr>
          <w:rFonts w:ascii="GHEA Mariam" w:hAnsi="GHEA Mariam"/>
          <w:sz w:val="24"/>
          <w:szCs w:val="24"/>
          <w:lang w:val="fr-FR"/>
        </w:rPr>
        <w:t xml:space="preserve"> </w:t>
      </w:r>
      <w:r w:rsidRPr="006201DC">
        <w:rPr>
          <w:rFonts w:ascii="GHEA Mariam" w:hAnsi="GHEA Mariam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Arial"/>
          <w:sz w:val="24"/>
          <w:szCs w:val="24"/>
          <w:lang w:val="hy-AM"/>
        </w:rPr>
        <w:t>ԵՎ</w:t>
      </w:r>
      <w:r w:rsidRPr="006201DC">
        <w:rPr>
          <w:rFonts w:ascii="GHEA Mariam" w:hAnsi="GHEA Mariam"/>
          <w:sz w:val="24"/>
          <w:szCs w:val="24"/>
          <w:lang w:val="fr-FR"/>
        </w:rPr>
        <w:t xml:space="preserve"> </w:t>
      </w:r>
      <w:r w:rsidRPr="006201DC">
        <w:rPr>
          <w:rFonts w:ascii="GHEA Mariam" w:hAnsi="GHEA Mariam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6201DC">
        <w:rPr>
          <w:rFonts w:ascii="GHEA Mariam" w:hAnsi="GHEA Mariam"/>
          <w:sz w:val="24"/>
          <w:szCs w:val="24"/>
          <w:lang w:val="fr-FR"/>
        </w:rPr>
        <w:t xml:space="preserve"> </w:t>
      </w:r>
      <w:r w:rsidRPr="00A47EC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47ECE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A47ECE">
        <w:rPr>
          <w:rFonts w:ascii="GHEA Mariam" w:hAnsi="GHEA Mariam" w:cs="Arial"/>
          <w:spacing w:val="-8"/>
          <w:sz w:val="24"/>
          <w:szCs w:val="24"/>
          <w:lang w:val="hy-AM"/>
        </w:rPr>
        <w:t>ՕՐԵՆՔՈՒՄ</w:t>
      </w:r>
      <w:r w:rsidRPr="00A47E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7ECE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A47EC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47ECE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A47EC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47ECE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6201DC">
        <w:rPr>
          <w:rFonts w:ascii="GHEA Mariam" w:hAnsi="GHEA Mariam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201DC">
        <w:rPr>
          <w:rFonts w:ascii="GHEA Mariam" w:hAnsi="GHEA Mariam"/>
          <w:sz w:val="24"/>
          <w:szCs w:val="24"/>
          <w:lang w:val="fr-FR"/>
        </w:rPr>
        <w:t xml:space="preserve"> </w:t>
      </w:r>
      <w:r w:rsidRPr="006201DC">
        <w:rPr>
          <w:rFonts w:ascii="GHEA Mariam" w:hAnsi="GHEA Mariam" w:cs="Arial"/>
          <w:sz w:val="24"/>
          <w:szCs w:val="24"/>
          <w:lang w:val="hy-AM"/>
        </w:rPr>
        <w:t>ՄԱՍԻՆ</w:t>
      </w:r>
      <w:r w:rsidRPr="006201DC">
        <w:rPr>
          <w:rFonts w:ascii="GHEA Mariam" w:hAnsi="GHEA Mariam" w:cs="Sylfaen"/>
          <w:spacing w:val="10"/>
          <w:sz w:val="24"/>
          <w:szCs w:val="24"/>
          <w:lang w:val="af-ZA"/>
        </w:rPr>
        <w:t>»</w:t>
      </w:r>
      <w:r w:rsidRPr="006201DC">
        <w:rPr>
          <w:rFonts w:ascii="GHEA Mariam" w:hAnsi="GHEA Mariam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r w:rsidRPr="006201DC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6201DC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6201DC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6201DC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6201D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6201D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6201D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6201DC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6201DC" w:rsidRPr="006201DC" w:rsidRDefault="006201DC" w:rsidP="006201DC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6201DC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6201DC" w:rsidRPr="006201DC" w:rsidRDefault="006201DC" w:rsidP="006201D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6201DC" w:rsidRPr="006201DC" w:rsidRDefault="006201DC" w:rsidP="006201D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6201DC" w:rsidRPr="006201DC" w:rsidRDefault="006201DC" w:rsidP="006201DC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6201DC">
        <w:rPr>
          <w:rFonts w:ascii="GHEA Mariam" w:hAnsi="GHEA Mariam" w:cs="Tahoma"/>
          <w:sz w:val="24"/>
          <w:szCs w:val="24"/>
        </w:rPr>
        <w:t>Հիմք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ընդունելով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«</w:t>
      </w:r>
      <w:r w:rsidRPr="006201DC">
        <w:rPr>
          <w:rFonts w:ascii="GHEA Mariam" w:hAnsi="GHEA Mariam" w:cs="Tahoma"/>
          <w:sz w:val="24"/>
          <w:szCs w:val="24"/>
        </w:rPr>
        <w:t>Ազգային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ժողովի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կանոնակարգ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Pr="006201D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6201D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6201D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սահմանադրական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օրենքի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6201DC">
        <w:rPr>
          <w:rFonts w:ascii="GHEA Mariam" w:hAnsi="GHEA Mariam" w:cs="Tahoma"/>
          <w:sz w:val="24"/>
          <w:szCs w:val="24"/>
        </w:rPr>
        <w:t>րդ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հոդվածի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6201DC">
        <w:rPr>
          <w:rFonts w:ascii="GHEA Mariam" w:hAnsi="GHEA Mariam" w:cs="Tahoma"/>
          <w:sz w:val="24"/>
          <w:szCs w:val="24"/>
        </w:rPr>
        <w:t>ին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մասը՝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Հայաստանի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Հանրապետության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կառավա</w:t>
      </w:r>
      <w:r w:rsidRPr="006201DC">
        <w:rPr>
          <w:rFonts w:ascii="GHEA Mariam" w:hAnsi="GHEA Mariam" w:cs="Tahoma"/>
          <w:sz w:val="24"/>
          <w:szCs w:val="24"/>
          <w:lang w:val="af-ZA"/>
        </w:rPr>
        <w:softHyphen/>
      </w:r>
      <w:r w:rsidRPr="006201DC">
        <w:rPr>
          <w:rFonts w:ascii="GHEA Mariam" w:hAnsi="GHEA Mariam" w:cs="Tahoma"/>
          <w:sz w:val="24"/>
          <w:szCs w:val="24"/>
        </w:rPr>
        <w:t>րությունը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6201DC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6201DC">
        <w:rPr>
          <w:rFonts w:ascii="GHEA Mariam" w:hAnsi="GHEA Mariam" w:cs="Tahoma"/>
          <w:sz w:val="24"/>
          <w:szCs w:val="24"/>
        </w:rPr>
        <w:t>մ</w:t>
      </w:r>
      <w:r w:rsidRPr="006201DC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6201DC">
        <w:rPr>
          <w:rFonts w:ascii="GHEA Mariam" w:hAnsi="GHEA Mariam" w:cs="Tahoma"/>
          <w:sz w:val="24"/>
          <w:szCs w:val="24"/>
        </w:rPr>
        <w:t>է</w:t>
      </w:r>
      <w:r w:rsidRPr="006201DC">
        <w:rPr>
          <w:rFonts w:ascii="GHEA Mariam" w:hAnsi="GHEA Mariam" w:cs="Tahoma"/>
          <w:sz w:val="24"/>
          <w:szCs w:val="24"/>
          <w:lang w:val="af-ZA"/>
        </w:rPr>
        <w:t>.</w:t>
      </w:r>
    </w:p>
    <w:p w:rsidR="006201DC" w:rsidRPr="00EE7F62" w:rsidRDefault="006201DC" w:rsidP="006201DC">
      <w:pPr>
        <w:pStyle w:val="norm"/>
        <w:spacing w:line="360" w:lineRule="auto"/>
        <w:rPr>
          <w:rFonts w:ascii="GHEA Mariam" w:hAnsi="GHEA Mariam" w:cs="Tahoma"/>
          <w:spacing w:val="-2"/>
          <w:sz w:val="24"/>
          <w:szCs w:val="24"/>
          <w:lang w:val="af-ZA"/>
        </w:rPr>
      </w:pP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1. </w:t>
      </w:r>
      <w:r w:rsidRPr="00EE7F62">
        <w:rPr>
          <w:rFonts w:ascii="GHEA Mariam" w:hAnsi="GHEA Mariam" w:cs="Tahoma"/>
          <w:spacing w:val="-2"/>
          <w:sz w:val="24"/>
          <w:szCs w:val="24"/>
        </w:rPr>
        <w:t>Հավանություն</w:t>
      </w: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E7F62">
        <w:rPr>
          <w:rFonts w:ascii="GHEA Mariam" w:hAnsi="GHEA Mariam" w:cs="Tahoma"/>
          <w:spacing w:val="-2"/>
          <w:sz w:val="24"/>
          <w:szCs w:val="24"/>
        </w:rPr>
        <w:t>տալ</w:t>
      </w: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E7F62">
        <w:rPr>
          <w:rFonts w:ascii="GHEA Mariam" w:hAnsi="GHEA Mariam" w:cs="Sylfaen"/>
          <w:spacing w:val="-2"/>
          <w:sz w:val="24"/>
          <w:szCs w:val="24"/>
          <w:lang w:val="af-ZA"/>
        </w:rPr>
        <w:t>«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>Բ</w:t>
      </w:r>
      <w:r w:rsidRPr="00EE7F62">
        <w:rPr>
          <w:rFonts w:ascii="GHEA Mariam" w:hAnsi="GHEA Mariam"/>
          <w:bCs/>
          <w:spacing w:val="-2"/>
          <w:sz w:val="24"/>
          <w:szCs w:val="24"/>
        </w:rPr>
        <w:t>նակչության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բժշկական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օգնության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և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սպասարկ</w:t>
      </w:r>
      <w:r w:rsidR="00EE7F62" w:rsidRPr="00EE7F62">
        <w:rPr>
          <w:rFonts w:ascii="GHEA Mariam" w:hAnsi="GHEA Mariam"/>
          <w:bCs/>
          <w:spacing w:val="-2"/>
          <w:sz w:val="24"/>
          <w:szCs w:val="24"/>
          <w:lang w:val="af-ZA"/>
        </w:rPr>
        <w:softHyphen/>
      </w:r>
      <w:r w:rsidRPr="00EE7F62">
        <w:rPr>
          <w:rFonts w:ascii="GHEA Mariam" w:hAnsi="GHEA Mariam"/>
          <w:bCs/>
          <w:spacing w:val="-2"/>
          <w:sz w:val="24"/>
          <w:szCs w:val="24"/>
        </w:rPr>
        <w:t>ման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մասին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» </w:t>
      </w:r>
      <w:r w:rsidRPr="00EE7F62">
        <w:rPr>
          <w:rFonts w:ascii="GHEA Mariam" w:hAnsi="GHEA Mariam"/>
          <w:bCs/>
          <w:spacing w:val="-2"/>
          <w:sz w:val="24"/>
          <w:szCs w:val="24"/>
        </w:rPr>
        <w:t>օրենքում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փոփոխություններ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և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լրացում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կատարելու</w:t>
      </w:r>
      <w:r w:rsidRPr="00EE7F62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EE7F62">
        <w:rPr>
          <w:rFonts w:ascii="GHEA Mariam" w:hAnsi="GHEA Mariam"/>
          <w:bCs/>
          <w:spacing w:val="-2"/>
          <w:sz w:val="24"/>
          <w:szCs w:val="24"/>
        </w:rPr>
        <w:t>մասին</w:t>
      </w:r>
      <w:r w:rsidRPr="00EE7F62">
        <w:rPr>
          <w:rFonts w:ascii="GHEA Mariam" w:hAnsi="GHEA Mariam" w:cs="Sylfaen"/>
          <w:spacing w:val="-2"/>
          <w:sz w:val="24"/>
          <w:szCs w:val="24"/>
          <w:lang w:val="af-ZA"/>
        </w:rPr>
        <w:t>» Հայաստանի Հանրապետության օրենքի նախագծի (</w:t>
      </w:r>
      <w:r w:rsidRPr="00EE7F62">
        <w:rPr>
          <w:rFonts w:ascii="GHEA Mariam" w:hAnsi="GHEA Mariam"/>
          <w:iCs/>
          <w:spacing w:val="-2"/>
          <w:sz w:val="24"/>
          <w:szCs w:val="24"/>
        </w:rPr>
        <w:t>Պ</w:t>
      </w:r>
      <w:r w:rsidRPr="00EE7F62">
        <w:rPr>
          <w:rFonts w:ascii="GHEA Mariam" w:hAnsi="GHEA Mariam"/>
          <w:iCs/>
          <w:spacing w:val="-2"/>
          <w:sz w:val="24"/>
          <w:szCs w:val="24"/>
          <w:lang w:val="fr-FR"/>
        </w:rPr>
        <w:t>-127-29.12.2021-</w:t>
      </w:r>
      <w:r w:rsidRPr="00EE7F62">
        <w:rPr>
          <w:rFonts w:ascii="GHEA Mariam" w:hAnsi="GHEA Mariam"/>
          <w:iCs/>
          <w:spacing w:val="-2"/>
          <w:sz w:val="24"/>
          <w:szCs w:val="24"/>
        </w:rPr>
        <w:t>ԱռՀ</w:t>
      </w:r>
      <w:r w:rsidRPr="00EE7F62">
        <w:rPr>
          <w:rFonts w:ascii="GHEA Mariam" w:hAnsi="GHEA Mariam"/>
          <w:iCs/>
          <w:spacing w:val="-2"/>
          <w:sz w:val="24"/>
          <w:szCs w:val="24"/>
          <w:lang w:val="fr-FR"/>
        </w:rPr>
        <w:t>-011/0</w:t>
      </w:r>
      <w:r w:rsidRPr="00EE7F62">
        <w:rPr>
          <w:rFonts w:ascii="GHEA Mariam" w:hAnsi="GHEA Mariam" w:cs="Sylfaen"/>
          <w:spacing w:val="-2"/>
          <w:sz w:val="24"/>
          <w:szCs w:val="24"/>
          <w:lang w:val="af-ZA"/>
        </w:rPr>
        <w:t xml:space="preserve">) </w:t>
      </w:r>
      <w:r w:rsidRPr="00EE7F62">
        <w:rPr>
          <w:rFonts w:ascii="GHEA Mariam" w:hAnsi="GHEA Mariam" w:cs="Tahoma"/>
          <w:spacing w:val="-2"/>
          <w:sz w:val="24"/>
          <w:szCs w:val="24"/>
        </w:rPr>
        <w:t>վերաբերյալ</w:t>
      </w: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E7F62">
        <w:rPr>
          <w:rFonts w:ascii="GHEA Mariam" w:hAnsi="GHEA Mariam" w:cs="Tahoma"/>
          <w:spacing w:val="-2"/>
          <w:sz w:val="24"/>
          <w:szCs w:val="24"/>
        </w:rPr>
        <w:t>Հայաստանի</w:t>
      </w: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E7F62">
        <w:rPr>
          <w:rFonts w:ascii="GHEA Mariam" w:hAnsi="GHEA Mariam" w:cs="Tahoma"/>
          <w:spacing w:val="-2"/>
          <w:sz w:val="24"/>
          <w:szCs w:val="24"/>
        </w:rPr>
        <w:t>Հանրապետության</w:t>
      </w: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E7F62">
        <w:rPr>
          <w:rFonts w:ascii="GHEA Mariam" w:hAnsi="GHEA Mariam" w:cs="Tahoma"/>
          <w:spacing w:val="-2"/>
          <w:sz w:val="24"/>
          <w:szCs w:val="24"/>
        </w:rPr>
        <w:t>կառավարության</w:t>
      </w: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EE7F62">
        <w:rPr>
          <w:rFonts w:ascii="GHEA Mariam" w:hAnsi="GHEA Mariam" w:cs="Tahoma"/>
          <w:spacing w:val="-2"/>
          <w:sz w:val="24"/>
          <w:szCs w:val="24"/>
        </w:rPr>
        <w:t>առաջար</w:t>
      </w:r>
      <w:r w:rsidR="00EE7F62" w:rsidRPr="00EE7F62">
        <w:rPr>
          <w:rFonts w:ascii="GHEA Mariam" w:hAnsi="GHEA Mariam" w:cs="Tahoma"/>
          <w:spacing w:val="-2"/>
          <w:sz w:val="24"/>
          <w:szCs w:val="24"/>
          <w:lang w:val="af-ZA"/>
        </w:rPr>
        <w:softHyphen/>
      </w:r>
      <w:r w:rsidRPr="00EE7F62">
        <w:rPr>
          <w:rFonts w:ascii="GHEA Mariam" w:hAnsi="GHEA Mariam" w:cs="Tahoma"/>
          <w:spacing w:val="-2"/>
          <w:sz w:val="24"/>
          <w:szCs w:val="24"/>
        </w:rPr>
        <w:t>կու</w:t>
      </w:r>
      <w:r w:rsidR="00EE7F62" w:rsidRPr="00EE7F62">
        <w:rPr>
          <w:rFonts w:ascii="GHEA Mariam" w:hAnsi="GHEA Mariam" w:cs="Tahoma"/>
          <w:spacing w:val="-2"/>
          <w:sz w:val="24"/>
          <w:szCs w:val="24"/>
          <w:lang w:val="af-ZA"/>
        </w:rPr>
        <w:softHyphen/>
      </w:r>
      <w:r w:rsidRPr="00EE7F62">
        <w:rPr>
          <w:rFonts w:ascii="GHEA Mariam" w:hAnsi="GHEA Mariam" w:cs="Tahoma"/>
          <w:spacing w:val="-2"/>
          <w:sz w:val="24"/>
          <w:szCs w:val="24"/>
        </w:rPr>
        <w:t>թյանը</w:t>
      </w:r>
      <w:r w:rsidRPr="00EE7F62">
        <w:rPr>
          <w:rFonts w:ascii="GHEA Mariam" w:hAnsi="GHEA Mariam" w:cs="Tahoma"/>
          <w:spacing w:val="-2"/>
          <w:sz w:val="24"/>
          <w:szCs w:val="24"/>
          <w:lang w:val="af-ZA"/>
        </w:rPr>
        <w:t xml:space="preserve">: </w:t>
      </w:r>
    </w:p>
    <w:p w:rsidR="006201DC" w:rsidRPr="006201DC" w:rsidRDefault="006201DC" w:rsidP="006201DC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6201DC">
        <w:rPr>
          <w:rFonts w:ascii="GHEA Mariam" w:hAnsi="GHEA Mariam"/>
          <w:sz w:val="24"/>
          <w:szCs w:val="24"/>
          <w:lang w:val="af-ZA"/>
        </w:rPr>
        <w:t xml:space="preserve">2. </w:t>
      </w:r>
      <w:r w:rsidRPr="006201DC">
        <w:rPr>
          <w:rFonts w:ascii="GHEA Mariam" w:hAnsi="GHEA Mariam"/>
          <w:sz w:val="24"/>
          <w:szCs w:val="24"/>
        </w:rPr>
        <w:t>Հայաստանի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Հանրապետության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կառավարության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առաջարկությունը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սահմանված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կարգով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ներկայացնել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Հայաստանի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Հանրապետության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Ազգային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ժողովի</w:t>
      </w:r>
      <w:r w:rsidRPr="006201DC">
        <w:rPr>
          <w:rFonts w:ascii="GHEA Mariam" w:hAnsi="GHEA Mariam"/>
          <w:sz w:val="24"/>
          <w:szCs w:val="24"/>
          <w:lang w:val="af-ZA"/>
        </w:rPr>
        <w:t xml:space="preserve"> </w:t>
      </w:r>
      <w:r w:rsidRPr="006201DC">
        <w:rPr>
          <w:rFonts w:ascii="GHEA Mariam" w:hAnsi="GHEA Mariam"/>
          <w:sz w:val="24"/>
          <w:szCs w:val="24"/>
        </w:rPr>
        <w:t>աշխատակազմ</w:t>
      </w:r>
      <w:r w:rsidRPr="006201DC">
        <w:rPr>
          <w:rFonts w:ascii="GHEA Mariam" w:hAnsi="GHEA Mariam"/>
          <w:sz w:val="24"/>
          <w:szCs w:val="24"/>
          <w:lang w:val="af-ZA"/>
        </w:rPr>
        <w:t>:</w:t>
      </w:r>
    </w:p>
    <w:p w:rsidR="00BA5707" w:rsidRPr="006201DC" w:rsidRDefault="00BA5707" w:rsidP="00447D26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51494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E51494" w:rsidSect="00EE7F62">
          <w:headerReference w:type="even" r:id="rId8"/>
          <w:headerReference w:type="default" r:id="rId9"/>
          <w:footerReference w:type="even" r:id="rId10"/>
          <w:pgSz w:w="11909" w:h="16834" w:code="9"/>
          <w:pgMar w:top="1276" w:right="1419" w:bottom="567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51494" w:rsidRDefault="00E51494" w:rsidP="00E51494">
      <w:pPr>
        <w:pStyle w:val="mechtex"/>
        <w:rPr>
          <w:rFonts w:ascii="GHEA Mariam" w:hAnsi="GHEA Mariam" w:cs="Arial"/>
          <w:spacing w:val="10"/>
          <w:sz w:val="24"/>
          <w:szCs w:val="24"/>
          <w:lang w:val="af-ZA"/>
        </w:rPr>
      </w:pPr>
      <w:r w:rsidRPr="00E51494">
        <w:rPr>
          <w:rFonts w:ascii="GHEA Mariam" w:hAnsi="GHEA Mariam"/>
          <w:bCs/>
          <w:sz w:val="24"/>
          <w:szCs w:val="24"/>
          <w:lang w:val="fr-FR"/>
        </w:rPr>
        <w:lastRenderedPageBreak/>
        <w:t>«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ԲՆԱԿՉՈՒԹՅԱՆ</w:t>
      </w:r>
      <w:r w:rsidRPr="00E5149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ԲԺՇԿԱԿԱՆ</w:t>
      </w:r>
      <w:r w:rsidRPr="00E5149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ՕԳՆՈՒԹՅԱՆ</w:t>
      </w:r>
      <w:r w:rsidRPr="00E51494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ԵՎ</w:t>
      </w:r>
      <w:r w:rsidRPr="00E5149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ՍՊԱՍԱՐԿՄԱՆ</w:t>
      </w:r>
      <w:r w:rsidRPr="00E51494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E51494">
        <w:rPr>
          <w:rFonts w:ascii="GHEA Mariam" w:hAnsi="GHEA Mariam"/>
          <w:bCs/>
          <w:sz w:val="24"/>
          <w:szCs w:val="24"/>
          <w:lang w:val="fr-FR"/>
        </w:rPr>
        <w:t xml:space="preserve">»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E51494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ՓՈՓՈԽՈՒԹՅՈՒՆՆԵՐ</w:t>
      </w:r>
      <w:r w:rsidRPr="00E5149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ԵՎ</w:t>
      </w:r>
      <w:r w:rsidRPr="00E5149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ԼՐԱՑՈՒՄ</w:t>
      </w:r>
      <w:r w:rsidRPr="00E5149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E51494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51494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E51494">
        <w:rPr>
          <w:rFonts w:ascii="GHEA Mariam" w:hAnsi="GHEA Mariam" w:cs="Sylfaen"/>
          <w:spacing w:val="10"/>
          <w:sz w:val="24"/>
          <w:szCs w:val="24"/>
          <w:lang w:val="af-ZA"/>
        </w:rPr>
        <w:t>»</w:t>
      </w:r>
      <w:r w:rsidRPr="00E5149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E51494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E51494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E51494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51494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E51494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51494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E51494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E51494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</w:p>
    <w:p w:rsidR="00E51494" w:rsidRDefault="00E51494" w:rsidP="00E51494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E51494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E51494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r w:rsidRPr="00E51494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E51494">
        <w:rPr>
          <w:rFonts w:ascii="GHEA Mariam" w:hAnsi="GHEA Mariam"/>
          <w:iCs/>
          <w:sz w:val="24"/>
          <w:szCs w:val="24"/>
          <w:lang w:val="fr-FR"/>
        </w:rPr>
        <w:t>-127-29.12.2021-</w:t>
      </w:r>
      <w:r w:rsidRPr="00E51494">
        <w:rPr>
          <w:rFonts w:ascii="GHEA Mariam" w:hAnsi="GHEA Mariam" w:cs="Arial"/>
          <w:iCs/>
          <w:sz w:val="24"/>
          <w:szCs w:val="24"/>
          <w:lang w:val="hy-AM"/>
        </w:rPr>
        <w:t>ԱռՀ</w:t>
      </w:r>
      <w:r w:rsidRPr="00E51494">
        <w:rPr>
          <w:rFonts w:ascii="GHEA Mariam" w:hAnsi="GHEA Mariam"/>
          <w:iCs/>
          <w:sz w:val="24"/>
          <w:szCs w:val="24"/>
          <w:lang w:val="fr-FR"/>
        </w:rPr>
        <w:t>-011/0</w:t>
      </w:r>
      <w:r w:rsidRPr="00E51494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E51494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E5149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51494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E5149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</w:p>
    <w:p w:rsidR="00E51494" w:rsidRPr="00E51494" w:rsidRDefault="00E51494" w:rsidP="00E51494">
      <w:pPr>
        <w:pStyle w:val="mechtex"/>
        <w:rPr>
          <w:rFonts w:ascii="GHEA Mariam" w:hAnsi="GHEA Mariam" w:cs="Tahoma"/>
          <w:spacing w:val="-4"/>
          <w:sz w:val="24"/>
          <w:szCs w:val="24"/>
          <w:lang w:val="af-ZA"/>
        </w:rPr>
      </w:pPr>
      <w:r w:rsidRPr="00E51494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E5149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51494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E5149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51494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</w:p>
    <w:p w:rsidR="00E51494" w:rsidRPr="00297271" w:rsidRDefault="00E51494" w:rsidP="00E51494">
      <w:pPr>
        <w:ind w:left="709" w:right="429"/>
        <w:jc w:val="both"/>
        <w:outlineLvl w:val="2"/>
        <w:rPr>
          <w:rFonts w:ascii="GHEA Grapalat" w:hAnsi="GHEA Grapalat" w:cs="Tahoma"/>
          <w:spacing w:val="-4"/>
          <w:lang w:val="af-ZA"/>
        </w:rPr>
      </w:pPr>
    </w:p>
    <w:p w:rsidR="00E51494" w:rsidRPr="00297271" w:rsidRDefault="00E51494" w:rsidP="00E51494">
      <w:pPr>
        <w:ind w:left="709" w:right="429"/>
        <w:jc w:val="both"/>
        <w:outlineLvl w:val="2"/>
        <w:rPr>
          <w:rFonts w:ascii="GHEA Grapalat" w:hAnsi="GHEA Grapalat" w:cs="Tahoma"/>
          <w:spacing w:val="-4"/>
          <w:lang w:val="af-ZA"/>
        </w:rPr>
      </w:pPr>
    </w:p>
    <w:p w:rsidR="00E51494" w:rsidRPr="00297271" w:rsidRDefault="00E51494" w:rsidP="00E51494">
      <w:pPr>
        <w:ind w:left="709" w:right="429"/>
        <w:jc w:val="both"/>
        <w:outlineLvl w:val="2"/>
        <w:rPr>
          <w:rFonts w:ascii="GHEA Grapalat" w:hAnsi="GHEA Grapalat" w:cs="Tahoma"/>
          <w:spacing w:val="-4"/>
          <w:lang w:val="af-ZA"/>
        </w:rPr>
      </w:pP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Ըստ 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ախագծին կից ներկայացված հիմնավորման՝ 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 նպատակն է ճշգրտել «Բնակչության բժշկական օգնությ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 և սպասարկման մասին» գործող օրենքի 41-րդ հոդվածի դրույթները: Մասնավորապես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նախագծի 1-ին հոդվածով առաջարկվում է օրենքում ամրագրել, որ ախտաբանաանատոմիական դիահեր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ձումները կատարվում են հիվանդությունների հետմահու ախտորոշման և մահվան պատճառը որոշելու նպատակով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միայն հիվանդանոցային պայմաններում բժշկա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կան օգնություն և սպասարկում իրականացնող կազմակերպություններում: Ըստ հեղինակների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այդ դրույթի ամրագրումը թույլ կտա ախտաբանա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անատո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միական գործունեությունը դարձնել վերահսկելի: 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Այդ կապակցությամբ Հայաստանի Հանրապետության կառավարությունը ստորև ներկայացնում է իր դիտարկումները</w:t>
      </w:r>
      <w:r w:rsidR="00874A7E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="00874A7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 1-ին հոդվածով նախատեսվում է «Բնակչության բժշկական օգնու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թյան և սպասարկման մասին» 1996 թվականի մարտի 4-ի ՀՕ-42 օրենքի (այսուհետ՝ 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րենք) 41-րդ հոդվածի 3-րդ մասը շարադրել հետևյալ խմբագրությամբ.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«3. Ախտաբանաանատոմիական դիահերձումներն իրականացվում են հիվան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դություն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softHyphen/>
        <w:t>ների հետմահու ախտորոշման և մահվան պատճառը որոշելու նպատակով, միայն հիվանդանոցային պայմաններում բժշկական օգնություն և սպասարկում իրականացնող կազմակերպություններում: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Ախտաբանաանատոմիական դիահերձումների անցկացման կարգը սահմա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նում է Կառավարությունը:»:</w:t>
      </w:r>
    </w:p>
    <w:p w:rsidR="00A47ECE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Վերոգրյալ նախատեսվող իրավակարգավորումների գործնական անհրա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ժեշտու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  <w:t>թյան վերաբերյալ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A47ECE" w:rsidRPr="00E51494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ախագծին կից ներկայացված հիմնավորման մեջ նշված է հետևյալ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ը՝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 «Արտահիվանդանոցային բջջաբանական և հյուսվածքաբանական (ձևաբա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նական) տեսակներով գործունեություն իրականաց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նողները դուրս են վերահսկողու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թյունից, քանի որ դրանք գործում են հիվան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դանոցներից դուրս: Ասվածի հիմնա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վորումն այն է, որ Հայաստանի Հանրա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պետության առողջա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պա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հական և աշխա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տանքի տեսչական մարմինը, համաձայն Հայաստանի Հանրա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պետության վարչա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պետի 2018 թվականի հունիսի 11-ի N 755-Լ որոշման հավել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վածի 11-րդ կետի 3-րդ ենթակետի և 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ՀՀ կ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առավարության 2008 թվականի մարտի 27-ի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N 276-Ն որոշման, կարող է միայն հիվանդանոցային բժշկական օգնություն և սպասարկում իրա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կանացնող կազմակերպությունների լիցենզիայի պայմանների և պահանջների նկատմամբ վերահսկողություն իրականացնել»: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Մինչդեռ Հայաստանի Հանրապետության կառավարության 2021 թվականի ապրիլի 8-ի N 519-Ն որոշման հավելվածի </w:t>
      </w:r>
      <w:r w:rsidR="0051634D">
        <w:rPr>
          <w:rFonts w:ascii="GHEA Mariam" w:hAnsi="GHEA Mariam"/>
          <w:color w:val="000000"/>
          <w:sz w:val="24"/>
          <w:szCs w:val="24"/>
          <w:lang w:val="hy-AM"/>
        </w:rPr>
        <w:t>3</w:t>
      </w:r>
      <w:bookmarkStart w:id="0" w:name="_GoBack"/>
      <w:bookmarkEnd w:id="0"/>
      <w:r w:rsidRPr="00E51494">
        <w:rPr>
          <w:rFonts w:ascii="GHEA Mariam" w:hAnsi="GHEA Mariam"/>
          <w:color w:val="000000"/>
          <w:sz w:val="24"/>
          <w:szCs w:val="24"/>
          <w:lang w:val="hy-AM"/>
        </w:rPr>
        <w:t>-րդ կետում սահմանված է հետևյալը՝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«Հիվանդանոցային հաստատությունում դիահերձում չիրականացնելու դեպ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քում (եթե հաստատությունը չունի դիահերձարան, կամ մահացածի ծնողի կամ ամուսնու կամ երեխաների կամ օրինական ներկայացուցչի գրավոր դիմումի համաձայն դիահերձումը կատարվելու է այլ դիահերձարանում) հիվանդանոցային հաստատության ղեկավարի կողմից նշանակված պատասխանատու անձը կատարում է գրառում հիվանդության պատմագրի մեջ` նշելով այլ դիահերձարան ուղարկելու ժամը և հասցեն, մահացածի ծնողին կամ ամուսնուն կամ երեխաներին կամ օրինական ներկայացուցչին կամ կոնտակտային անձին տրամադրելով պացիենտի հիվանդության պատմագրի էպիկրիզը»: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վարչապետի 2018 թվականի հունիսի 11-ի 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 xml:space="preserve">       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N 755-Լ որոշման հավելվածի 11-րդ կետի 3-րդ ենթակետում սահմանված է հետևյալը՝ 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«Տեսչական մարմնի լիազորություններն են՝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Բնակչության բժշկական օգնության և սպասարկման մասին» Հայաստանի Հանրապետության օրենքով նախատեսված՝ իր իրավասության սահմաններում վերահսկողության իրականացումը՝ բժշկական փաստաթղթերի լրացման, դրանց պահպանման, շրջանառության, ինչպես նաև առողջապահության բնագավառում լիցենզիայի պայմանների և պահանջների նկատմամբ»: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Վերոգրյալ իրավանորմերի վերլուծությունից պարզ է դառնում, որ 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 1-ին հոդվածով առաջարկվող իրավակարգավորումների անհրաժեշտությունը գործ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նականում բացակայում է, քանի որ Հայաստանի Հանրապետության առողջա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պահական և աշխատանքի տեսչական մարմինը իրավասու է վերա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հսկողություն իրականացնել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նաև արտահիվանդանոցային պայմաններում բժշկական օգնու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թյուն և սպասարկում իրականացնող այն կազմակերպությունների նկատմամբ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որոնք իրականացնում են նաև ախտաբանաանատոմիական դիա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հերձումներ: 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Միաժամանակ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ախագծին կից ներկայացված հիմնավորումից հնարավոր չէ լիարժեք գնահատել առաջարկվող կարգավորումների գործնական անհրա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ժեշտու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թյունը, քանի որ բացակայում են արտահիվանդանոցային պայմաններում բժշկա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կան օգնություն և սպասարկում իրականացնող կազմակերպությունների նկատ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մամբ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որոնք իրականացնում են նաև ախտաբանաանատոմիական դիահերձում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ներ, վերահսկողություն իրականացնելու հնարավորության բացակա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յության վերաբերյալ հստակ հիմնավորումները և վերլուծությունները, ինչն էական նշանակություն և կարևորություն ունի ներկայացված առաջարկությունների հիմնավորվածությունը լիարժեք գնահատելու համար: 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սահմանադրական դատարանը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2014 թվա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կանի դեկտեմբերի 2-ի ՍԴՈ–1176 որոշմամբ անդրադառնալով օրենքների հիմնա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վորվածությանը, արձանագրել է. «(…) օրենսդրությունն ստատիկ երևույթ չէ, այն կարող է և պետք է ենթարկվի դինամիկ փոփոխության՝ մշտապես կատարե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լա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գործվելով տնտեսական զարգացմանը, տեղի ունեցող միջազգային ինտեգրման գործընթացներին, հասարակական հարաբերությունների վերափոխ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մանն ու մի շարք այլ գործոններին համահունչ։ (…) Միևնույն ժամանակ, սահմանադրական դատարանը կարևորում է օրենսդրական փոփոխությունների գործընթացի կայունությունն ու ներդաշնակությունը, օրենքների փոփոխման հիմնավորվա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ծու</w:t>
      </w:r>
      <w:r w:rsidR="00A47EC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թյունն ու օբյեկտիվ անհրաժեշտությունը, ինչը հնարավորություն է ընձեռում իրավունքի սուբյեկտին իր վարքագիծը համապատասխանեցնել փոփոխվող օրենս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դրական նորմերին` թույլ չտալով իրավակիրառ մարմինների կողմից ցուցաբերված սուբյեկտիվիզմի դրսևորում և հայեցողության ընդլայնում»: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ab/>
        <w:t xml:space="preserve">Վերոգրյալից հետևում է, որ 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 1-ին հոդվածն ունի լրացուցիչ հիմնա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վորման կարիք`  բարձրացված խնդիրների համատեքստում: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2. Նախագծի 5-րդ հոդվածում սահմանված է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«Սույն օրենքն ուժի մեջ է մտնում պաշտոնական հրապարակման օրվան հաջորդող տասներորդ օրը, բացառությամբ 1-ին հոդվածի: Սույն օրենքի 1-ին հոդվածն ուժի մեջ է մտնում պաշտոնական հրապարակումից վեց ամիս հետո»: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Համաձայն Հայաստանի Հանրապետության կառավարության 2002 թվականի  հունիսի 29-ի N 867 որոշման 5-րդ հավելվածի 4-րդ կետի՝ բժշկական օգնության և սպասարկման իրականացման համար լիցենզիաները տրվում են անժամկետ` օրենքով և սույն կարգով նախատեսված բոլոր փաստաթղթերը ներկայացվելուց հետո` 23 աշխատանքային օրվա ընթացքում: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Նախագծի 1-ին հոդվածով առաջարկվող իրավակարգավորումների համա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տե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քստում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անհրաժեշտ է վերանայել 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 5-րդ հոդվածը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այն դիտարկելով բժշկական օգնության և սպասարկման տեսակ հանդիսացող՝ ախտաբա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անատոմիական դիահերձումներ իրականացնելու անժամկետ լիցենզիա ունեցող կազմակերպությունների և անհատ ձեռնարկատերերի իրավունքների սահմանա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փակման իրավաչափության համատեքստում, հաշվի առնելով նաև այդ կազմա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կերպությունների և անհատ ձեռնարկատերերի՝ իրենց անժամկետ լիցենզիաների առնչությամբ ունեցած լեգիտիմ ակնկալիքները: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="00A26239" w:rsidRPr="00E51494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աշվի առնելով «Նորմատիվ իրավական ակտերի մասին» ՀՀ օրենքի պահանջները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1) նախագծի 1-ին հոդվածով նոր խմբագրությամբ շարադրվող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C54DBB" w:rsidRPr="00E51494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րենքի 41-րդ հոդվածի 3-րդ մասի չհամարակալված 2-րդ պարբերությունն անհրաժեշտ է համարակալել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ախագծի 4-րդ հոդվածում անհրաժեշտ է հստակեցնել</w:t>
      </w:r>
      <w:r w:rsidR="00A26239">
        <w:rPr>
          <w:rFonts w:ascii="GHEA Mariam" w:hAnsi="GHEA Mariam"/>
          <w:color w:val="000000"/>
          <w:sz w:val="24"/>
          <w:szCs w:val="24"/>
          <w:lang w:val="hy-AM"/>
        </w:rPr>
        <w:t>, թե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կոնկրետ որ բառից հետո է կատարվում լրացումը:</w:t>
      </w:r>
    </w:p>
    <w:p w:rsidR="00E51494" w:rsidRPr="00E51494" w:rsidRDefault="00E51494" w:rsidP="00E51494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51494">
        <w:rPr>
          <w:rFonts w:ascii="GHEA Mariam" w:hAnsi="GHEA Mariam"/>
          <w:color w:val="000000"/>
          <w:sz w:val="24"/>
          <w:szCs w:val="24"/>
          <w:lang w:val="hy-AM"/>
        </w:rPr>
        <w:t>Ամփոփելով վերը շարադրվածը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կառա</w:t>
      </w:r>
      <w:r w:rsidR="00C54DBB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E51494">
        <w:rPr>
          <w:rFonts w:ascii="GHEA Mariam" w:hAnsi="GHEA Mariam"/>
          <w:color w:val="000000"/>
          <w:sz w:val="24"/>
          <w:szCs w:val="24"/>
          <w:lang w:val="hy-AM"/>
        </w:rPr>
        <w:t>վարությունը գտնում է, որ նախագծի ընդունումը լրացուցիչ հիմնավորման կարիք ունի:</w:t>
      </w: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E51494">
      <w:pgSz w:w="11909" w:h="16834" w:code="9"/>
      <w:pgMar w:top="1276" w:right="1136" w:bottom="1135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F38" w:rsidRDefault="00BA2F38">
      <w:r>
        <w:separator/>
      </w:r>
    </w:p>
  </w:endnote>
  <w:endnote w:type="continuationSeparator" w:id="0">
    <w:p w:rsidR="00BA2F38" w:rsidRDefault="00BA2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74A7E">
      <w:rPr>
        <w:noProof/>
        <w:sz w:val="18"/>
      </w:rPr>
      <w:t>KA-12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F38" w:rsidRDefault="00BA2F38">
      <w:r>
        <w:separator/>
      </w:r>
    </w:p>
  </w:footnote>
  <w:footnote w:type="continuationSeparator" w:id="0">
    <w:p w:rsidR="00BA2F38" w:rsidRDefault="00BA2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634D">
      <w:rPr>
        <w:rStyle w:val="PageNumber"/>
        <w:noProof/>
      </w:rPr>
      <w:t>4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4E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34D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1DC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4A7E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0A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239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EC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2F38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DBB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F07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494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4AB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E7F62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135</cp:revision>
  <cp:lastPrinted>2022-01-25T10:19:00Z</cp:lastPrinted>
  <dcterms:created xsi:type="dcterms:W3CDTF">2021-03-09T05:28:00Z</dcterms:created>
  <dcterms:modified xsi:type="dcterms:W3CDTF">2022-01-26T05:22:00Z</dcterms:modified>
</cp:coreProperties>
</file>