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AAB" w:rsidRPr="00B25B9F" w:rsidRDefault="003E5AAB" w:rsidP="00B25B9F">
      <w:pPr>
        <w:spacing w:after="0" w:line="360" w:lineRule="auto"/>
        <w:ind w:firstLine="375"/>
        <w:jc w:val="center"/>
        <w:rPr>
          <w:rFonts w:ascii="GHEA Grapalat" w:eastAsia="Times New Roman" w:hAnsi="GHEA Grapalat" w:cs="Times New Roman"/>
          <w:b/>
          <w:sz w:val="24"/>
          <w:szCs w:val="24"/>
        </w:rPr>
      </w:pPr>
      <w:r w:rsidRPr="00B25B9F">
        <w:rPr>
          <w:rFonts w:ascii="GHEA Grapalat" w:eastAsia="Times New Roman" w:hAnsi="GHEA Grapalat" w:cs="Times New Roman"/>
          <w:b/>
          <w:bCs/>
          <w:sz w:val="24"/>
          <w:szCs w:val="24"/>
        </w:rPr>
        <w:t>ԱՄՓՈՓԱԹԵՐԹ</w:t>
      </w:r>
    </w:p>
    <w:p w:rsidR="003E5AAB" w:rsidRPr="00B25B9F" w:rsidRDefault="003E5AAB" w:rsidP="00B25B9F">
      <w:pPr>
        <w:pStyle w:val="NormalWeb"/>
        <w:spacing w:before="0" w:beforeAutospacing="0" w:after="0" w:afterAutospacing="0" w:line="360" w:lineRule="auto"/>
        <w:ind w:firstLine="375"/>
        <w:jc w:val="center"/>
        <w:rPr>
          <w:rFonts w:ascii="GHEA Grapalat" w:hAnsi="GHEA Grapalat"/>
          <w:b/>
          <w:lang w:val="hy-AM"/>
        </w:rPr>
      </w:pPr>
      <w:r w:rsidRPr="00B25B9F">
        <w:rPr>
          <w:rFonts w:ascii="GHEA Grapalat" w:hAnsi="GHEA Grapalat"/>
          <w:b/>
          <w:lang w:val="hy-AM"/>
        </w:rPr>
        <w:t>«ԱՌԱՆՑ ՄՐՑՈՒՅԹԻ ԿԱՌՈՒՑԱՊԱՏՄԱՆ  ԻՐԱՎՈՒՆՔՈՎ ՀՈՂԱՄԱՍ ՏՐԱՄԱԴՐԵԼՈՒ ՄԱՍԻՆ» ԿԱՌԱՎԱՐՈՒԹՅԱՆ ՈՐՈՇՄԱՆ</w:t>
      </w:r>
    </w:p>
    <w:p w:rsidR="003E5AAB" w:rsidRPr="00B25B9F" w:rsidRDefault="003E5AAB" w:rsidP="00B25B9F">
      <w:pPr>
        <w:spacing w:after="0" w:line="360" w:lineRule="auto"/>
        <w:ind w:firstLine="375"/>
        <w:jc w:val="center"/>
        <w:rPr>
          <w:rFonts w:ascii="GHEA Grapalat" w:eastAsia="Times New Roman" w:hAnsi="GHEA Grapalat" w:cs="Times New Roman"/>
          <w:b/>
          <w:sz w:val="24"/>
          <w:szCs w:val="24"/>
        </w:rPr>
      </w:pPr>
      <w:r w:rsidRPr="00B25B9F">
        <w:rPr>
          <w:rFonts w:ascii="GHEA Grapalat" w:eastAsia="Times New Roman" w:hAnsi="GHEA Grapalat" w:cs="Times New Roman"/>
          <w:b/>
          <w:bCs/>
          <w:sz w:val="24"/>
          <w:szCs w:val="24"/>
        </w:rPr>
        <w:t>ՆԱԽԱԳԾԻ</w:t>
      </w:r>
    </w:p>
    <w:p w:rsidR="003E5AAB" w:rsidRPr="00B25B9F" w:rsidRDefault="003E5AAB" w:rsidP="00B25B9F">
      <w:pPr>
        <w:spacing w:after="0" w:line="360" w:lineRule="auto"/>
        <w:ind w:firstLine="375"/>
        <w:jc w:val="center"/>
        <w:rPr>
          <w:rFonts w:ascii="GHEA Grapalat" w:eastAsia="Times New Roman" w:hAnsi="GHEA Grapalat" w:cs="Times New Roman"/>
          <w:sz w:val="24"/>
          <w:szCs w:val="24"/>
        </w:rPr>
      </w:pPr>
      <w:r w:rsidRPr="00B25B9F">
        <w:rPr>
          <w:rFonts w:ascii="Calibri" w:eastAsia="Times New Roman" w:hAnsi="Calibri" w:cs="Calibri"/>
          <w:sz w:val="24"/>
          <w:szCs w:val="24"/>
        </w:rPr>
        <w:t>     </w:t>
      </w:r>
      <w:r w:rsidRPr="00B25B9F">
        <w:rPr>
          <w:rFonts w:ascii="GHEA Grapalat" w:eastAsia="Times New Roman" w:hAnsi="GHEA Grapalat" w:cs="Times New Roman"/>
          <w:sz w:val="24"/>
          <w:szCs w:val="24"/>
        </w:rPr>
        <w:t xml:space="preserve"> </w:t>
      </w:r>
      <w:r w:rsidRPr="00B25B9F">
        <w:rPr>
          <w:rFonts w:ascii="Calibri" w:eastAsia="Times New Roman" w:hAnsi="Calibri" w:cs="Calibri"/>
          <w:sz w:val="24"/>
          <w:szCs w:val="24"/>
        </w:rPr>
        <w:t> </w:t>
      </w:r>
    </w:p>
    <w:tbl>
      <w:tblPr>
        <w:tblW w:w="1057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12"/>
        <w:gridCol w:w="3964"/>
      </w:tblGrid>
      <w:tr w:rsidR="00695964" w:rsidRPr="00B25B9F" w:rsidTr="00F508F0">
        <w:trPr>
          <w:tblCellSpacing w:w="0" w:type="dxa"/>
          <w:jc w:val="center"/>
        </w:trPr>
        <w:tc>
          <w:tcPr>
            <w:tcW w:w="661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E5AAB" w:rsidRPr="007C789E" w:rsidRDefault="003E5AAB" w:rsidP="007C789E">
            <w:pPr>
              <w:spacing w:before="100" w:beforeAutospacing="1" w:after="100" w:afterAutospacing="1" w:line="360" w:lineRule="auto"/>
              <w:jc w:val="center"/>
              <w:rPr>
                <w:rFonts w:ascii="GHEA Grapalat" w:eastAsia="Times New Roman" w:hAnsi="GHEA Grapalat" w:cs="Times New Roman"/>
                <w:sz w:val="24"/>
                <w:szCs w:val="24"/>
                <w:lang w:val="hy-AM"/>
              </w:rPr>
            </w:pPr>
            <w:r w:rsidRPr="00B25B9F">
              <w:rPr>
                <w:rFonts w:ascii="Calibri" w:eastAsia="Times New Roman" w:hAnsi="Calibri" w:cs="Calibri"/>
                <w:sz w:val="24"/>
                <w:szCs w:val="24"/>
              </w:rPr>
              <w:t> </w:t>
            </w:r>
            <w:r w:rsidRPr="00B25B9F">
              <w:rPr>
                <w:rFonts w:ascii="GHEA Grapalat" w:eastAsia="Times New Roman" w:hAnsi="GHEA Grapalat" w:cs="Times New Roman"/>
                <w:sz w:val="24"/>
                <w:szCs w:val="24"/>
              </w:rPr>
              <w:t xml:space="preserve">1. </w:t>
            </w:r>
            <w:r w:rsidR="007C789E">
              <w:rPr>
                <w:rFonts w:ascii="GHEA Grapalat" w:eastAsia="Times New Roman" w:hAnsi="GHEA Grapalat" w:cs="Times New Roman"/>
                <w:sz w:val="24"/>
                <w:szCs w:val="24"/>
                <w:lang w:val="hy-AM"/>
              </w:rPr>
              <w:t>Վարչապետի աշխատակազմի իրավաբանական վարչություն</w:t>
            </w:r>
          </w:p>
        </w:tc>
        <w:tc>
          <w:tcPr>
            <w:tcW w:w="3964" w:type="dxa"/>
            <w:tcBorders>
              <w:top w:val="outset" w:sz="6" w:space="0" w:color="auto"/>
              <w:left w:val="outset" w:sz="6" w:space="0" w:color="auto"/>
              <w:bottom w:val="outset" w:sz="6" w:space="0" w:color="auto"/>
              <w:right w:val="outset" w:sz="6" w:space="0" w:color="auto"/>
            </w:tcBorders>
            <w:shd w:val="clear" w:color="auto" w:fill="D0D0D0"/>
            <w:hideMark/>
          </w:tcPr>
          <w:p w:rsidR="003E5AAB" w:rsidRPr="00B25B9F" w:rsidRDefault="003E5AAB" w:rsidP="00B25B9F">
            <w:pPr>
              <w:spacing w:after="0" w:line="360" w:lineRule="auto"/>
              <w:jc w:val="center"/>
              <w:rPr>
                <w:rFonts w:ascii="GHEA Grapalat" w:eastAsia="Times New Roman" w:hAnsi="GHEA Grapalat" w:cs="Times New Roman"/>
                <w:sz w:val="24"/>
                <w:szCs w:val="24"/>
              </w:rPr>
            </w:pPr>
          </w:p>
        </w:tc>
      </w:tr>
      <w:tr w:rsidR="00B73695" w:rsidRPr="00B25B9F" w:rsidTr="00F508F0">
        <w:trPr>
          <w:tblCellSpacing w:w="0" w:type="dxa"/>
          <w:jc w:val="center"/>
        </w:trPr>
        <w:tc>
          <w:tcPr>
            <w:tcW w:w="6612" w:type="dxa"/>
            <w:vMerge/>
            <w:tcBorders>
              <w:top w:val="outset" w:sz="6" w:space="0" w:color="auto"/>
              <w:left w:val="outset" w:sz="6" w:space="0" w:color="auto"/>
              <w:bottom w:val="outset" w:sz="6" w:space="0" w:color="auto"/>
              <w:right w:val="outset" w:sz="6" w:space="0" w:color="auto"/>
            </w:tcBorders>
            <w:vAlign w:val="center"/>
            <w:hideMark/>
          </w:tcPr>
          <w:p w:rsidR="003E5AAB" w:rsidRPr="00B25B9F" w:rsidRDefault="003E5AAB" w:rsidP="00B25B9F">
            <w:pPr>
              <w:spacing w:after="0" w:line="360" w:lineRule="auto"/>
              <w:rPr>
                <w:rFonts w:ascii="GHEA Grapalat" w:eastAsia="Times New Roman" w:hAnsi="GHEA Grapalat" w:cs="Times New Roman"/>
                <w:sz w:val="24"/>
                <w:szCs w:val="24"/>
              </w:rPr>
            </w:pPr>
          </w:p>
        </w:tc>
        <w:tc>
          <w:tcPr>
            <w:tcW w:w="3964" w:type="dxa"/>
            <w:tcBorders>
              <w:top w:val="outset" w:sz="6" w:space="0" w:color="auto"/>
              <w:left w:val="outset" w:sz="6" w:space="0" w:color="auto"/>
              <w:bottom w:val="outset" w:sz="6" w:space="0" w:color="auto"/>
              <w:right w:val="outset" w:sz="6" w:space="0" w:color="auto"/>
            </w:tcBorders>
            <w:shd w:val="clear" w:color="auto" w:fill="D0D0D0"/>
            <w:hideMark/>
          </w:tcPr>
          <w:p w:rsidR="003E5AAB" w:rsidRPr="00B25B9F" w:rsidRDefault="003E5AAB" w:rsidP="00B25B9F">
            <w:pPr>
              <w:spacing w:after="0" w:line="360" w:lineRule="auto"/>
              <w:jc w:val="center"/>
              <w:rPr>
                <w:rFonts w:ascii="GHEA Grapalat" w:eastAsia="Times New Roman" w:hAnsi="GHEA Grapalat" w:cs="Times New Roman"/>
                <w:sz w:val="24"/>
                <w:szCs w:val="24"/>
                <w:lang w:val="hy-AM"/>
              </w:rPr>
            </w:pPr>
          </w:p>
        </w:tc>
      </w:tr>
      <w:tr w:rsidR="007C789E" w:rsidRPr="00BE137A" w:rsidTr="007C789E">
        <w:trPr>
          <w:tblCellSpacing w:w="0" w:type="dxa"/>
          <w:jc w:val="center"/>
        </w:trPr>
        <w:tc>
          <w:tcPr>
            <w:tcW w:w="6612" w:type="dxa"/>
            <w:tcBorders>
              <w:top w:val="outset" w:sz="6" w:space="0" w:color="auto"/>
              <w:left w:val="outset" w:sz="6" w:space="0" w:color="auto"/>
              <w:bottom w:val="outset" w:sz="6" w:space="0" w:color="auto"/>
              <w:right w:val="outset" w:sz="6" w:space="0" w:color="auto"/>
            </w:tcBorders>
            <w:vAlign w:val="center"/>
          </w:tcPr>
          <w:p w:rsidR="007C789E" w:rsidRDefault="007C789E" w:rsidP="00794C76">
            <w:pPr>
              <w:shd w:val="clear" w:color="auto" w:fill="FFFFFF"/>
              <w:spacing w:after="0" w:line="360" w:lineRule="auto"/>
              <w:jc w:val="center"/>
              <w:rPr>
                <w:rFonts w:ascii="GHEA Grapalat" w:hAnsi="GHEA Grapalat"/>
                <w:sz w:val="24"/>
                <w:szCs w:val="24"/>
                <w:lang w:val="hy-AM"/>
              </w:rPr>
            </w:pPr>
            <w:r>
              <w:rPr>
                <w:rFonts w:ascii="GHEA Grapalat" w:hAnsi="GHEA Grapalat"/>
                <w:sz w:val="24"/>
                <w:szCs w:val="24"/>
                <w:lang w:val="hy-AM"/>
              </w:rPr>
              <w:t xml:space="preserve"> «</w:t>
            </w:r>
            <w:r>
              <w:rPr>
                <w:rFonts w:ascii="GHEA Grapalat" w:eastAsia="Times New Roman" w:hAnsi="GHEA Grapalat" w:cs="Times New Roman"/>
                <w:bCs/>
                <w:color w:val="000000"/>
                <w:sz w:val="24"/>
                <w:szCs w:val="24"/>
                <w:lang w:val="hy-AM"/>
              </w:rPr>
              <w:t xml:space="preserve">ՀՀ կառավարության առանց մրցույթի կառուցապատման  իրավունքով հողամաս տրամադրելու մասին» Կառավարության որոշման </w:t>
            </w:r>
            <w:r>
              <w:rPr>
                <w:rFonts w:ascii="GHEA Grapalat" w:hAnsi="GHEA Grapalat"/>
                <w:sz w:val="24"/>
                <w:szCs w:val="24"/>
                <w:lang w:val="hy-AM"/>
              </w:rPr>
              <w:t>նախագծի (այսուհետ՝ նախագիծ) վերաբերյալ</w:t>
            </w:r>
          </w:p>
          <w:p w:rsidR="007C789E" w:rsidRDefault="007C789E" w:rsidP="00794C76">
            <w:pPr>
              <w:shd w:val="clear" w:color="auto" w:fill="FFFFFF"/>
              <w:spacing w:after="0" w:line="360" w:lineRule="auto"/>
              <w:jc w:val="both"/>
              <w:rPr>
                <w:rFonts w:ascii="GHEA Grapalat" w:hAnsi="GHEA Grapalat"/>
                <w:sz w:val="24"/>
                <w:szCs w:val="24"/>
                <w:lang w:val="hy-AM"/>
              </w:rPr>
            </w:pPr>
            <w:r>
              <w:rPr>
                <w:rFonts w:ascii="GHEA Grapalat" w:hAnsi="GHEA Grapalat"/>
                <w:sz w:val="24"/>
                <w:szCs w:val="24"/>
                <w:lang w:val="hy-AM"/>
              </w:rPr>
              <w:tab/>
            </w:r>
          </w:p>
          <w:p w:rsidR="007C789E" w:rsidRDefault="007C789E" w:rsidP="007C789E">
            <w:pPr>
              <w:shd w:val="clear" w:color="auto" w:fill="FFFFFF"/>
              <w:spacing w:after="0" w:line="360" w:lineRule="auto"/>
              <w:jc w:val="both"/>
              <w:rPr>
                <w:rFonts w:ascii="GHEA Grapalat" w:hAnsi="GHEA Grapalat"/>
                <w:sz w:val="24"/>
                <w:szCs w:val="24"/>
                <w:lang w:val="hy-AM"/>
              </w:rPr>
            </w:pPr>
            <w:r>
              <w:rPr>
                <w:rFonts w:ascii="GHEA Grapalat" w:hAnsi="GHEA Grapalat"/>
                <w:sz w:val="24"/>
                <w:szCs w:val="24"/>
                <w:lang w:val="hy-AM"/>
              </w:rPr>
              <w:tab/>
              <w:t xml:space="preserve">Նախագծի 1-ին կետով առաջարկվում է ՀՀ Կոտայքի մարզի Ջրվեժ համայնքի վարչական սահմաններում գտնվող՝ պետական սեփականություն հանդիսացող 729 քառ. մետր հողամասը առանց մրցույթի, 59 տարի ժամկետով, կառուցապատման իրավունքով տրամադրել «Հիդրոօդերևութաբանության և մոնիթորինգի կենտրոն» պետական ոչ առևտրային կազմակերպությանը, սակայն հարկ է նշել, որ այդ հողամասն արդեն տրամադրված է «Արգելոցապարկային համալիր» պետական ոչ առևտրային կազմակերպությանն անհատույց անժամկետ օգտագործման իրավունքով, հետևաբար պարզաբանման կարիք ունի նույն հողամասը անհատույց անժամկետ օգտագործման և կառուցապատման իրավունքով տարբեր </w:t>
            </w:r>
            <w:r>
              <w:rPr>
                <w:rFonts w:ascii="GHEA Grapalat" w:hAnsi="GHEA Grapalat"/>
                <w:sz w:val="24"/>
                <w:szCs w:val="24"/>
                <w:lang w:val="hy-AM"/>
              </w:rPr>
              <w:lastRenderedPageBreak/>
              <w:t>պետական ոչ առևտրային կազմակերպություններին միաժամանակյա տրամադրման հանգամանքը:</w:t>
            </w:r>
          </w:p>
          <w:p w:rsidR="007C789E" w:rsidRDefault="007C789E" w:rsidP="007C789E">
            <w:pPr>
              <w:shd w:val="clear" w:color="auto" w:fill="FFFFFF"/>
              <w:spacing w:after="0" w:line="360" w:lineRule="auto"/>
              <w:jc w:val="both"/>
              <w:rPr>
                <w:rFonts w:ascii="GHEA Grapalat" w:hAnsi="GHEA Grapalat"/>
                <w:sz w:val="24"/>
                <w:szCs w:val="24"/>
                <w:lang w:val="hy-AM"/>
              </w:rPr>
            </w:pPr>
          </w:p>
          <w:p w:rsidR="007C789E" w:rsidRPr="007C789E" w:rsidRDefault="007C789E" w:rsidP="00B25B9F">
            <w:pPr>
              <w:spacing w:after="0" w:line="360" w:lineRule="auto"/>
              <w:rPr>
                <w:rFonts w:ascii="GHEA Grapalat" w:eastAsia="Times New Roman" w:hAnsi="GHEA Grapalat" w:cs="Times New Roman"/>
                <w:sz w:val="24"/>
                <w:szCs w:val="24"/>
                <w:lang w:val="hy-AM"/>
              </w:rPr>
            </w:pPr>
          </w:p>
        </w:tc>
        <w:tc>
          <w:tcPr>
            <w:tcW w:w="3964" w:type="dxa"/>
            <w:tcBorders>
              <w:top w:val="outset" w:sz="6" w:space="0" w:color="auto"/>
              <w:left w:val="outset" w:sz="6" w:space="0" w:color="auto"/>
              <w:bottom w:val="outset" w:sz="6" w:space="0" w:color="auto"/>
              <w:right w:val="outset" w:sz="6" w:space="0" w:color="auto"/>
            </w:tcBorders>
            <w:shd w:val="clear" w:color="auto" w:fill="FFFFFF" w:themeFill="background1"/>
          </w:tcPr>
          <w:p w:rsidR="007C789E" w:rsidRDefault="007C789E" w:rsidP="007C789E">
            <w:pPr>
              <w:spacing w:after="0" w:line="360" w:lineRule="auto"/>
              <w:rPr>
                <w:rFonts w:ascii="GHEA Grapalat" w:eastAsia="Times New Roman" w:hAnsi="GHEA Grapalat" w:cs="Times New Roman"/>
                <w:sz w:val="24"/>
                <w:szCs w:val="24"/>
                <w:lang w:val="hy-AM"/>
              </w:rPr>
            </w:pPr>
          </w:p>
          <w:p w:rsidR="007C789E" w:rsidRDefault="007C789E" w:rsidP="007C789E">
            <w:pPr>
              <w:spacing w:after="0" w:line="360" w:lineRule="auto"/>
              <w:rPr>
                <w:rFonts w:ascii="GHEA Grapalat" w:eastAsia="Times New Roman" w:hAnsi="GHEA Grapalat" w:cs="Times New Roman"/>
                <w:sz w:val="24"/>
                <w:szCs w:val="24"/>
                <w:lang w:val="hy-AM"/>
              </w:rPr>
            </w:pPr>
          </w:p>
          <w:p w:rsidR="007C789E" w:rsidRDefault="007C789E" w:rsidP="007C789E">
            <w:pPr>
              <w:spacing w:after="0" w:line="360" w:lineRule="auto"/>
              <w:jc w:val="center"/>
              <w:rPr>
                <w:rFonts w:ascii="GHEA Grapalat" w:eastAsia="Times New Roman" w:hAnsi="GHEA Grapalat" w:cs="Times New Roman"/>
                <w:sz w:val="24"/>
                <w:szCs w:val="24"/>
                <w:lang w:val="hy-AM"/>
              </w:rPr>
            </w:pPr>
          </w:p>
          <w:p w:rsidR="007C789E" w:rsidRDefault="007C789E" w:rsidP="007C789E">
            <w:pPr>
              <w:spacing w:after="0" w:line="360" w:lineRule="auto"/>
              <w:jc w:val="center"/>
              <w:rPr>
                <w:rFonts w:ascii="GHEA Grapalat" w:eastAsia="Times New Roman" w:hAnsi="GHEA Grapalat" w:cs="Times New Roman"/>
                <w:sz w:val="24"/>
                <w:szCs w:val="24"/>
                <w:lang w:val="hy-AM"/>
              </w:rPr>
            </w:pPr>
          </w:p>
          <w:p w:rsidR="007C789E" w:rsidRDefault="007C789E" w:rsidP="007C789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rsidR="007C789E" w:rsidRDefault="007C789E" w:rsidP="007C789E">
            <w:pPr>
              <w:spacing w:after="0" w:line="360" w:lineRule="auto"/>
              <w:jc w:val="center"/>
              <w:rPr>
                <w:rFonts w:ascii="GHEA Grapalat" w:eastAsia="Times New Roman" w:hAnsi="GHEA Grapalat" w:cs="Times New Roman"/>
                <w:sz w:val="24"/>
                <w:szCs w:val="24"/>
                <w:lang w:val="hy-AM"/>
              </w:rPr>
            </w:pPr>
          </w:p>
          <w:p w:rsidR="00BE137A" w:rsidRDefault="007C789E" w:rsidP="00BE137A">
            <w:pPr>
              <w:spacing w:after="0" w:line="360" w:lineRule="auto"/>
              <w:jc w:val="center"/>
              <w:rPr>
                <w:rFonts w:ascii="GHEA Grapalat" w:hAnsi="GHEA Grapalat"/>
                <w:sz w:val="24"/>
                <w:szCs w:val="24"/>
                <w:lang w:val="hy-AM"/>
              </w:rPr>
            </w:pPr>
            <w:r>
              <w:rPr>
                <w:rFonts w:ascii="GHEA Grapalat" w:eastAsia="Times New Roman" w:hAnsi="GHEA Grapalat" w:cs="Times New Roman"/>
                <w:sz w:val="24"/>
                <w:szCs w:val="24"/>
                <w:lang w:val="hy-AM"/>
              </w:rPr>
              <w:t xml:space="preserve">Նախագծով հողամասը կառուցապատման իրավունքով տրամադրվում է </w:t>
            </w:r>
            <w:r>
              <w:rPr>
                <w:rFonts w:ascii="GHEA Grapalat" w:hAnsi="GHEA Grapalat"/>
                <w:sz w:val="24"/>
                <w:szCs w:val="24"/>
                <w:lang w:val="hy-AM"/>
              </w:rPr>
              <w:t xml:space="preserve">«Հիդրոօդերևութաբանության և մոնիթորինգի կենտրոն» պետական ոչ առևտրային կազմակերպությանը՝  հիդրոօդերևութաբանական կայան կառուցելու նպատակով, </w:t>
            </w:r>
            <w:r w:rsidR="00BE137A">
              <w:rPr>
                <w:rFonts w:ascii="GHEA Grapalat" w:hAnsi="GHEA Grapalat"/>
                <w:sz w:val="24"/>
                <w:szCs w:val="24"/>
                <w:lang w:val="hy-AM"/>
              </w:rPr>
              <w:t xml:space="preserve">խնդիրն այն է, որ </w:t>
            </w:r>
            <w:r w:rsidR="00BE137A">
              <w:rPr>
                <w:rFonts w:ascii="GHEA Grapalat" w:hAnsi="GHEA Grapalat"/>
                <w:sz w:val="24"/>
                <w:szCs w:val="24"/>
                <w:lang w:val="hy-AM"/>
              </w:rPr>
              <w:t>հիդրոօդերևութաբանական կայան</w:t>
            </w:r>
            <w:r w:rsidR="00CD2C8D">
              <w:rPr>
                <w:rFonts w:ascii="GHEA Grapalat" w:hAnsi="GHEA Grapalat"/>
                <w:sz w:val="24"/>
                <w:szCs w:val="24"/>
                <w:lang w:val="hy-AM"/>
              </w:rPr>
              <w:t>ի</w:t>
            </w:r>
            <w:r w:rsidR="00BE137A">
              <w:rPr>
                <w:rFonts w:ascii="GHEA Grapalat" w:hAnsi="GHEA Grapalat"/>
                <w:sz w:val="24"/>
                <w:szCs w:val="24"/>
                <w:lang w:val="hy-AM"/>
              </w:rPr>
              <w:t xml:space="preserve"> </w:t>
            </w:r>
            <w:r>
              <w:rPr>
                <w:rFonts w:ascii="GHEA Grapalat" w:hAnsi="GHEA Grapalat"/>
                <w:sz w:val="24"/>
                <w:szCs w:val="24"/>
                <w:lang w:val="hy-AM"/>
              </w:rPr>
              <w:t xml:space="preserve">կառուցումը և շահագործումը </w:t>
            </w:r>
            <w:r w:rsidR="00BE137A">
              <w:rPr>
                <w:rFonts w:ascii="GHEA Grapalat" w:hAnsi="GHEA Grapalat"/>
                <w:sz w:val="24"/>
                <w:szCs w:val="24"/>
                <w:lang w:val="hy-AM"/>
              </w:rPr>
              <w:t xml:space="preserve">հանդիսանում է </w:t>
            </w:r>
            <w:r>
              <w:rPr>
                <w:rFonts w:ascii="GHEA Grapalat" w:hAnsi="GHEA Grapalat"/>
                <w:sz w:val="24"/>
                <w:szCs w:val="24"/>
                <w:lang w:val="hy-AM"/>
              </w:rPr>
              <w:lastRenderedPageBreak/>
              <w:t>«Հիդրոօդերևութաբանության և մոնիթորինգի կենտրոն» պետական ոչ առևտրային կազմակերպության գործառույթ</w:t>
            </w:r>
            <w:r w:rsidR="00BE137A">
              <w:rPr>
                <w:rFonts w:ascii="GHEA Grapalat" w:hAnsi="GHEA Grapalat"/>
                <w:sz w:val="24"/>
                <w:szCs w:val="24"/>
                <w:lang w:val="hy-AM"/>
              </w:rPr>
              <w:t>ը, իսկ տվյալ տարածքի՝ որպես բնապահպանական հողի, պահպանության իրականացումը</w:t>
            </w:r>
            <w:r>
              <w:rPr>
                <w:rFonts w:ascii="GHEA Grapalat" w:hAnsi="GHEA Grapalat"/>
                <w:sz w:val="24"/>
                <w:szCs w:val="24"/>
                <w:lang w:val="hy-AM"/>
              </w:rPr>
              <w:t xml:space="preserve"> </w:t>
            </w:r>
            <w:r w:rsidR="00BE137A">
              <w:rPr>
                <w:rFonts w:ascii="GHEA Grapalat" w:hAnsi="GHEA Grapalat"/>
                <w:sz w:val="24"/>
                <w:szCs w:val="24"/>
                <w:lang w:val="hy-AM"/>
              </w:rPr>
              <w:t xml:space="preserve">չի հանդիսանում </w:t>
            </w:r>
            <w:r w:rsidR="00BE137A">
              <w:rPr>
                <w:rFonts w:ascii="GHEA Grapalat" w:hAnsi="GHEA Grapalat"/>
                <w:sz w:val="24"/>
                <w:szCs w:val="24"/>
                <w:lang w:val="hy-AM"/>
              </w:rPr>
              <w:t>«Հիդրոօդերևութաբանության և մոնիթորինգի կենտրոն» պետական ոչ առևտրային կազմակերպության գործառույթը</w:t>
            </w:r>
            <w:r w:rsidR="00BE137A">
              <w:rPr>
                <w:rFonts w:ascii="GHEA Grapalat" w:hAnsi="GHEA Grapalat"/>
                <w:sz w:val="24"/>
                <w:szCs w:val="24"/>
                <w:lang w:val="hy-AM"/>
              </w:rPr>
              <w:t xml:space="preserve">։ Հակառակ պատկերն է </w:t>
            </w:r>
            <w:r>
              <w:rPr>
                <w:rFonts w:ascii="GHEA Grapalat" w:hAnsi="GHEA Grapalat"/>
                <w:sz w:val="24"/>
                <w:szCs w:val="24"/>
                <w:lang w:val="hy-AM"/>
              </w:rPr>
              <w:t>«Արգելոցապարկային համալիր» պետական ոչ առևտրային կազմակերպության</w:t>
            </w:r>
            <w:r w:rsidR="00BE137A">
              <w:rPr>
                <w:rFonts w:ascii="GHEA Grapalat" w:hAnsi="GHEA Grapalat"/>
                <w:sz w:val="24"/>
                <w:szCs w:val="24"/>
                <w:lang w:val="hy-AM"/>
              </w:rPr>
              <w:t xml:space="preserve"> դեպքում, ինչի գործառույթն է հանդիսանում տվյալ տարածքի պահպանությունը՝ համաձայն իր կանոնադրության</w:t>
            </w:r>
            <w:r>
              <w:rPr>
                <w:rFonts w:ascii="GHEA Grapalat" w:hAnsi="GHEA Grapalat"/>
                <w:sz w:val="24"/>
                <w:szCs w:val="24"/>
                <w:lang w:val="hy-AM"/>
              </w:rPr>
              <w:t xml:space="preserve">, </w:t>
            </w:r>
            <w:r w:rsidR="00BE137A">
              <w:rPr>
                <w:rFonts w:ascii="GHEA Grapalat" w:hAnsi="GHEA Grapalat"/>
                <w:sz w:val="24"/>
                <w:szCs w:val="24"/>
                <w:lang w:val="hy-AM"/>
              </w:rPr>
              <w:t xml:space="preserve">սակայն </w:t>
            </w:r>
            <w:r w:rsidR="00BE137A">
              <w:rPr>
                <w:rFonts w:ascii="GHEA Grapalat" w:hAnsi="GHEA Grapalat"/>
                <w:sz w:val="24"/>
                <w:szCs w:val="24"/>
                <w:lang w:val="hy-AM"/>
              </w:rPr>
              <w:t>հիդրոօդերևութաբանական կայան</w:t>
            </w:r>
            <w:r w:rsidR="00BE137A">
              <w:rPr>
                <w:rFonts w:ascii="GHEA Grapalat" w:hAnsi="GHEA Grapalat"/>
                <w:sz w:val="24"/>
                <w:szCs w:val="24"/>
                <w:lang w:val="hy-AM"/>
              </w:rPr>
              <w:t xml:space="preserve">ի շահագործումը և կառուցումը դուրս է </w:t>
            </w:r>
            <w:r w:rsidR="00BE137A">
              <w:rPr>
                <w:rFonts w:ascii="GHEA Grapalat" w:hAnsi="GHEA Grapalat"/>
                <w:sz w:val="24"/>
                <w:szCs w:val="24"/>
                <w:lang w:val="hy-AM"/>
              </w:rPr>
              <w:t>«Արգելոցապարկային համալիր» պետական ոչ առևտրային կազմակերպության</w:t>
            </w:r>
            <w:r w:rsidR="00BE137A">
              <w:rPr>
                <w:rFonts w:ascii="GHEA Grapalat" w:hAnsi="GHEA Grapalat"/>
                <w:sz w:val="24"/>
                <w:szCs w:val="24"/>
                <w:lang w:val="hy-AM"/>
              </w:rPr>
              <w:t xml:space="preserve"> </w:t>
            </w:r>
            <w:r w:rsidR="00BE137A">
              <w:rPr>
                <w:rFonts w:ascii="GHEA Grapalat" w:hAnsi="GHEA Grapalat"/>
                <w:sz w:val="24"/>
                <w:szCs w:val="24"/>
                <w:lang w:val="hy-AM"/>
              </w:rPr>
              <w:lastRenderedPageBreak/>
              <w:t>գործառույթներից, ուստի՝ կառավարության որոշման ընդունումը պայմանավորված է այս առանձնահատկությամբ և նշված ՊՈԱԿ-ների գործառույթների տարբերությամբ</w:t>
            </w:r>
            <w:bookmarkStart w:id="0" w:name="_GoBack"/>
            <w:bookmarkEnd w:id="0"/>
            <w:r w:rsidR="00BE137A">
              <w:rPr>
                <w:rFonts w:ascii="GHEA Grapalat" w:hAnsi="GHEA Grapalat"/>
                <w:sz w:val="24"/>
                <w:szCs w:val="24"/>
                <w:lang w:val="hy-AM"/>
              </w:rPr>
              <w:t>։</w:t>
            </w:r>
          </w:p>
          <w:p w:rsidR="007C789E" w:rsidRPr="00BE137A" w:rsidRDefault="007C789E" w:rsidP="00BE137A">
            <w:pPr>
              <w:spacing w:after="0" w:line="360" w:lineRule="auto"/>
              <w:rPr>
                <w:rFonts w:ascii="GHEA Grapalat" w:hAnsi="GHEA Grapalat"/>
                <w:sz w:val="24"/>
                <w:szCs w:val="24"/>
                <w:lang w:val="hy-AM"/>
              </w:rPr>
            </w:pPr>
          </w:p>
        </w:tc>
      </w:tr>
    </w:tbl>
    <w:p w:rsidR="003358F2" w:rsidRPr="00B25B9F" w:rsidRDefault="003358F2" w:rsidP="00B25B9F">
      <w:pPr>
        <w:spacing w:line="360" w:lineRule="auto"/>
        <w:rPr>
          <w:rFonts w:ascii="GHEA Grapalat" w:hAnsi="GHEA Grapalat"/>
          <w:sz w:val="24"/>
          <w:szCs w:val="24"/>
          <w:lang w:val="hy-AM"/>
        </w:rPr>
      </w:pPr>
    </w:p>
    <w:sectPr w:rsidR="003358F2" w:rsidRPr="00B25B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23"/>
    <w:rsid w:val="000005DB"/>
    <w:rsid w:val="000065BC"/>
    <w:rsid w:val="000B3014"/>
    <w:rsid w:val="000F0525"/>
    <w:rsid w:val="001B58C3"/>
    <w:rsid w:val="0022117A"/>
    <w:rsid w:val="002261E8"/>
    <w:rsid w:val="00233985"/>
    <w:rsid w:val="002A164B"/>
    <w:rsid w:val="002C26D0"/>
    <w:rsid w:val="003358F2"/>
    <w:rsid w:val="00393C91"/>
    <w:rsid w:val="003E5AAB"/>
    <w:rsid w:val="00466486"/>
    <w:rsid w:val="0052596D"/>
    <w:rsid w:val="00600324"/>
    <w:rsid w:val="006068F6"/>
    <w:rsid w:val="006146DF"/>
    <w:rsid w:val="006647FF"/>
    <w:rsid w:val="006866C5"/>
    <w:rsid w:val="00695964"/>
    <w:rsid w:val="006B4F67"/>
    <w:rsid w:val="007419D5"/>
    <w:rsid w:val="00780A67"/>
    <w:rsid w:val="00794C76"/>
    <w:rsid w:val="00796A86"/>
    <w:rsid w:val="007C789E"/>
    <w:rsid w:val="007F6953"/>
    <w:rsid w:val="008150C1"/>
    <w:rsid w:val="008371A0"/>
    <w:rsid w:val="008F7A2E"/>
    <w:rsid w:val="009D42CD"/>
    <w:rsid w:val="00A16754"/>
    <w:rsid w:val="00A237ED"/>
    <w:rsid w:val="00A30ACA"/>
    <w:rsid w:val="00A57C7B"/>
    <w:rsid w:val="00AC1973"/>
    <w:rsid w:val="00B25B9F"/>
    <w:rsid w:val="00B719AE"/>
    <w:rsid w:val="00B73695"/>
    <w:rsid w:val="00BA519B"/>
    <w:rsid w:val="00BC6B50"/>
    <w:rsid w:val="00BE137A"/>
    <w:rsid w:val="00BF1A14"/>
    <w:rsid w:val="00C215BB"/>
    <w:rsid w:val="00C9653E"/>
    <w:rsid w:val="00CD2C8D"/>
    <w:rsid w:val="00D05738"/>
    <w:rsid w:val="00D3414D"/>
    <w:rsid w:val="00D76AA9"/>
    <w:rsid w:val="00DE458F"/>
    <w:rsid w:val="00DF6923"/>
    <w:rsid w:val="00E23313"/>
    <w:rsid w:val="00E535A3"/>
    <w:rsid w:val="00E62869"/>
    <w:rsid w:val="00E746F1"/>
    <w:rsid w:val="00ED14D2"/>
    <w:rsid w:val="00F508F0"/>
    <w:rsid w:val="00F70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D0350"/>
  <w15:chartTrackingRefBased/>
  <w15:docId w15:val="{6031E939-0059-4B05-8455-D3A85364A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Web)1,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basedOn w:val="Normal"/>
    <w:uiPriority w:val="34"/>
    <w:qFormat/>
    <w:rsid w:val="003E5AAB"/>
    <w:pPr>
      <w:ind w:left="720"/>
      <w:contextualSpacing/>
    </w:pPr>
  </w:style>
  <w:style w:type="character" w:styleId="Hyperlink">
    <w:name w:val="Hyperlink"/>
    <w:basedOn w:val="DefaultParagraphFont"/>
    <w:uiPriority w:val="99"/>
    <w:unhideWhenUsed/>
    <w:rsid w:val="009D42CD"/>
    <w:rPr>
      <w:color w:val="0563C1" w:themeColor="hyperlink"/>
      <w:u w:val="single"/>
    </w:rPr>
  </w:style>
  <w:style w:type="character" w:customStyle="1" w:styleId="NormalWebChar">
    <w:name w:val="Normal (Web) Char"/>
    <w:aliases w:val="Обычный (Web)1 Char,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
    <w:link w:val="NormalWeb"/>
    <w:uiPriority w:val="99"/>
    <w:locked/>
    <w:rsid w:val="00F508F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4550">
      <w:bodyDiv w:val="1"/>
      <w:marLeft w:val="0"/>
      <w:marRight w:val="0"/>
      <w:marTop w:val="0"/>
      <w:marBottom w:val="0"/>
      <w:divBdr>
        <w:top w:val="none" w:sz="0" w:space="0" w:color="auto"/>
        <w:left w:val="none" w:sz="0" w:space="0" w:color="auto"/>
        <w:bottom w:val="none" w:sz="0" w:space="0" w:color="auto"/>
        <w:right w:val="none" w:sz="0" w:space="0" w:color="auto"/>
      </w:divBdr>
      <w:divsChild>
        <w:div w:id="1162820405">
          <w:marLeft w:val="0"/>
          <w:marRight w:val="0"/>
          <w:marTop w:val="0"/>
          <w:marBottom w:val="0"/>
          <w:divBdr>
            <w:top w:val="none" w:sz="0" w:space="0" w:color="auto"/>
            <w:left w:val="none" w:sz="0" w:space="0" w:color="auto"/>
            <w:bottom w:val="none" w:sz="0" w:space="0" w:color="auto"/>
            <w:right w:val="none" w:sz="0" w:space="0" w:color="auto"/>
          </w:divBdr>
        </w:div>
      </w:divsChild>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707529332">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5CDC7-37CE-4DEC-A7E9-14B07EE62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302</Words>
  <Characters>1728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https://mul2.gov.am/tasks/524941/oneclick/f30956fec15cab01da79344e7bb956c462ac37a7330de00fab0fbd7d430c4ceb.docx?token=7c3d49827186e7f9c27228d9f62b2bc7</cp:keywords>
  <dc:description/>
  <cp:lastModifiedBy>User</cp:lastModifiedBy>
  <cp:revision>3</cp:revision>
  <dcterms:created xsi:type="dcterms:W3CDTF">2021-10-06T14:20:00Z</dcterms:created>
  <dcterms:modified xsi:type="dcterms:W3CDTF">2021-10-06T14:32:00Z</dcterms:modified>
</cp:coreProperties>
</file>