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BC6" w:rsidRPr="00C243E6" w:rsidRDefault="00724D94" w:rsidP="004E2950">
      <w:pPr>
        <w:spacing w:after="0" w:line="360" w:lineRule="auto"/>
        <w:jc w:val="center"/>
        <w:rPr>
          <w:rFonts w:ascii="GHEA Grapalat" w:hAnsi="GHEA Grapalat" w:cs="Times New Roman"/>
          <w:b/>
          <w:noProof/>
          <w:sz w:val="24"/>
          <w:szCs w:val="24"/>
          <w:lang w:val="hy-AM"/>
        </w:rPr>
      </w:pPr>
      <w:r w:rsidRPr="00C243E6">
        <w:rPr>
          <w:rFonts w:ascii="GHEA Grapalat" w:hAnsi="GHEA Grapalat" w:cs="Times New Roman"/>
          <w:b/>
          <w:noProof/>
          <w:sz w:val="24"/>
          <w:szCs w:val="24"/>
          <w:lang w:val="hy-AM"/>
        </w:rPr>
        <w:t>ԱՄՓՈՓԱԹԵՐԹ</w:t>
      </w:r>
    </w:p>
    <w:p w:rsidR="00724D94" w:rsidRPr="00C243E6" w:rsidRDefault="00724D94" w:rsidP="004E2950">
      <w:pPr>
        <w:spacing w:after="0" w:line="360" w:lineRule="auto"/>
        <w:jc w:val="center"/>
        <w:rPr>
          <w:rFonts w:ascii="GHEA Grapalat" w:eastAsia="Calibri" w:hAnsi="GHEA Grapalat" w:cs="Sylfaen"/>
          <w:b/>
          <w:color w:val="000000" w:themeColor="text1"/>
          <w:sz w:val="24"/>
          <w:szCs w:val="24"/>
          <w:lang w:val="hy-AM"/>
        </w:rPr>
      </w:pPr>
    </w:p>
    <w:p w:rsidR="00903F27" w:rsidRDefault="00FB406B" w:rsidP="00FB406B">
      <w:pPr>
        <w:spacing w:after="0" w:line="360" w:lineRule="auto"/>
        <w:jc w:val="center"/>
        <w:rPr>
          <w:rFonts w:ascii="GHEA Grapalat" w:eastAsia="Calibri" w:hAnsi="GHEA Grapalat" w:cs="Times New Roman"/>
          <w:b/>
          <w:sz w:val="24"/>
          <w:szCs w:val="24"/>
          <w:lang w:val="hy-AM"/>
        </w:rPr>
      </w:pPr>
      <w:r w:rsidRPr="00FB406B">
        <w:rPr>
          <w:rFonts w:ascii="GHEA Grapalat" w:eastAsia="Calibri" w:hAnsi="GHEA Grapalat" w:cs="Times New Roman"/>
          <w:b/>
          <w:sz w:val="24"/>
          <w:szCs w:val="24"/>
          <w:lang w:val="hy-AM"/>
        </w:rPr>
        <w:t>«ՊԱՇՏՈՆԱԿԱՆ ՓԱՍՏԱԹՂԹԵՐԻ ՄԱՏՉԵԼԻՈՒԹՅԱՆ ՄԱՍԻՆ» ԵՎՐՈՊԱՅԻ ԽՈՐՀՐԴԻ ԿՈՆՎԵՆՑԻԱՅԻ</w:t>
      </w:r>
      <w:r>
        <w:rPr>
          <w:rFonts w:ascii="GHEA Grapalat" w:eastAsia="Calibri" w:hAnsi="GHEA Grapalat" w:cs="Times New Roman"/>
          <w:b/>
          <w:sz w:val="24"/>
          <w:szCs w:val="24"/>
          <w:lang w:val="hy-AM"/>
        </w:rPr>
        <w:t xml:space="preserve"> </w:t>
      </w:r>
      <w:r w:rsidR="00903F27" w:rsidRPr="00C243E6">
        <w:rPr>
          <w:rFonts w:ascii="GHEA Grapalat" w:eastAsia="Calibri" w:hAnsi="GHEA Grapalat" w:cs="Times New Roman"/>
          <w:b/>
          <w:sz w:val="24"/>
          <w:szCs w:val="24"/>
          <w:lang w:val="hy-AM"/>
        </w:rPr>
        <w:t>ՎԵՐԱԲԵՐՅԱԼ ՀԱՅԱՍՏԱՆԻ ՀԱՆՐԱՊԵՏՈՒԹՅԱՆ ՇԱՀԱԳՐԳԻՌ ՄԱՐՄԻՆՆԵՐԻ ԿՈՂՄԻՑ ՆԵՐԿԱՅԱՑՎԱԾ ԿԱՐԾԻՔՆԵՐԻ ՎԵՐԱԲԵՐՅԱԼ</w:t>
      </w:r>
    </w:p>
    <w:p w:rsidR="00724D94" w:rsidRPr="00C243E6" w:rsidRDefault="00724D94" w:rsidP="00903F27">
      <w:pPr>
        <w:spacing w:after="0" w:line="360" w:lineRule="auto"/>
        <w:jc w:val="center"/>
        <w:rPr>
          <w:rFonts w:ascii="GHEA Grapalat" w:hAnsi="GHEA Grapalat" w:cs="Times New Roman"/>
          <w:noProof/>
          <w:sz w:val="20"/>
          <w:szCs w:val="20"/>
          <w:lang w:val="hy-AM"/>
        </w:rPr>
      </w:pPr>
    </w:p>
    <w:tbl>
      <w:tblPr>
        <w:tblStyle w:val="TableGrid"/>
        <w:tblW w:w="0" w:type="auto"/>
        <w:tblLook w:val="04A0" w:firstRow="1" w:lastRow="0" w:firstColumn="1" w:lastColumn="0" w:noHBand="0" w:noVBand="1"/>
      </w:tblPr>
      <w:tblGrid>
        <w:gridCol w:w="6033"/>
        <w:gridCol w:w="1437"/>
        <w:gridCol w:w="63"/>
        <w:gridCol w:w="2996"/>
      </w:tblGrid>
      <w:tr w:rsidR="00D2721D" w:rsidRPr="00C243E6" w:rsidTr="00DF07AA">
        <w:trPr>
          <w:trHeight w:val="338"/>
        </w:trPr>
        <w:tc>
          <w:tcPr>
            <w:tcW w:w="7681" w:type="dxa"/>
            <w:gridSpan w:val="2"/>
            <w:vMerge w:val="restart"/>
            <w:shd w:val="clear" w:color="auto" w:fill="BFBFBF" w:themeFill="background1" w:themeFillShade="BF"/>
          </w:tcPr>
          <w:p w:rsidR="00D2721D" w:rsidRPr="00C243E6" w:rsidRDefault="00D2721D" w:rsidP="00D2721D">
            <w:pPr>
              <w:spacing w:line="360" w:lineRule="auto"/>
              <w:rPr>
                <w:rFonts w:ascii="GHEA Grapalat" w:hAnsi="GHEA Grapalat" w:cs="Times New Roman"/>
                <w:b/>
                <w:noProof/>
                <w:sz w:val="24"/>
                <w:szCs w:val="24"/>
                <w:lang w:val="hy-AM"/>
              </w:rPr>
            </w:pPr>
          </w:p>
          <w:p w:rsidR="00D2721D" w:rsidRPr="00C243E6" w:rsidRDefault="005B1BC3" w:rsidP="005375E8">
            <w:pPr>
              <w:pStyle w:val="ListParagraph"/>
              <w:numPr>
                <w:ilvl w:val="0"/>
                <w:numId w:val="4"/>
              </w:numPr>
              <w:spacing w:line="360" w:lineRule="auto"/>
              <w:rPr>
                <w:rFonts w:ascii="GHEA Grapalat" w:hAnsi="GHEA Grapalat"/>
                <w:noProof/>
                <w:color w:val="000000"/>
                <w:sz w:val="24"/>
                <w:szCs w:val="24"/>
                <w:highlight w:val="lightGray"/>
                <w:shd w:val="clear" w:color="auto" w:fill="FFFFFF"/>
                <w:lang w:val="hy-AM"/>
              </w:rPr>
            </w:pPr>
            <w:r w:rsidRPr="00C243E6">
              <w:rPr>
                <w:rFonts w:ascii="GHEA Grapalat" w:hAnsi="GHEA Grapalat"/>
                <w:b/>
                <w:noProof/>
                <w:color w:val="000000"/>
                <w:sz w:val="24"/>
                <w:szCs w:val="24"/>
                <w:lang w:val="hy-AM"/>
              </w:rPr>
              <w:t>Արտաքին գործերի նախարարություն</w:t>
            </w:r>
          </w:p>
        </w:tc>
        <w:tc>
          <w:tcPr>
            <w:tcW w:w="2848" w:type="dxa"/>
            <w:gridSpan w:val="2"/>
            <w:shd w:val="clear" w:color="auto" w:fill="BFBFBF" w:themeFill="background1" w:themeFillShade="BF"/>
          </w:tcPr>
          <w:p w:rsidR="00D2721D" w:rsidRPr="00283431" w:rsidRDefault="00F74400" w:rsidP="00903F27">
            <w:pPr>
              <w:spacing w:line="360" w:lineRule="auto"/>
              <w:jc w:val="center"/>
              <w:rPr>
                <w:rFonts w:ascii="GHEA Grapalat" w:hAnsi="GHEA Grapalat" w:cs="Times New Roman"/>
                <w:noProof/>
                <w:sz w:val="24"/>
                <w:szCs w:val="24"/>
              </w:rPr>
            </w:pPr>
            <w:r>
              <w:rPr>
                <w:rFonts w:ascii="GHEA Grapalat" w:hAnsi="GHEA Grapalat" w:cs="Times New Roman"/>
                <w:noProof/>
                <w:sz w:val="24"/>
                <w:szCs w:val="24"/>
                <w:lang w:val="hy-AM"/>
              </w:rPr>
              <w:t>09</w:t>
            </w:r>
            <w:r w:rsidR="005B1BC3">
              <w:rPr>
                <w:rFonts w:ascii="GHEA Grapalat" w:hAnsi="GHEA Grapalat" w:cs="Times New Roman"/>
                <w:noProof/>
                <w:sz w:val="24"/>
                <w:szCs w:val="24"/>
                <w:lang w:val="hy-AM"/>
              </w:rPr>
              <w:t>.0</w:t>
            </w:r>
            <w:r>
              <w:rPr>
                <w:rFonts w:ascii="GHEA Grapalat" w:hAnsi="GHEA Grapalat" w:cs="Times New Roman"/>
                <w:noProof/>
                <w:sz w:val="24"/>
                <w:szCs w:val="24"/>
                <w:lang w:val="hy-AM"/>
              </w:rPr>
              <w:t>2</w:t>
            </w:r>
            <w:r w:rsidR="005B1BC3" w:rsidRPr="00C243E6">
              <w:rPr>
                <w:rFonts w:ascii="GHEA Grapalat" w:hAnsi="GHEA Grapalat" w:cs="Times New Roman"/>
                <w:noProof/>
                <w:sz w:val="24"/>
                <w:szCs w:val="24"/>
                <w:lang w:val="hy-AM"/>
              </w:rPr>
              <w:t>.2021</w:t>
            </w:r>
          </w:p>
        </w:tc>
      </w:tr>
      <w:tr w:rsidR="00D2721D" w:rsidRPr="00C243E6" w:rsidTr="00DF07AA">
        <w:trPr>
          <w:trHeight w:val="338"/>
        </w:trPr>
        <w:tc>
          <w:tcPr>
            <w:tcW w:w="7681" w:type="dxa"/>
            <w:gridSpan w:val="2"/>
            <w:vMerge/>
            <w:shd w:val="clear" w:color="auto" w:fill="BFBFBF" w:themeFill="background1" w:themeFillShade="BF"/>
          </w:tcPr>
          <w:p w:rsidR="00D2721D" w:rsidRPr="00C243E6" w:rsidRDefault="00D2721D" w:rsidP="004E2950">
            <w:pPr>
              <w:spacing w:line="360" w:lineRule="auto"/>
              <w:jc w:val="center"/>
              <w:rPr>
                <w:rFonts w:ascii="GHEA Grapalat" w:hAnsi="GHEA Grapalat"/>
                <w:noProof/>
                <w:color w:val="000000"/>
                <w:sz w:val="24"/>
                <w:szCs w:val="24"/>
                <w:highlight w:val="lightGray"/>
                <w:shd w:val="clear" w:color="auto" w:fill="FFFFFF"/>
                <w:lang w:val="hy-AM"/>
              </w:rPr>
            </w:pPr>
          </w:p>
        </w:tc>
        <w:tc>
          <w:tcPr>
            <w:tcW w:w="2848" w:type="dxa"/>
            <w:gridSpan w:val="2"/>
            <w:shd w:val="clear" w:color="auto" w:fill="BFBFBF" w:themeFill="background1" w:themeFillShade="BF"/>
          </w:tcPr>
          <w:p w:rsidR="00D2721D" w:rsidRPr="00C243E6" w:rsidRDefault="00F74400" w:rsidP="00903F27">
            <w:pPr>
              <w:spacing w:line="360" w:lineRule="auto"/>
              <w:jc w:val="center"/>
              <w:rPr>
                <w:rFonts w:ascii="GHEA Grapalat" w:hAnsi="GHEA Grapalat" w:cs="Times New Roman"/>
                <w:noProof/>
                <w:sz w:val="24"/>
                <w:szCs w:val="24"/>
                <w:lang w:val="hy-AM"/>
              </w:rPr>
            </w:pPr>
            <w:r w:rsidRPr="00F74400">
              <w:rPr>
                <w:rFonts w:ascii="GHEA Grapalat" w:hAnsi="GHEA Grapalat" w:cs="Times New Roman"/>
                <w:noProof/>
                <w:sz w:val="24"/>
                <w:szCs w:val="24"/>
                <w:lang w:val="hy-AM"/>
              </w:rPr>
              <w:t>01/14.2/2858-2021</w:t>
            </w:r>
          </w:p>
        </w:tc>
      </w:tr>
      <w:tr w:rsidR="00D2721D" w:rsidRPr="00C243E6" w:rsidTr="00DF07AA">
        <w:trPr>
          <w:trHeight w:val="2748"/>
        </w:trPr>
        <w:tc>
          <w:tcPr>
            <w:tcW w:w="5588" w:type="dxa"/>
          </w:tcPr>
          <w:p w:rsidR="00D823DA" w:rsidRPr="00D823DA" w:rsidRDefault="00D823DA" w:rsidP="00D823DA">
            <w:pPr>
              <w:spacing w:line="360" w:lineRule="auto"/>
              <w:ind w:right="-31" w:firstLine="708"/>
              <w:jc w:val="both"/>
              <w:rPr>
                <w:rFonts w:ascii="GHEA Grapalat" w:hAnsi="GHEA Grapalat" w:cs="Sylfaen"/>
                <w:sz w:val="24"/>
                <w:szCs w:val="24"/>
                <w:lang w:val="hy-AM"/>
              </w:rPr>
            </w:pPr>
            <w:r w:rsidRPr="00D823DA">
              <w:rPr>
                <w:rFonts w:ascii="GHEA Grapalat" w:hAnsi="GHEA Grapalat" w:cs="Sylfaen"/>
                <w:sz w:val="24"/>
                <w:szCs w:val="24"/>
                <w:lang w:val="hy-AM"/>
              </w:rPr>
              <w:t>Եվրոպայի խորհրդի հետ Հայաստանն իրականացնում է ընդգրկուն և ակտիվ համագործակցություն՝ ինչպես Եվրոպայի խորհրդի կանոնադրական մարմիններում, այնպես էլ մոնիտորինգային և խորհրդատվական կոմիտեներում։</w:t>
            </w:r>
            <w:r w:rsidRPr="00D823DA">
              <w:rPr>
                <w:rFonts w:ascii="GHEA Grapalat" w:hAnsi="GHEA Grapalat" w:cs="Sylfaen"/>
                <w:sz w:val="24"/>
                <w:szCs w:val="24"/>
                <w:lang w:val="hy-AM"/>
              </w:rPr>
              <w:tab/>
            </w:r>
          </w:p>
          <w:p w:rsidR="00D823DA" w:rsidRPr="00D823DA" w:rsidRDefault="00D823DA" w:rsidP="00D823DA">
            <w:pPr>
              <w:spacing w:line="360" w:lineRule="auto"/>
              <w:ind w:right="-31" w:firstLine="708"/>
              <w:jc w:val="both"/>
              <w:rPr>
                <w:rFonts w:ascii="GHEA Grapalat" w:hAnsi="GHEA Grapalat" w:cs="Sylfaen"/>
                <w:sz w:val="24"/>
                <w:szCs w:val="24"/>
                <w:lang w:val="hy-AM"/>
              </w:rPr>
            </w:pPr>
            <w:r w:rsidRPr="00D823DA">
              <w:rPr>
                <w:rFonts w:ascii="GHEA Grapalat" w:hAnsi="GHEA Grapalat" w:cs="Sylfaen"/>
                <w:sz w:val="24"/>
                <w:szCs w:val="24"/>
                <w:lang w:val="hy-AM"/>
              </w:rPr>
              <w:tab/>
              <w:t xml:space="preserve">Հայաստանի Հանրապետության կողմից «Պաշտոնական փաստաթղթերի մատչելիության մասին» Եվրոպայի խորհրդի կոնվենցիայի վավերացումը կամ հաստատումը կբարձրացնի Հայաստանի միջազգային հեղինակությունը՝ տեղեկատվական ազատության ոլորտում միջազգային չափանիշների խթանման, ինչպես նաև ԵԽ իրավական համակարգին առավել մեծ ներգրավվածության տեսանկյունից: </w:t>
            </w:r>
            <w:r w:rsidRPr="00D823DA">
              <w:rPr>
                <w:rFonts w:ascii="GHEA Grapalat" w:hAnsi="GHEA Grapalat" w:cs="Sylfaen"/>
                <w:sz w:val="24"/>
                <w:szCs w:val="24"/>
                <w:lang w:val="hy-AM"/>
              </w:rPr>
              <w:tab/>
            </w:r>
          </w:p>
          <w:p w:rsidR="00D823DA" w:rsidRPr="00D823DA" w:rsidRDefault="00D823DA" w:rsidP="00D823DA">
            <w:pPr>
              <w:spacing w:line="360" w:lineRule="auto"/>
              <w:ind w:right="-31" w:firstLine="708"/>
              <w:jc w:val="both"/>
              <w:rPr>
                <w:rFonts w:ascii="GHEA Grapalat" w:hAnsi="GHEA Grapalat" w:cs="Sylfaen"/>
                <w:sz w:val="24"/>
                <w:szCs w:val="24"/>
                <w:lang w:val="hy-AM"/>
              </w:rPr>
            </w:pPr>
            <w:r w:rsidRPr="00D823DA">
              <w:rPr>
                <w:rFonts w:ascii="GHEA Grapalat" w:hAnsi="GHEA Grapalat" w:cs="Sylfaen"/>
                <w:sz w:val="24"/>
                <w:szCs w:val="24"/>
                <w:lang w:val="hy-AM"/>
              </w:rPr>
              <w:tab/>
              <w:t xml:space="preserve">Կոնվենցիան հանդիսանում է առաջին միջազգային իրավական փաստաթուղթը, որն ամրագրում է պաշտոնական փաստաթղթերի հասանելիության ընդհանուր իրավունքը։ Այն հնարավորություն է ստեղծում չափանիշներ ներդնել ազգային օրենսդրությունում և պրակտիկայում, </w:t>
            </w:r>
            <w:r w:rsidRPr="00D823DA">
              <w:rPr>
                <w:rFonts w:ascii="GHEA Grapalat" w:hAnsi="GHEA Grapalat" w:cs="Sylfaen"/>
                <w:sz w:val="24"/>
                <w:szCs w:val="24"/>
                <w:lang w:val="hy-AM"/>
              </w:rPr>
              <w:lastRenderedPageBreak/>
              <w:t>որոնք ապահովում են պետական կառույցների գործունեության բարձր թափանցիկություն, ինչը լավ կառավարման և ժողովրդավար և բազմակարծություն ապահովող հասարակության կարևոր ցուցանիշ է։ Այն նաև հնարավորություն է ընձեռում անհատին լիարժեքորեն իրացնել իր իրավունքները՝ բարձրացնելով քաղաքացու վստահությունը պետական մարմինների նկատմամբ։ Կոնվենցիան նաև նախատեսում է տվյալ իրավունքի սահմանափակում ազգային անվտանգության, պաշտպանության, անձնական կյանքի և անձնական տվյալների պաշտպանության գերակայության, ինչպես նաև միջազգային</w:t>
            </w:r>
            <w:r>
              <w:rPr>
                <w:rFonts w:ascii="GHEA Grapalat" w:hAnsi="GHEA Grapalat" w:cs="Sylfaen"/>
                <w:sz w:val="24"/>
                <w:szCs w:val="24"/>
                <w:lang w:val="hy-AM"/>
              </w:rPr>
              <w:t xml:space="preserve"> </w:t>
            </w:r>
            <w:r w:rsidRPr="00D823DA">
              <w:rPr>
                <w:rFonts w:ascii="GHEA Grapalat" w:hAnsi="GHEA Grapalat" w:cs="Sylfaen"/>
                <w:sz w:val="24"/>
                <w:szCs w:val="24"/>
                <w:lang w:val="hy-AM"/>
              </w:rPr>
              <w:t xml:space="preserve">հարաբերությունների կարգավորումների տեսանկյունից։ </w:t>
            </w:r>
            <w:r w:rsidRPr="00D823DA">
              <w:rPr>
                <w:rFonts w:ascii="GHEA Grapalat" w:hAnsi="GHEA Grapalat" w:cs="Sylfaen"/>
                <w:sz w:val="24"/>
                <w:szCs w:val="24"/>
                <w:lang w:val="hy-AM"/>
              </w:rPr>
              <w:tab/>
            </w:r>
          </w:p>
          <w:p w:rsidR="00012393" w:rsidRPr="00FF5FEB" w:rsidRDefault="00D823DA" w:rsidP="00D823DA">
            <w:pPr>
              <w:spacing w:line="360" w:lineRule="auto"/>
              <w:ind w:right="-31" w:firstLine="708"/>
              <w:jc w:val="both"/>
              <w:rPr>
                <w:rFonts w:ascii="GHEA Grapalat" w:hAnsi="GHEA Grapalat" w:cs="Sylfaen"/>
                <w:sz w:val="24"/>
                <w:szCs w:val="24"/>
                <w:lang w:val="hy-AM"/>
              </w:rPr>
            </w:pPr>
            <w:r w:rsidRPr="00D823DA">
              <w:rPr>
                <w:rFonts w:ascii="GHEA Grapalat" w:hAnsi="GHEA Grapalat" w:cs="Sylfaen"/>
                <w:sz w:val="24"/>
                <w:szCs w:val="24"/>
                <w:lang w:val="hy-AM"/>
              </w:rPr>
              <w:t>Հաշվի առնելով վերոգրյալը՝ 2009 թվականի հունիսի 18-ին ստորագրված «Պաշտոնական փաստաթղթերի մատչելիության մասին» Եվրոպայի խորհրդի կոնվենցիայի վավերացումը կամ հաստատումը Հայաստանի Հանրապետության վարած արտաքին քաղաքականության առումով նպատակահարմար է։</w:t>
            </w:r>
          </w:p>
        </w:tc>
        <w:tc>
          <w:tcPr>
            <w:tcW w:w="4941" w:type="dxa"/>
            <w:gridSpan w:val="3"/>
          </w:tcPr>
          <w:p w:rsidR="00D2721D" w:rsidRPr="00C243E6" w:rsidRDefault="00D2721D" w:rsidP="00D2721D">
            <w:pPr>
              <w:spacing w:line="360" w:lineRule="auto"/>
              <w:jc w:val="center"/>
              <w:rPr>
                <w:rFonts w:ascii="GHEA Grapalat" w:hAnsi="GHEA Grapalat" w:cs="Times New Roman"/>
                <w:b/>
                <w:noProof/>
                <w:sz w:val="24"/>
                <w:szCs w:val="24"/>
                <w:lang w:val="hy-AM"/>
              </w:rPr>
            </w:pPr>
            <w:r w:rsidRPr="00C243E6">
              <w:rPr>
                <w:rFonts w:ascii="GHEA Grapalat" w:hAnsi="GHEA Grapalat" w:cs="Times New Roman"/>
                <w:b/>
                <w:noProof/>
                <w:sz w:val="24"/>
                <w:szCs w:val="24"/>
                <w:lang w:val="hy-AM"/>
              </w:rPr>
              <w:lastRenderedPageBreak/>
              <w:t>Ընդունվել է</w:t>
            </w:r>
          </w:p>
          <w:p w:rsidR="00D2721D" w:rsidRPr="00C243E6" w:rsidRDefault="00D2721D" w:rsidP="00E51670">
            <w:pPr>
              <w:spacing w:line="360" w:lineRule="auto"/>
              <w:jc w:val="both"/>
              <w:rPr>
                <w:rFonts w:ascii="GHEA Grapalat" w:hAnsi="GHEA Grapalat" w:cs="Times New Roman"/>
                <w:noProof/>
                <w:sz w:val="24"/>
                <w:szCs w:val="24"/>
                <w:lang w:val="hy-AM"/>
              </w:rPr>
            </w:pPr>
          </w:p>
        </w:tc>
      </w:tr>
      <w:tr w:rsidR="005B1BC3" w:rsidRPr="00C243E6" w:rsidTr="00DF07AA">
        <w:trPr>
          <w:trHeight w:val="132"/>
        </w:trPr>
        <w:tc>
          <w:tcPr>
            <w:tcW w:w="7681" w:type="dxa"/>
            <w:gridSpan w:val="2"/>
            <w:vMerge w:val="restart"/>
            <w:shd w:val="clear" w:color="auto" w:fill="BFBFBF" w:themeFill="background1" w:themeFillShade="BF"/>
          </w:tcPr>
          <w:p w:rsidR="005B1BC3" w:rsidRPr="00C243E6" w:rsidRDefault="005B1BC3" w:rsidP="004E2950">
            <w:pPr>
              <w:spacing w:line="360" w:lineRule="auto"/>
              <w:jc w:val="center"/>
              <w:rPr>
                <w:rFonts w:ascii="GHEA Grapalat" w:hAnsi="GHEA Grapalat" w:cs="Times New Roman"/>
                <w:noProof/>
                <w:sz w:val="24"/>
                <w:szCs w:val="24"/>
                <w:lang w:val="hy-AM"/>
              </w:rPr>
            </w:pPr>
          </w:p>
          <w:p w:rsidR="005B1BC3" w:rsidRPr="00C243E6" w:rsidRDefault="005B1BC3" w:rsidP="004E2950">
            <w:pPr>
              <w:spacing w:line="360" w:lineRule="auto"/>
              <w:jc w:val="center"/>
              <w:rPr>
                <w:rFonts w:ascii="GHEA Grapalat" w:hAnsi="GHEA Grapalat"/>
                <w:b/>
                <w:noProof/>
                <w:color w:val="000000"/>
                <w:sz w:val="24"/>
                <w:szCs w:val="24"/>
                <w:lang w:val="hy-AM"/>
              </w:rPr>
            </w:pPr>
            <w:r w:rsidRPr="00C243E6">
              <w:rPr>
                <w:rFonts w:ascii="GHEA Grapalat" w:hAnsi="GHEA Grapalat" w:cs="Times New Roman"/>
                <w:b/>
                <w:noProof/>
                <w:sz w:val="24"/>
                <w:szCs w:val="24"/>
                <w:lang w:val="hy-AM"/>
              </w:rPr>
              <w:t>2. Պետական գույքի կառավարման կոմիտե</w:t>
            </w:r>
          </w:p>
          <w:p w:rsidR="005B1BC3" w:rsidRPr="00C243E6" w:rsidRDefault="005B1BC3" w:rsidP="00470F74">
            <w:pPr>
              <w:spacing w:line="360" w:lineRule="auto"/>
              <w:rPr>
                <w:rFonts w:ascii="GHEA Grapalat" w:hAnsi="GHEA Grapalat" w:cs="Times New Roman"/>
                <w:noProof/>
                <w:sz w:val="24"/>
                <w:szCs w:val="24"/>
                <w:lang w:val="hy-AM"/>
              </w:rPr>
            </w:pPr>
            <w:r w:rsidRPr="00C243E6">
              <w:rPr>
                <w:rFonts w:ascii="GHEA Grapalat" w:hAnsi="GHEA Grapalat"/>
                <w:noProof/>
                <w:color w:val="000000"/>
                <w:sz w:val="24"/>
                <w:szCs w:val="24"/>
                <w:highlight w:val="lightGray"/>
                <w:shd w:val="clear" w:color="auto" w:fill="FFFFFF"/>
                <w:lang w:val="hy-AM"/>
              </w:rPr>
              <w:t xml:space="preserve">                                             </w:t>
            </w:r>
          </w:p>
        </w:tc>
        <w:tc>
          <w:tcPr>
            <w:tcW w:w="2848" w:type="dxa"/>
            <w:gridSpan w:val="2"/>
            <w:shd w:val="clear" w:color="auto" w:fill="BFBFBF" w:themeFill="background1" w:themeFillShade="BF"/>
          </w:tcPr>
          <w:p w:rsidR="005B1BC3" w:rsidRPr="00CC3204" w:rsidRDefault="00F74400" w:rsidP="005E6014">
            <w:pPr>
              <w:spacing w:line="360" w:lineRule="auto"/>
              <w:jc w:val="center"/>
              <w:rPr>
                <w:rFonts w:ascii="GHEA Grapalat" w:hAnsi="GHEA Grapalat" w:cs="Times New Roman"/>
                <w:noProof/>
                <w:sz w:val="24"/>
                <w:szCs w:val="24"/>
              </w:rPr>
            </w:pPr>
            <w:r>
              <w:rPr>
                <w:rFonts w:ascii="GHEA Grapalat" w:hAnsi="GHEA Grapalat" w:cs="Times New Roman"/>
                <w:noProof/>
                <w:sz w:val="24"/>
                <w:szCs w:val="24"/>
              </w:rPr>
              <w:t>24</w:t>
            </w:r>
            <w:r w:rsidR="005B1BC3">
              <w:rPr>
                <w:rFonts w:ascii="GHEA Grapalat" w:hAnsi="GHEA Grapalat" w:cs="Times New Roman"/>
                <w:noProof/>
                <w:sz w:val="24"/>
                <w:szCs w:val="24"/>
                <w:lang w:val="hy-AM"/>
              </w:rPr>
              <w:t>.0</w:t>
            </w:r>
            <w:r>
              <w:rPr>
                <w:rFonts w:ascii="GHEA Grapalat" w:hAnsi="GHEA Grapalat" w:cs="Times New Roman"/>
                <w:noProof/>
                <w:sz w:val="24"/>
                <w:szCs w:val="24"/>
              </w:rPr>
              <w:t>8</w:t>
            </w:r>
            <w:r w:rsidR="005B1BC3" w:rsidRPr="00C243E6">
              <w:rPr>
                <w:rFonts w:ascii="GHEA Grapalat" w:hAnsi="GHEA Grapalat" w:cs="Times New Roman"/>
                <w:noProof/>
                <w:sz w:val="24"/>
                <w:szCs w:val="24"/>
                <w:lang w:val="hy-AM"/>
              </w:rPr>
              <w:t>.202</w:t>
            </w:r>
            <w:r w:rsidR="005B1BC3">
              <w:rPr>
                <w:rFonts w:ascii="GHEA Grapalat" w:hAnsi="GHEA Grapalat" w:cs="Times New Roman"/>
                <w:noProof/>
                <w:sz w:val="24"/>
                <w:szCs w:val="24"/>
              </w:rPr>
              <w:t>1</w:t>
            </w:r>
          </w:p>
        </w:tc>
      </w:tr>
      <w:tr w:rsidR="005B1BC3" w:rsidRPr="00C243E6" w:rsidTr="00DF07AA">
        <w:trPr>
          <w:trHeight w:val="131"/>
        </w:trPr>
        <w:tc>
          <w:tcPr>
            <w:tcW w:w="7681" w:type="dxa"/>
            <w:gridSpan w:val="2"/>
            <w:vMerge/>
            <w:shd w:val="clear" w:color="auto" w:fill="BFBFBF" w:themeFill="background1" w:themeFillShade="BF"/>
          </w:tcPr>
          <w:p w:rsidR="005B1BC3" w:rsidRPr="00C243E6" w:rsidRDefault="005B1BC3" w:rsidP="00470F74">
            <w:pPr>
              <w:spacing w:line="360" w:lineRule="auto"/>
              <w:rPr>
                <w:rFonts w:ascii="GHEA Grapalat" w:hAnsi="GHEA Grapalat" w:cs="Times New Roman"/>
                <w:noProof/>
                <w:sz w:val="24"/>
                <w:szCs w:val="24"/>
                <w:lang w:val="hy-AM"/>
              </w:rPr>
            </w:pPr>
          </w:p>
        </w:tc>
        <w:tc>
          <w:tcPr>
            <w:tcW w:w="2848" w:type="dxa"/>
            <w:gridSpan w:val="2"/>
            <w:shd w:val="clear" w:color="auto" w:fill="BFBFBF" w:themeFill="background1" w:themeFillShade="BF"/>
          </w:tcPr>
          <w:p w:rsidR="005B1BC3" w:rsidRPr="00C243E6" w:rsidRDefault="00F74400" w:rsidP="005E6014">
            <w:pPr>
              <w:spacing w:line="360" w:lineRule="auto"/>
              <w:jc w:val="center"/>
              <w:rPr>
                <w:rFonts w:ascii="GHEA Grapalat" w:hAnsi="GHEA Grapalat" w:cs="Times New Roman"/>
                <w:noProof/>
                <w:sz w:val="24"/>
                <w:szCs w:val="24"/>
                <w:lang w:val="hy-AM"/>
              </w:rPr>
            </w:pPr>
            <w:r w:rsidRPr="00F74400">
              <w:rPr>
                <w:rFonts w:ascii="GHEA Grapalat" w:hAnsi="GHEA Grapalat" w:cs="Times New Roman"/>
                <w:noProof/>
                <w:sz w:val="24"/>
                <w:szCs w:val="24"/>
                <w:lang w:val="hy-AM"/>
              </w:rPr>
              <w:t>01/12.5/6135-2021</w:t>
            </w:r>
          </w:p>
        </w:tc>
      </w:tr>
      <w:tr w:rsidR="005B1BC3" w:rsidRPr="00C243E6" w:rsidTr="00DF07AA">
        <w:trPr>
          <w:trHeight w:val="2967"/>
        </w:trPr>
        <w:tc>
          <w:tcPr>
            <w:tcW w:w="5588" w:type="dxa"/>
          </w:tcPr>
          <w:p w:rsidR="005B1BC3" w:rsidRPr="00C243E6" w:rsidRDefault="00D823DA" w:rsidP="005B1BC3">
            <w:pPr>
              <w:spacing w:line="360" w:lineRule="auto"/>
              <w:ind w:right="133" w:firstLine="708"/>
              <w:jc w:val="both"/>
              <w:rPr>
                <w:rFonts w:ascii="GHEA Grapalat" w:hAnsi="GHEA Grapalat" w:cs="Times New Roman"/>
                <w:noProof/>
                <w:sz w:val="24"/>
                <w:szCs w:val="24"/>
                <w:lang w:val="hy-AM"/>
              </w:rPr>
            </w:pPr>
            <w:r w:rsidRPr="00D823DA">
              <w:rPr>
                <w:rFonts w:ascii="GHEA Grapalat" w:hAnsi="GHEA Grapalat" w:cs="Times New Roman"/>
                <w:noProof/>
                <w:sz w:val="24"/>
                <w:szCs w:val="24"/>
                <w:lang w:val="hy-AM"/>
              </w:rPr>
              <w:lastRenderedPageBreak/>
              <w:t xml:space="preserve"> «Պաշտոնական փաստաթղթերի մատչելիության մասին» Եվրոպայի խորհրդի կոնվենցիայի վերաբերյալ ՀՀ ՏԿԵՆ պետական գույքի կառավարման կոմիտեն իր գործունեության լիազորությունների շրջանակներում առաջարկություններ չունի։</w:t>
            </w:r>
          </w:p>
        </w:tc>
        <w:tc>
          <w:tcPr>
            <w:tcW w:w="4941" w:type="dxa"/>
            <w:gridSpan w:val="3"/>
          </w:tcPr>
          <w:p w:rsidR="005B1BC3" w:rsidRPr="00C243E6" w:rsidRDefault="005B1BC3" w:rsidP="00470F74">
            <w:pPr>
              <w:spacing w:line="360" w:lineRule="auto"/>
              <w:jc w:val="center"/>
              <w:rPr>
                <w:rFonts w:ascii="GHEA Grapalat" w:hAnsi="GHEA Grapalat" w:cs="Times New Roman"/>
                <w:b/>
                <w:noProof/>
                <w:sz w:val="24"/>
                <w:szCs w:val="24"/>
                <w:lang w:val="hy-AM"/>
              </w:rPr>
            </w:pPr>
            <w:r w:rsidRPr="00C243E6">
              <w:rPr>
                <w:rFonts w:ascii="GHEA Grapalat" w:hAnsi="GHEA Grapalat" w:cs="Times New Roman"/>
                <w:b/>
                <w:noProof/>
                <w:sz w:val="24"/>
                <w:szCs w:val="24"/>
                <w:lang w:val="hy-AM"/>
              </w:rPr>
              <w:t>Ընդունվել է</w:t>
            </w:r>
          </w:p>
        </w:tc>
      </w:tr>
      <w:tr w:rsidR="00DF07AA" w:rsidRPr="00C243E6" w:rsidTr="00DF07AA">
        <w:trPr>
          <w:trHeight w:val="615"/>
        </w:trPr>
        <w:tc>
          <w:tcPr>
            <w:tcW w:w="10529" w:type="dxa"/>
            <w:gridSpan w:val="4"/>
          </w:tcPr>
          <w:tbl>
            <w:tblPr>
              <w:tblStyle w:val="TableGrid"/>
              <w:tblW w:w="10405" w:type="dxa"/>
              <w:tblLook w:val="04A0" w:firstRow="1" w:lastRow="0" w:firstColumn="1" w:lastColumn="0" w:noHBand="0" w:noVBand="1"/>
            </w:tblPr>
            <w:tblGrid>
              <w:gridCol w:w="7611"/>
              <w:gridCol w:w="2794"/>
            </w:tblGrid>
            <w:tr w:rsidR="00DF07AA" w:rsidRPr="00283431" w:rsidTr="00DF07AA">
              <w:trPr>
                <w:trHeight w:val="660"/>
              </w:trPr>
              <w:tc>
                <w:tcPr>
                  <w:tcW w:w="7611" w:type="dxa"/>
                  <w:vMerge w:val="restart"/>
                  <w:shd w:val="clear" w:color="auto" w:fill="A6A6A6" w:themeFill="background1" w:themeFillShade="A6"/>
                </w:tcPr>
                <w:p w:rsidR="00DF07AA" w:rsidRPr="009D5155" w:rsidRDefault="009D5155" w:rsidP="009D5155">
                  <w:pPr>
                    <w:spacing w:line="360" w:lineRule="auto"/>
                    <w:ind w:left="720"/>
                    <w:jc w:val="center"/>
                    <w:rPr>
                      <w:rFonts w:ascii="GHEA Grapalat" w:hAnsi="GHEA Grapalat" w:cs="Times New Roman"/>
                      <w:b/>
                      <w:noProof/>
                      <w:sz w:val="24"/>
                      <w:szCs w:val="24"/>
                      <w:lang w:val="hy-AM"/>
                    </w:rPr>
                  </w:pPr>
                  <w:r>
                    <w:rPr>
                      <w:rFonts w:ascii="GHEA Grapalat" w:hAnsi="GHEA Grapalat" w:cs="Times New Roman"/>
                      <w:b/>
                      <w:noProof/>
                      <w:sz w:val="24"/>
                      <w:szCs w:val="24"/>
                      <w:lang w:val="hy-AM"/>
                    </w:rPr>
                    <w:t>3.</w:t>
                  </w:r>
                  <w:r w:rsidR="00DF07AA" w:rsidRPr="009D5155">
                    <w:rPr>
                      <w:rFonts w:ascii="GHEA Grapalat" w:hAnsi="GHEA Grapalat" w:cs="Times New Roman"/>
                      <w:b/>
                      <w:noProof/>
                      <w:sz w:val="24"/>
                      <w:szCs w:val="24"/>
                      <w:lang w:val="hy-AM"/>
                    </w:rPr>
                    <w:t xml:space="preserve">Արդարադատության </w:t>
                  </w:r>
                  <w:r w:rsidR="00DF07AA" w:rsidRPr="009D5155">
                    <w:rPr>
                      <w:rFonts w:ascii="GHEA Grapalat" w:hAnsi="GHEA Grapalat" w:cs="Times New Roman"/>
                      <w:b/>
                      <w:noProof/>
                      <w:sz w:val="24"/>
                      <w:szCs w:val="24"/>
                      <w:lang w:val="hy-AM"/>
                    </w:rPr>
                    <w:t>նախարարություն</w:t>
                  </w:r>
                </w:p>
                <w:p w:rsidR="00DF07AA" w:rsidRPr="009D5155" w:rsidRDefault="00DF07AA" w:rsidP="00DF07AA">
                  <w:pPr>
                    <w:spacing w:line="360" w:lineRule="auto"/>
                    <w:rPr>
                      <w:rFonts w:ascii="GHEA Grapalat" w:hAnsi="GHEA Grapalat"/>
                      <w:noProof/>
                      <w:color w:val="000000"/>
                      <w:sz w:val="24"/>
                      <w:szCs w:val="24"/>
                      <w:highlight w:val="lightGray"/>
                      <w:shd w:val="clear" w:color="auto" w:fill="FFFFFF"/>
                      <w:lang w:val="hy-AM"/>
                    </w:rPr>
                  </w:pPr>
                </w:p>
              </w:tc>
              <w:tc>
                <w:tcPr>
                  <w:tcW w:w="2794" w:type="dxa"/>
                  <w:shd w:val="clear" w:color="auto" w:fill="A6A6A6" w:themeFill="background1" w:themeFillShade="A6"/>
                </w:tcPr>
                <w:p w:rsidR="00DF07AA" w:rsidRPr="009D5155" w:rsidRDefault="009D5155" w:rsidP="00DF07AA">
                  <w:pPr>
                    <w:spacing w:line="360" w:lineRule="auto"/>
                    <w:jc w:val="center"/>
                    <w:rPr>
                      <w:rFonts w:ascii="GHEA Grapalat" w:hAnsi="GHEA Grapalat" w:cs="Times New Roman"/>
                      <w:noProof/>
                      <w:sz w:val="24"/>
                      <w:szCs w:val="24"/>
                    </w:rPr>
                  </w:pPr>
                  <w:r w:rsidRPr="009D5155">
                    <w:rPr>
                      <w:rFonts w:ascii="GHEA Grapalat" w:hAnsi="GHEA Grapalat" w:cs="Times New Roman"/>
                      <w:noProof/>
                      <w:sz w:val="24"/>
                      <w:szCs w:val="24"/>
                      <w:lang w:val="hy-AM"/>
                    </w:rPr>
                    <w:t>29</w:t>
                  </w:r>
                  <w:r w:rsidR="00DF07AA" w:rsidRPr="009D5155">
                    <w:rPr>
                      <w:rFonts w:ascii="GHEA Grapalat" w:hAnsi="GHEA Grapalat" w:cs="Times New Roman"/>
                      <w:noProof/>
                      <w:sz w:val="24"/>
                      <w:szCs w:val="24"/>
                      <w:lang w:val="hy-AM"/>
                    </w:rPr>
                    <w:t>.09.202</w:t>
                  </w:r>
                  <w:r w:rsidR="00DF07AA" w:rsidRPr="009D5155">
                    <w:rPr>
                      <w:rFonts w:ascii="GHEA Grapalat" w:hAnsi="GHEA Grapalat" w:cs="Times New Roman"/>
                      <w:noProof/>
                      <w:sz w:val="24"/>
                      <w:szCs w:val="24"/>
                    </w:rPr>
                    <w:t>1</w:t>
                  </w:r>
                </w:p>
              </w:tc>
            </w:tr>
            <w:tr w:rsidR="00DF07AA" w:rsidRPr="00C243E6" w:rsidTr="00DF07AA">
              <w:trPr>
                <w:trHeight w:val="660"/>
              </w:trPr>
              <w:tc>
                <w:tcPr>
                  <w:tcW w:w="7611" w:type="dxa"/>
                  <w:vMerge/>
                  <w:shd w:val="clear" w:color="auto" w:fill="A6A6A6" w:themeFill="background1" w:themeFillShade="A6"/>
                </w:tcPr>
                <w:p w:rsidR="00DF07AA" w:rsidRPr="00C243E6" w:rsidRDefault="00DF07AA" w:rsidP="00DF07AA">
                  <w:pPr>
                    <w:spacing w:line="360" w:lineRule="auto"/>
                    <w:jc w:val="center"/>
                    <w:rPr>
                      <w:rFonts w:ascii="GHEA Grapalat" w:hAnsi="GHEA Grapalat" w:cs="Times New Roman"/>
                      <w:noProof/>
                      <w:sz w:val="24"/>
                      <w:szCs w:val="24"/>
                      <w:lang w:val="hy-AM"/>
                    </w:rPr>
                  </w:pPr>
                </w:p>
              </w:tc>
              <w:tc>
                <w:tcPr>
                  <w:tcW w:w="2794" w:type="dxa"/>
                  <w:shd w:val="clear" w:color="auto" w:fill="A6A6A6" w:themeFill="background1" w:themeFillShade="A6"/>
                </w:tcPr>
                <w:p w:rsidR="00DF07AA" w:rsidRPr="009D5155" w:rsidRDefault="009D5155" w:rsidP="00DF07AA">
                  <w:pPr>
                    <w:spacing w:line="360" w:lineRule="auto"/>
                    <w:jc w:val="center"/>
                    <w:rPr>
                      <w:rFonts w:ascii="GHEA Grapalat" w:hAnsi="GHEA Grapalat" w:cs="Times New Roman"/>
                      <w:noProof/>
                      <w:sz w:val="24"/>
                      <w:szCs w:val="24"/>
                      <w:lang w:val="hy-AM"/>
                    </w:rPr>
                  </w:pPr>
                  <w:r w:rsidRPr="009D5155">
                    <w:rPr>
                      <w:rFonts w:ascii="GHEA Grapalat" w:hAnsi="GHEA Grapalat"/>
                      <w:sz w:val="24"/>
                      <w:szCs w:val="24"/>
                    </w:rPr>
                    <w:t>01/14.2/30679-2021</w:t>
                  </w:r>
                </w:p>
              </w:tc>
            </w:tr>
          </w:tbl>
          <w:p w:rsidR="00DF07AA" w:rsidRPr="00DF07AA" w:rsidRDefault="00DF07AA" w:rsidP="00DF07AA">
            <w:pPr>
              <w:pStyle w:val="ListParagraph"/>
              <w:spacing w:line="360" w:lineRule="auto"/>
              <w:ind w:left="0"/>
              <w:jc w:val="center"/>
              <w:rPr>
                <w:rFonts w:ascii="GHEA Grapalat" w:hAnsi="GHEA Grapalat" w:cs="Times New Roman"/>
                <w:b/>
                <w:noProof/>
                <w:sz w:val="24"/>
                <w:szCs w:val="24"/>
                <w:highlight w:val="darkGray"/>
              </w:rPr>
            </w:pPr>
          </w:p>
        </w:tc>
      </w:tr>
      <w:tr w:rsidR="00DF07AA" w:rsidRPr="00DF07AA" w:rsidTr="00DF07AA">
        <w:trPr>
          <w:trHeight w:val="2967"/>
        </w:trPr>
        <w:tc>
          <w:tcPr>
            <w:tcW w:w="5588" w:type="dxa"/>
          </w:tcPr>
          <w:p w:rsidR="00DF07AA" w:rsidRDefault="00DF07AA" w:rsidP="00DF07AA">
            <w:pPr>
              <w:spacing w:line="360" w:lineRule="auto"/>
              <w:ind w:firstLine="720"/>
              <w:jc w:val="both"/>
              <w:rPr>
                <w:rFonts w:ascii="GHEA Grapalat" w:hAnsi="GHEA Grapalat" w:cs="Sylfaen"/>
                <w:sz w:val="24"/>
                <w:szCs w:val="24"/>
                <w:lang w:val="hy-AM"/>
              </w:rPr>
            </w:pPr>
            <w:r>
              <w:rPr>
                <w:rFonts w:ascii="GHEA Grapalat" w:hAnsi="GHEA Grapalat" w:cs="Sylfaen"/>
                <w:sz w:val="24"/>
                <w:szCs w:val="24"/>
                <w:lang w:val="hy-AM"/>
              </w:rPr>
              <w:t>Կոնվենցիան չի պարունակում Հայաստանի Հանրապետության օրենքին հակասող, օրենքի</w:t>
            </w:r>
            <w:r>
              <w:rPr>
                <w:rFonts w:ascii="GHEA Grapalat" w:hAnsi="GHEA Grapalat" w:cs="Sylfaen"/>
                <w:sz w:val="24"/>
                <w:szCs w:val="24"/>
                <w:lang w:val="fr-FR"/>
              </w:rPr>
              <w:t xml:space="preserve"> </w:t>
            </w:r>
            <w:r>
              <w:rPr>
                <w:rFonts w:ascii="GHEA Grapalat" w:hAnsi="GHEA Grapalat" w:cs="Sylfaen"/>
                <w:sz w:val="24"/>
                <w:szCs w:val="24"/>
                <w:lang w:val="hy-AM"/>
              </w:rPr>
              <w:t>փոփոխություն</w:t>
            </w:r>
            <w:r>
              <w:rPr>
                <w:rFonts w:ascii="GHEA Grapalat" w:hAnsi="GHEA Grapalat" w:cs="Sylfaen"/>
                <w:sz w:val="24"/>
                <w:szCs w:val="24"/>
                <w:lang w:val="fr-FR"/>
              </w:rPr>
              <w:t xml:space="preserve"> </w:t>
            </w:r>
            <w:r>
              <w:rPr>
                <w:rFonts w:ascii="GHEA Grapalat" w:hAnsi="GHEA Grapalat" w:cs="Sylfaen"/>
                <w:sz w:val="24"/>
                <w:szCs w:val="24"/>
                <w:lang w:val="hy-AM"/>
              </w:rPr>
              <w:t>կամ</w:t>
            </w:r>
            <w:r>
              <w:rPr>
                <w:rFonts w:ascii="GHEA Grapalat" w:hAnsi="GHEA Grapalat" w:cs="Sylfaen"/>
                <w:sz w:val="24"/>
                <w:szCs w:val="24"/>
                <w:lang w:val="fr-FR"/>
              </w:rPr>
              <w:t xml:space="preserve"> </w:t>
            </w:r>
            <w:r>
              <w:rPr>
                <w:rFonts w:ascii="GHEA Grapalat" w:hAnsi="GHEA Grapalat" w:cs="Sylfaen"/>
                <w:sz w:val="24"/>
                <w:szCs w:val="24"/>
                <w:lang w:val="hy-AM"/>
              </w:rPr>
              <w:t>նոր</w:t>
            </w:r>
            <w:r>
              <w:rPr>
                <w:rFonts w:ascii="GHEA Grapalat" w:hAnsi="GHEA Grapalat" w:cs="Sylfaen"/>
                <w:sz w:val="24"/>
                <w:szCs w:val="24"/>
                <w:lang w:val="fr-FR"/>
              </w:rPr>
              <w:t xml:space="preserve"> </w:t>
            </w:r>
            <w:r>
              <w:rPr>
                <w:rFonts w:ascii="GHEA Grapalat" w:hAnsi="GHEA Grapalat" w:cs="Sylfaen"/>
                <w:sz w:val="24"/>
                <w:szCs w:val="24"/>
                <w:lang w:val="hy-AM"/>
              </w:rPr>
              <w:t>օրենքի</w:t>
            </w:r>
            <w:r>
              <w:rPr>
                <w:rFonts w:ascii="GHEA Grapalat" w:hAnsi="GHEA Grapalat" w:cs="Sylfaen"/>
                <w:sz w:val="24"/>
                <w:szCs w:val="24"/>
                <w:lang w:val="fr-FR"/>
              </w:rPr>
              <w:t xml:space="preserve"> </w:t>
            </w:r>
            <w:r>
              <w:rPr>
                <w:rFonts w:ascii="GHEA Grapalat" w:hAnsi="GHEA Grapalat" w:cs="Sylfaen"/>
                <w:sz w:val="24"/>
                <w:szCs w:val="24"/>
                <w:lang w:val="hy-AM"/>
              </w:rPr>
              <w:t>ընդունում</w:t>
            </w:r>
            <w:r>
              <w:rPr>
                <w:rFonts w:ascii="GHEA Grapalat" w:hAnsi="GHEA Grapalat" w:cs="Sylfaen"/>
                <w:sz w:val="24"/>
                <w:szCs w:val="24"/>
                <w:lang w:val="fr-FR"/>
              </w:rPr>
              <w:t xml:space="preserve"> </w:t>
            </w:r>
            <w:r>
              <w:rPr>
                <w:rFonts w:ascii="GHEA Grapalat" w:hAnsi="GHEA Grapalat" w:cs="Sylfaen"/>
                <w:sz w:val="24"/>
                <w:szCs w:val="24"/>
                <w:lang w:val="hy-AM"/>
              </w:rPr>
              <w:t>նախատեսող</w:t>
            </w:r>
            <w:r>
              <w:rPr>
                <w:rFonts w:ascii="GHEA Grapalat" w:hAnsi="GHEA Grapalat" w:cs="Sylfaen"/>
                <w:sz w:val="24"/>
                <w:szCs w:val="24"/>
                <w:lang w:val="fr-FR"/>
              </w:rPr>
              <w:t xml:space="preserve"> </w:t>
            </w:r>
            <w:r>
              <w:rPr>
                <w:rFonts w:ascii="GHEA Grapalat" w:hAnsi="GHEA Grapalat" w:cs="Sylfaen"/>
                <w:sz w:val="24"/>
                <w:szCs w:val="24"/>
                <w:lang w:val="hy-AM"/>
              </w:rPr>
              <w:t>նորմեր:</w:t>
            </w:r>
          </w:p>
          <w:p w:rsidR="00DF07AA" w:rsidRDefault="00DF07AA" w:rsidP="00DF07AA">
            <w:pPr>
              <w:spacing w:line="360" w:lineRule="auto"/>
              <w:ind w:firstLine="720"/>
              <w:jc w:val="both"/>
              <w:rPr>
                <w:rFonts w:ascii="GHEA Grapalat" w:hAnsi="GHEA Grapalat" w:cs="Sylfaen"/>
                <w:sz w:val="24"/>
                <w:szCs w:val="24"/>
                <w:lang w:val="hy-AM"/>
              </w:rPr>
            </w:pPr>
            <w:r>
              <w:rPr>
                <w:rFonts w:ascii="GHEA Grapalat" w:hAnsi="GHEA Grapalat" w:cs="Sylfaen"/>
                <w:sz w:val="24"/>
                <w:szCs w:val="24"/>
                <w:lang w:val="hy-AM"/>
              </w:rPr>
              <w:t xml:space="preserve"> Միաժամանակ հայտնում ենք, որ Կոնվենցիան</w:t>
            </w:r>
            <w:r>
              <w:rPr>
                <w:rFonts w:ascii="GHEA Grapalat" w:hAnsi="GHEA Grapalat"/>
                <w:sz w:val="24"/>
                <w:szCs w:val="24"/>
                <w:lang w:val="hy-AM"/>
              </w:rPr>
              <w:t xml:space="preserve"> </w:t>
            </w:r>
            <w:r>
              <w:rPr>
                <w:rFonts w:ascii="GHEA Grapalat" w:hAnsi="GHEA Grapalat" w:cs="Sylfaen"/>
                <w:sz w:val="24"/>
                <w:szCs w:val="24"/>
                <w:lang w:val="hy-AM"/>
              </w:rPr>
              <w:t>ենթակա է վավերացման ՀՀ Ազգային ժողովի կողմից՝ համաձայն ՀՀ Սահմանադրության 116-րդ հոդվածի 1-ին մասի 1-ին և «Միջազգային պայմանագրերի մասին» օրենքի 10-րդ հոդվածի 2-րդ մասի 1-ին կետերի դրույթների:</w:t>
            </w:r>
          </w:p>
          <w:p w:rsidR="00DF07AA" w:rsidRPr="00D823DA" w:rsidRDefault="00DF07AA" w:rsidP="005B1BC3">
            <w:pPr>
              <w:spacing w:line="360" w:lineRule="auto"/>
              <w:ind w:right="133" w:firstLine="708"/>
              <w:jc w:val="both"/>
              <w:rPr>
                <w:rFonts w:ascii="GHEA Grapalat" w:hAnsi="GHEA Grapalat" w:cs="Times New Roman"/>
                <w:noProof/>
                <w:sz w:val="24"/>
                <w:szCs w:val="24"/>
                <w:lang w:val="hy-AM"/>
              </w:rPr>
            </w:pPr>
          </w:p>
        </w:tc>
        <w:tc>
          <w:tcPr>
            <w:tcW w:w="4941" w:type="dxa"/>
            <w:gridSpan w:val="3"/>
          </w:tcPr>
          <w:p w:rsidR="00DF07AA" w:rsidRPr="00C243E6" w:rsidRDefault="00DF07AA" w:rsidP="00470F74">
            <w:pPr>
              <w:spacing w:line="360" w:lineRule="auto"/>
              <w:jc w:val="center"/>
              <w:rPr>
                <w:rFonts w:ascii="GHEA Grapalat" w:hAnsi="GHEA Grapalat" w:cs="Times New Roman"/>
                <w:b/>
                <w:noProof/>
                <w:sz w:val="24"/>
                <w:szCs w:val="24"/>
                <w:lang w:val="hy-AM"/>
              </w:rPr>
            </w:pPr>
            <w:bookmarkStart w:id="0" w:name="_GoBack"/>
            <w:bookmarkEnd w:id="0"/>
          </w:p>
        </w:tc>
      </w:tr>
      <w:tr w:rsidR="00D55AB6" w:rsidRPr="00C243E6" w:rsidTr="00DF07AA">
        <w:trPr>
          <w:trHeight w:val="660"/>
        </w:trPr>
        <w:tc>
          <w:tcPr>
            <w:tcW w:w="7758" w:type="dxa"/>
            <w:gridSpan w:val="3"/>
            <w:vMerge w:val="restart"/>
            <w:shd w:val="clear" w:color="auto" w:fill="A6A6A6" w:themeFill="background1" w:themeFillShade="A6"/>
          </w:tcPr>
          <w:p w:rsidR="00D55AB6" w:rsidRPr="00C243E6" w:rsidRDefault="00D55AB6" w:rsidP="005E6014">
            <w:pPr>
              <w:spacing w:line="360" w:lineRule="auto"/>
              <w:rPr>
                <w:rFonts w:ascii="GHEA Grapalat" w:hAnsi="GHEA Grapalat" w:cs="Times New Roman"/>
                <w:b/>
                <w:noProof/>
                <w:sz w:val="24"/>
                <w:szCs w:val="24"/>
                <w:lang w:val="hy-AM"/>
              </w:rPr>
            </w:pPr>
          </w:p>
          <w:p w:rsidR="00D55AB6" w:rsidRPr="00F74400" w:rsidRDefault="00DF07AA" w:rsidP="00F74400">
            <w:pPr>
              <w:spacing w:line="360" w:lineRule="auto"/>
              <w:ind w:left="720"/>
              <w:jc w:val="center"/>
              <w:rPr>
                <w:rFonts w:ascii="GHEA Grapalat" w:hAnsi="GHEA Grapalat" w:cs="Times New Roman"/>
                <w:b/>
                <w:noProof/>
                <w:sz w:val="24"/>
                <w:szCs w:val="24"/>
                <w:lang w:val="hy-AM"/>
              </w:rPr>
            </w:pPr>
            <w:r>
              <w:rPr>
                <w:rFonts w:ascii="GHEA Grapalat" w:hAnsi="GHEA Grapalat" w:cs="Times New Roman"/>
                <w:b/>
                <w:noProof/>
                <w:sz w:val="24"/>
                <w:szCs w:val="24"/>
                <w:lang w:val="hy-AM"/>
              </w:rPr>
              <w:t>4</w:t>
            </w:r>
            <w:r w:rsidR="00F74400">
              <w:rPr>
                <w:rFonts w:ascii="GHEA Grapalat" w:hAnsi="GHEA Grapalat" w:cs="Times New Roman"/>
                <w:b/>
                <w:noProof/>
                <w:sz w:val="24"/>
                <w:szCs w:val="24"/>
                <w:lang w:val="hy-AM"/>
              </w:rPr>
              <w:t>․</w:t>
            </w:r>
            <w:r w:rsidR="00D55AB6" w:rsidRPr="00F74400">
              <w:rPr>
                <w:rFonts w:ascii="GHEA Grapalat" w:hAnsi="GHEA Grapalat" w:cs="Times New Roman"/>
                <w:b/>
                <w:noProof/>
                <w:sz w:val="24"/>
                <w:szCs w:val="24"/>
                <w:lang w:val="hy-AM"/>
              </w:rPr>
              <w:t>Ֆինանսների նախարարություն</w:t>
            </w:r>
          </w:p>
          <w:p w:rsidR="00D55AB6" w:rsidRPr="00C243E6" w:rsidRDefault="00D55AB6" w:rsidP="005E6014">
            <w:pPr>
              <w:spacing w:line="360" w:lineRule="auto"/>
              <w:rPr>
                <w:rFonts w:ascii="GHEA Grapalat" w:hAnsi="GHEA Grapalat"/>
                <w:noProof/>
                <w:color w:val="000000"/>
                <w:sz w:val="24"/>
                <w:szCs w:val="24"/>
                <w:highlight w:val="lightGray"/>
                <w:shd w:val="clear" w:color="auto" w:fill="FFFFFF"/>
                <w:lang w:val="hy-AM"/>
              </w:rPr>
            </w:pPr>
          </w:p>
        </w:tc>
        <w:tc>
          <w:tcPr>
            <w:tcW w:w="2771" w:type="dxa"/>
            <w:shd w:val="clear" w:color="auto" w:fill="A6A6A6" w:themeFill="background1" w:themeFillShade="A6"/>
          </w:tcPr>
          <w:p w:rsidR="00D55AB6" w:rsidRPr="00283431" w:rsidRDefault="00D55AB6" w:rsidP="005E6014">
            <w:pPr>
              <w:spacing w:line="360" w:lineRule="auto"/>
              <w:jc w:val="center"/>
              <w:rPr>
                <w:rFonts w:ascii="GHEA Grapalat" w:hAnsi="GHEA Grapalat" w:cs="Times New Roman"/>
                <w:noProof/>
                <w:sz w:val="24"/>
                <w:szCs w:val="24"/>
              </w:rPr>
            </w:pPr>
            <w:r>
              <w:rPr>
                <w:rFonts w:ascii="GHEA Grapalat" w:hAnsi="GHEA Grapalat" w:cs="Times New Roman"/>
                <w:noProof/>
                <w:sz w:val="24"/>
                <w:szCs w:val="24"/>
                <w:lang w:val="hy-AM"/>
              </w:rPr>
              <w:t>1</w:t>
            </w:r>
            <w:r w:rsidR="00F74400">
              <w:rPr>
                <w:rFonts w:ascii="GHEA Grapalat" w:hAnsi="GHEA Grapalat" w:cs="Times New Roman"/>
                <w:noProof/>
                <w:sz w:val="24"/>
                <w:szCs w:val="24"/>
              </w:rPr>
              <w:t>4</w:t>
            </w:r>
            <w:r>
              <w:rPr>
                <w:rFonts w:ascii="GHEA Grapalat" w:hAnsi="GHEA Grapalat" w:cs="Times New Roman"/>
                <w:noProof/>
                <w:sz w:val="24"/>
                <w:szCs w:val="24"/>
                <w:lang w:val="hy-AM"/>
              </w:rPr>
              <w:t>.0</w:t>
            </w:r>
            <w:r w:rsidR="00F74400">
              <w:rPr>
                <w:rFonts w:ascii="GHEA Grapalat" w:hAnsi="GHEA Grapalat" w:cs="Times New Roman"/>
                <w:noProof/>
                <w:sz w:val="24"/>
                <w:szCs w:val="24"/>
                <w:lang w:val="hy-AM"/>
              </w:rPr>
              <w:t>9</w:t>
            </w:r>
            <w:r w:rsidRPr="00C243E6">
              <w:rPr>
                <w:rFonts w:ascii="GHEA Grapalat" w:hAnsi="GHEA Grapalat" w:cs="Times New Roman"/>
                <w:noProof/>
                <w:sz w:val="24"/>
                <w:szCs w:val="24"/>
                <w:lang w:val="hy-AM"/>
              </w:rPr>
              <w:t>.202</w:t>
            </w:r>
            <w:r>
              <w:rPr>
                <w:rFonts w:ascii="GHEA Grapalat" w:hAnsi="GHEA Grapalat" w:cs="Times New Roman"/>
                <w:noProof/>
                <w:sz w:val="24"/>
                <w:szCs w:val="24"/>
              </w:rPr>
              <w:t>1</w:t>
            </w:r>
          </w:p>
        </w:tc>
      </w:tr>
      <w:tr w:rsidR="00D55AB6" w:rsidRPr="00C243E6" w:rsidTr="00DF07AA">
        <w:trPr>
          <w:trHeight w:val="660"/>
        </w:trPr>
        <w:tc>
          <w:tcPr>
            <w:tcW w:w="7758" w:type="dxa"/>
            <w:gridSpan w:val="3"/>
            <w:vMerge/>
            <w:shd w:val="clear" w:color="auto" w:fill="A6A6A6" w:themeFill="background1" w:themeFillShade="A6"/>
          </w:tcPr>
          <w:p w:rsidR="00D55AB6" w:rsidRPr="00C243E6" w:rsidRDefault="00D55AB6" w:rsidP="00470F74">
            <w:pPr>
              <w:spacing w:line="360" w:lineRule="auto"/>
              <w:jc w:val="center"/>
              <w:rPr>
                <w:rFonts w:ascii="GHEA Grapalat" w:hAnsi="GHEA Grapalat" w:cs="Times New Roman"/>
                <w:noProof/>
                <w:sz w:val="24"/>
                <w:szCs w:val="24"/>
                <w:lang w:val="hy-AM"/>
              </w:rPr>
            </w:pPr>
          </w:p>
        </w:tc>
        <w:tc>
          <w:tcPr>
            <w:tcW w:w="2771" w:type="dxa"/>
            <w:shd w:val="clear" w:color="auto" w:fill="A6A6A6" w:themeFill="background1" w:themeFillShade="A6"/>
          </w:tcPr>
          <w:p w:rsidR="00D55AB6" w:rsidRPr="00C243E6" w:rsidRDefault="00F74400" w:rsidP="00470F74">
            <w:pPr>
              <w:spacing w:line="360" w:lineRule="auto"/>
              <w:jc w:val="center"/>
              <w:rPr>
                <w:rFonts w:ascii="GHEA Grapalat" w:hAnsi="GHEA Grapalat" w:cs="Times New Roman"/>
                <w:noProof/>
                <w:sz w:val="24"/>
                <w:szCs w:val="24"/>
                <w:lang w:val="hy-AM"/>
              </w:rPr>
            </w:pPr>
            <w:r w:rsidRPr="00F74400">
              <w:rPr>
                <w:rFonts w:ascii="GHEA Grapalat" w:hAnsi="GHEA Grapalat" w:cs="Times New Roman"/>
                <w:noProof/>
                <w:sz w:val="24"/>
                <w:szCs w:val="24"/>
                <w:lang w:val="hy-AM"/>
              </w:rPr>
              <w:t>01/5-2/14085-2021</w:t>
            </w:r>
          </w:p>
        </w:tc>
      </w:tr>
      <w:tr w:rsidR="00D55AB6" w:rsidRPr="00C243E6" w:rsidTr="00DF07AA">
        <w:trPr>
          <w:trHeight w:val="9567"/>
        </w:trPr>
        <w:tc>
          <w:tcPr>
            <w:tcW w:w="5588" w:type="dxa"/>
            <w:shd w:val="clear" w:color="auto" w:fill="FFFFFF" w:themeFill="background1"/>
          </w:tcPr>
          <w:p w:rsidR="00D55AB6" w:rsidRPr="00C243E6" w:rsidRDefault="00F74400" w:rsidP="002B2CDB">
            <w:pPr>
              <w:pStyle w:val="BodyText"/>
              <w:spacing w:after="0" w:line="360" w:lineRule="auto"/>
              <w:ind w:left="180" w:firstLine="720"/>
              <w:jc w:val="both"/>
              <w:rPr>
                <w:rFonts w:ascii="GHEA Grapalat" w:hAnsi="GHEA Grapalat"/>
                <w:noProof/>
                <w:color w:val="000000"/>
                <w:lang w:val="hy-AM"/>
              </w:rPr>
            </w:pPr>
            <w:r w:rsidRPr="00F74400">
              <w:rPr>
                <w:rFonts w:ascii="GHEA Grapalat" w:hAnsi="GHEA Grapalat"/>
                <w:noProof/>
                <w:color w:val="000000"/>
                <w:lang w:val="hy-AM"/>
              </w:rPr>
              <w:lastRenderedPageBreak/>
              <w:tab/>
              <w:t>Վերոնշյալ Կոնվենցիան շրջանառվել է ՀՀ ՖՆ իրավասու ստորաբաժանումներում, և, ամփոփելով վերջիններիս ստացված դիրքորոշումները, ՀՀ արդարադատության նախարարությանն է ներկայացվում եզրակացություն՝ համաձայն որի՝ Հայաստանի Հանրապետության համար ֆինանսական պարտավորություններ նախատեսող դրույթներ, այդ թվում՝ ծախսերի ավելացման և եկամուտների նվազեցման հանգեցնող դրույթներ առկա չեն:</w:t>
            </w:r>
          </w:p>
        </w:tc>
        <w:tc>
          <w:tcPr>
            <w:tcW w:w="4941" w:type="dxa"/>
            <w:gridSpan w:val="3"/>
            <w:shd w:val="clear" w:color="auto" w:fill="FFFFFF" w:themeFill="background1"/>
          </w:tcPr>
          <w:p w:rsidR="00D55AB6" w:rsidRPr="00C243E6" w:rsidRDefault="00D55AB6" w:rsidP="005E6014">
            <w:pPr>
              <w:spacing w:line="360" w:lineRule="auto"/>
              <w:jc w:val="center"/>
              <w:rPr>
                <w:rFonts w:ascii="GHEA Grapalat" w:hAnsi="GHEA Grapalat" w:cs="Times New Roman"/>
                <w:b/>
                <w:noProof/>
                <w:sz w:val="24"/>
                <w:szCs w:val="24"/>
                <w:lang w:val="hy-AM"/>
              </w:rPr>
            </w:pPr>
            <w:r w:rsidRPr="00C243E6">
              <w:rPr>
                <w:rFonts w:ascii="GHEA Grapalat" w:hAnsi="GHEA Grapalat" w:cs="Times New Roman"/>
                <w:b/>
                <w:noProof/>
                <w:sz w:val="24"/>
                <w:szCs w:val="24"/>
                <w:lang w:val="hy-AM"/>
              </w:rPr>
              <w:t>Ընդունվել է</w:t>
            </w:r>
          </w:p>
          <w:p w:rsidR="00D55AB6" w:rsidRPr="00C243E6" w:rsidRDefault="00D55AB6" w:rsidP="005E6014">
            <w:pPr>
              <w:spacing w:line="360" w:lineRule="auto"/>
              <w:jc w:val="both"/>
              <w:rPr>
                <w:rFonts w:ascii="GHEA Grapalat" w:hAnsi="GHEA Grapalat" w:cs="Times New Roman"/>
                <w:noProof/>
                <w:sz w:val="24"/>
                <w:szCs w:val="24"/>
                <w:lang w:val="hy-AM"/>
              </w:rPr>
            </w:pPr>
          </w:p>
        </w:tc>
      </w:tr>
    </w:tbl>
    <w:p w:rsidR="00470F74" w:rsidRPr="00C243E6" w:rsidRDefault="00470F74" w:rsidP="00012393">
      <w:pPr>
        <w:spacing w:line="360" w:lineRule="auto"/>
        <w:rPr>
          <w:rFonts w:ascii="GHEA Grapalat" w:hAnsi="GHEA Grapalat" w:cs="Times New Roman"/>
          <w:noProof/>
          <w:sz w:val="20"/>
          <w:szCs w:val="20"/>
          <w:lang w:val="hy-AM"/>
        </w:rPr>
      </w:pPr>
    </w:p>
    <w:sectPr w:rsidR="00470F74" w:rsidRPr="00C243E6" w:rsidSect="00B77AE4">
      <w:pgSz w:w="12240" w:h="15840"/>
      <w:pgMar w:top="851"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9BE" w:rsidRDefault="00FE19BE" w:rsidP="00B77AE4">
      <w:pPr>
        <w:spacing w:after="0" w:line="240" w:lineRule="auto"/>
      </w:pPr>
      <w:r>
        <w:separator/>
      </w:r>
    </w:p>
  </w:endnote>
  <w:endnote w:type="continuationSeparator" w:id="0">
    <w:p w:rsidR="00FE19BE" w:rsidRDefault="00FE19BE" w:rsidP="00B77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9BE" w:rsidRDefault="00FE19BE" w:rsidP="00B77AE4">
      <w:pPr>
        <w:spacing w:after="0" w:line="240" w:lineRule="auto"/>
      </w:pPr>
      <w:r>
        <w:separator/>
      </w:r>
    </w:p>
  </w:footnote>
  <w:footnote w:type="continuationSeparator" w:id="0">
    <w:p w:rsidR="00FE19BE" w:rsidRDefault="00FE19BE" w:rsidP="00B77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A5825"/>
    <w:multiLevelType w:val="hybridMultilevel"/>
    <w:tmpl w:val="A412E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92002"/>
    <w:multiLevelType w:val="hybridMultilevel"/>
    <w:tmpl w:val="348A0FE8"/>
    <w:lvl w:ilvl="0" w:tplc="82E06084">
      <w:start w:val="1"/>
      <w:numFmt w:val="decimal"/>
      <w:lvlText w:val="%1."/>
      <w:lvlJc w:val="left"/>
      <w:pPr>
        <w:ind w:left="405" w:hanging="360"/>
      </w:pPr>
      <w:rPr>
        <w:rFonts w:cs="Sylfaen" w:hint="default"/>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362F5CB7"/>
    <w:multiLevelType w:val="hybridMultilevel"/>
    <w:tmpl w:val="FFDA00BE"/>
    <w:lvl w:ilvl="0" w:tplc="0CA678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0128F4"/>
    <w:multiLevelType w:val="hybridMultilevel"/>
    <w:tmpl w:val="B62C625E"/>
    <w:lvl w:ilvl="0" w:tplc="5E623F2E">
      <w:start w:val="1"/>
      <w:numFmt w:val="decimal"/>
      <w:lvlText w:val="%1."/>
      <w:lvlJc w:val="left"/>
      <w:pPr>
        <w:ind w:left="921" w:hanging="360"/>
      </w:pPr>
      <w:rPr>
        <w:rFonts w:eastAsia="Times New Roman" w:cstheme="minorBidi"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E4"/>
    <w:rsid w:val="00012393"/>
    <w:rsid w:val="00092D3F"/>
    <w:rsid w:val="000A6BA0"/>
    <w:rsid w:val="000C03CA"/>
    <w:rsid w:val="000D25EB"/>
    <w:rsid w:val="00152BC6"/>
    <w:rsid w:val="00153C3E"/>
    <w:rsid w:val="00164444"/>
    <w:rsid w:val="001A6DA9"/>
    <w:rsid w:val="001D6741"/>
    <w:rsid w:val="00283431"/>
    <w:rsid w:val="002A0388"/>
    <w:rsid w:val="002B2CDB"/>
    <w:rsid w:val="002D0D6D"/>
    <w:rsid w:val="002D2A21"/>
    <w:rsid w:val="003318F5"/>
    <w:rsid w:val="003D14F4"/>
    <w:rsid w:val="004235C0"/>
    <w:rsid w:val="00423974"/>
    <w:rsid w:val="00425DF2"/>
    <w:rsid w:val="00470F74"/>
    <w:rsid w:val="004D07B6"/>
    <w:rsid w:val="004E2950"/>
    <w:rsid w:val="00527AC7"/>
    <w:rsid w:val="005375E8"/>
    <w:rsid w:val="0055254F"/>
    <w:rsid w:val="005B1BC3"/>
    <w:rsid w:val="00633A78"/>
    <w:rsid w:val="006B30E2"/>
    <w:rsid w:val="006C73B7"/>
    <w:rsid w:val="006D62BF"/>
    <w:rsid w:val="00724D94"/>
    <w:rsid w:val="00747720"/>
    <w:rsid w:val="0079328E"/>
    <w:rsid w:val="007E03AE"/>
    <w:rsid w:val="00804E1B"/>
    <w:rsid w:val="008431D2"/>
    <w:rsid w:val="00853FCC"/>
    <w:rsid w:val="00856D20"/>
    <w:rsid w:val="00863401"/>
    <w:rsid w:val="008F0907"/>
    <w:rsid w:val="00903F27"/>
    <w:rsid w:val="00961F43"/>
    <w:rsid w:val="009B471D"/>
    <w:rsid w:val="009D5155"/>
    <w:rsid w:val="00A47BBC"/>
    <w:rsid w:val="00B27995"/>
    <w:rsid w:val="00B50A0D"/>
    <w:rsid w:val="00B77AE4"/>
    <w:rsid w:val="00BA6544"/>
    <w:rsid w:val="00C173EF"/>
    <w:rsid w:val="00C243E6"/>
    <w:rsid w:val="00C322FC"/>
    <w:rsid w:val="00C44217"/>
    <w:rsid w:val="00CC3204"/>
    <w:rsid w:val="00D03ADB"/>
    <w:rsid w:val="00D2721D"/>
    <w:rsid w:val="00D55AB6"/>
    <w:rsid w:val="00D732CF"/>
    <w:rsid w:val="00D823DA"/>
    <w:rsid w:val="00DA1A4D"/>
    <w:rsid w:val="00DB75FA"/>
    <w:rsid w:val="00DD5F9B"/>
    <w:rsid w:val="00DE19F3"/>
    <w:rsid w:val="00DE21AB"/>
    <w:rsid w:val="00DF07AA"/>
    <w:rsid w:val="00E43A82"/>
    <w:rsid w:val="00E51670"/>
    <w:rsid w:val="00E85A95"/>
    <w:rsid w:val="00F74400"/>
    <w:rsid w:val="00F813BE"/>
    <w:rsid w:val="00FA3DFC"/>
    <w:rsid w:val="00FA657E"/>
    <w:rsid w:val="00FB406B"/>
    <w:rsid w:val="00FC6E7A"/>
    <w:rsid w:val="00FD6A3C"/>
    <w:rsid w:val="00FD78AB"/>
    <w:rsid w:val="00FE19BE"/>
    <w:rsid w:val="00FF5FEB"/>
    <w:rsid w:val="00FF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517D"/>
  <w15:docId w15:val="{1BBC0F92-0456-456B-9ED0-11FD2161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
    <w:basedOn w:val="Normal"/>
    <w:link w:val="NormalWebChar"/>
    <w:uiPriority w:val="99"/>
    <w:qFormat/>
    <w:rsid w:val="004E2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
    <w:link w:val="NormalWeb"/>
    <w:uiPriority w:val="99"/>
    <w:locked/>
    <w:rsid w:val="004E2950"/>
    <w:rPr>
      <w:rFonts w:ascii="Times New Roman" w:eastAsia="Times New Roman" w:hAnsi="Times New Roman" w:cs="Times New Roman"/>
      <w:sz w:val="24"/>
      <w:szCs w:val="24"/>
    </w:rPr>
  </w:style>
  <w:style w:type="paragraph" w:styleId="ListParagraph">
    <w:name w:val="List Paragraph"/>
    <w:basedOn w:val="Normal"/>
    <w:uiPriority w:val="34"/>
    <w:qFormat/>
    <w:rsid w:val="00724D94"/>
    <w:pPr>
      <w:ind w:left="720"/>
      <w:contextualSpacing/>
    </w:pPr>
  </w:style>
  <w:style w:type="paragraph" w:styleId="Header">
    <w:name w:val="header"/>
    <w:basedOn w:val="Normal"/>
    <w:link w:val="HeaderChar"/>
    <w:uiPriority w:val="99"/>
    <w:semiHidden/>
    <w:unhideWhenUsed/>
    <w:rsid w:val="00FC6E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6E7A"/>
  </w:style>
  <w:style w:type="paragraph" w:styleId="Footer">
    <w:name w:val="footer"/>
    <w:basedOn w:val="Normal"/>
    <w:link w:val="FooterChar"/>
    <w:uiPriority w:val="99"/>
    <w:semiHidden/>
    <w:unhideWhenUsed/>
    <w:rsid w:val="00FC6E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6E7A"/>
  </w:style>
  <w:style w:type="character" w:customStyle="1" w:styleId="BodyTextChar">
    <w:name w:val="Body Text Char"/>
    <w:link w:val="BodyText"/>
    <w:uiPriority w:val="99"/>
    <w:locked/>
    <w:rsid w:val="00903F27"/>
    <w:rPr>
      <w:sz w:val="24"/>
      <w:szCs w:val="24"/>
    </w:rPr>
  </w:style>
  <w:style w:type="paragraph" w:styleId="BodyText">
    <w:name w:val="Body Text"/>
    <w:basedOn w:val="Normal"/>
    <w:link w:val="BodyTextChar"/>
    <w:uiPriority w:val="99"/>
    <w:rsid w:val="00903F27"/>
    <w:pPr>
      <w:spacing w:after="120" w:line="240" w:lineRule="auto"/>
    </w:pPr>
    <w:rPr>
      <w:sz w:val="24"/>
      <w:szCs w:val="24"/>
    </w:rPr>
  </w:style>
  <w:style w:type="character" w:customStyle="1" w:styleId="BodyTextChar1">
    <w:name w:val="Body Text Char1"/>
    <w:basedOn w:val="DefaultParagraphFont"/>
    <w:uiPriority w:val="99"/>
    <w:semiHidden/>
    <w:rsid w:val="00903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42704">
      <w:bodyDiv w:val="1"/>
      <w:marLeft w:val="0"/>
      <w:marRight w:val="0"/>
      <w:marTop w:val="0"/>
      <w:marBottom w:val="0"/>
      <w:divBdr>
        <w:top w:val="none" w:sz="0" w:space="0" w:color="auto"/>
        <w:left w:val="none" w:sz="0" w:space="0" w:color="auto"/>
        <w:bottom w:val="none" w:sz="0" w:space="0" w:color="auto"/>
        <w:right w:val="none" w:sz="0" w:space="0" w:color="auto"/>
      </w:divBdr>
    </w:div>
    <w:div w:id="1025861701">
      <w:bodyDiv w:val="1"/>
      <w:marLeft w:val="0"/>
      <w:marRight w:val="0"/>
      <w:marTop w:val="0"/>
      <w:marBottom w:val="0"/>
      <w:divBdr>
        <w:top w:val="none" w:sz="0" w:space="0" w:color="auto"/>
        <w:left w:val="none" w:sz="0" w:space="0" w:color="auto"/>
        <w:bottom w:val="none" w:sz="0" w:space="0" w:color="auto"/>
        <w:right w:val="none" w:sz="0" w:space="0" w:color="auto"/>
      </w:divBdr>
    </w:div>
    <w:div w:id="131846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1A08D-1DA9-44D7-B1ED-172DDBCE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450</Words>
  <Characters>2570</Characters>
  <Application>Microsoft Office Word</Application>
  <DocSecurity>0</DocSecurity>
  <Lines>21</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N-Abgaryan</dc:creator>
  <cp:keywords>https://mul2.gov.am/tasks/507956/oneclick/Ampopatert.docx?token=7af8731cd65dd953a57cbfad421454c7</cp:keywords>
  <cp:lastModifiedBy>Qristine Grigoryan</cp:lastModifiedBy>
  <cp:revision>4</cp:revision>
  <cp:lastPrinted>2021-07-20T06:15:00Z</cp:lastPrinted>
  <dcterms:created xsi:type="dcterms:W3CDTF">2021-09-27T11:17:00Z</dcterms:created>
  <dcterms:modified xsi:type="dcterms:W3CDTF">2021-11-16T13:36:00Z</dcterms:modified>
</cp:coreProperties>
</file>