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6C" w:rsidRPr="00ED7134" w:rsidRDefault="00246F6C" w:rsidP="0004780C">
      <w:pPr>
        <w:spacing w:after="0" w:line="360" w:lineRule="auto"/>
        <w:ind w:firstLine="252"/>
        <w:jc w:val="center"/>
        <w:rPr>
          <w:rFonts w:ascii="GHEA Grapalat" w:hAnsi="GHEA Grapalat" w:cs="Sylfaen"/>
          <w:b/>
          <w:sz w:val="24"/>
          <w:szCs w:val="24"/>
          <w:lang w:val="en-GB"/>
        </w:rPr>
      </w:pPr>
      <w:r w:rsidRPr="00ED7134">
        <w:rPr>
          <w:rFonts w:ascii="GHEA Grapalat" w:hAnsi="GHEA Grapalat" w:cs="Sylfaen"/>
          <w:b/>
          <w:sz w:val="24"/>
          <w:szCs w:val="24"/>
          <w:lang w:val="en-GB"/>
        </w:rPr>
        <w:t>Ա Մ Փ Ո Փ Ա Թ Ե Ր Թ</w:t>
      </w:r>
    </w:p>
    <w:p w:rsidR="0004780C" w:rsidRPr="00ED7134" w:rsidRDefault="0004780C" w:rsidP="0004780C">
      <w:pPr>
        <w:tabs>
          <w:tab w:val="left" w:pos="630"/>
          <w:tab w:val="left" w:pos="990"/>
          <w:tab w:val="left" w:pos="342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D7134">
        <w:rPr>
          <w:rFonts w:ascii="GHEA Grapalat" w:hAnsi="GHEA Grapalat" w:cs="Sylfaen"/>
          <w:b/>
          <w:sz w:val="24"/>
          <w:szCs w:val="24"/>
          <w:lang w:val="hy-AM"/>
        </w:rPr>
        <w:t>««ՀԱՅԱՍՏԱՆԻ ՀԱՆՐԱՊԵՏՈՒԹՅԱՆ 2021 ԹՎԱԿԱՆԻ ՊԵՏԱԿԱՆ ԲՅՈՒՋԵԻ ՄԱՍԻՆ» ՕՐԵՆՔՈՒՄ ՎԵՐԱԲԱՇԽՈՒՄ</w:t>
      </w:r>
      <w:r w:rsidR="00A81860" w:rsidRPr="00ED7134">
        <w:rPr>
          <w:rFonts w:ascii="GHEA Grapalat" w:hAnsi="GHEA Grapalat" w:cs="Sylfaen"/>
          <w:b/>
          <w:sz w:val="24"/>
          <w:szCs w:val="24"/>
          <w:lang w:val="hy-AM"/>
        </w:rPr>
        <w:t>,</w:t>
      </w:r>
      <w:r w:rsidRPr="00ED7134">
        <w:rPr>
          <w:rFonts w:ascii="GHEA Grapalat" w:hAnsi="GHEA Grapalat" w:cs="Sylfaen"/>
          <w:b/>
          <w:sz w:val="24"/>
          <w:szCs w:val="24"/>
          <w:lang w:val="hy-AM"/>
        </w:rPr>
        <w:t xml:space="preserve"> ՀԱՅԱՍՏԱՆԻ ՀԱՆՐԱՊԵՏՈՒԹՅԱՆ ԿԱՌԱՎԱՐՈՒԹՅԱՆ 2020 ԹՎԱԿԱՆԻ ԴԵԿՏԵՄԲԵՐԻ 30-Ի N 2215-Ն ՈՐՈՇՄԱՆ ՄԵՋ ՓՈՓՈԽՈՒԹՅՈՒՆՆԵՐ</w:t>
      </w:r>
      <w:r w:rsidR="00BF6C3E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</w:t>
      </w:r>
      <w:r w:rsidR="00A81860" w:rsidRPr="00ED713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D7134">
        <w:rPr>
          <w:rFonts w:ascii="GHEA Grapalat" w:hAnsi="GHEA Grapalat" w:cs="Sylfaen"/>
          <w:b/>
          <w:sz w:val="24"/>
          <w:szCs w:val="24"/>
          <w:lang w:val="hy-AM"/>
        </w:rPr>
        <w:t xml:space="preserve">ՄԱՍԻՆ» </w:t>
      </w:r>
    </w:p>
    <w:p w:rsidR="00246F6C" w:rsidRPr="00ED7134" w:rsidRDefault="00246F6C" w:rsidP="0004780C">
      <w:pPr>
        <w:tabs>
          <w:tab w:val="left" w:pos="630"/>
          <w:tab w:val="left" w:pos="990"/>
          <w:tab w:val="left" w:pos="342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D7134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ԿԱՌԱՎԱՐՈՒԹՅԱՆ ՈՐՈՇՄԱՆ ՆԱԽԱԳԾԻ </w:t>
      </w:r>
    </w:p>
    <w:p w:rsidR="00246F6C" w:rsidRPr="00ED7134" w:rsidRDefault="00246F6C" w:rsidP="002D3782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D713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 </w:t>
      </w:r>
      <w:r w:rsidRPr="00ED713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D713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151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4"/>
        <w:gridCol w:w="7796"/>
      </w:tblGrid>
      <w:tr w:rsidR="00ED7134" w:rsidRPr="00ED7134" w:rsidTr="004E4B17">
        <w:trPr>
          <w:tblCellSpacing w:w="0" w:type="dxa"/>
          <w:jc w:val="center"/>
        </w:trPr>
        <w:tc>
          <w:tcPr>
            <w:tcW w:w="73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D7134" w:rsidRPr="00ED7134" w:rsidRDefault="00ED7134" w:rsidP="00ED713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D713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hy-AM"/>
              </w:rPr>
              <w:t> </w:t>
            </w:r>
            <w:r w:rsidRPr="00ED713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1.</w:t>
            </w:r>
            <w:r w:rsidRPr="00ED71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ED7134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ED7134">
              <w:rPr>
                <w:rFonts w:ascii="GHEA Grapalat" w:hAnsi="GHEA Grapalat"/>
                <w:b/>
                <w:sz w:val="24"/>
                <w:szCs w:val="24"/>
              </w:rPr>
              <w:t>ֆինանսների</w:t>
            </w:r>
            <w:proofErr w:type="spellEnd"/>
            <w:r w:rsidRPr="00ED713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ED7134">
              <w:rPr>
                <w:rFonts w:ascii="GHEA Grapalat" w:hAnsi="GHEA Grapalat"/>
                <w:b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134" w:rsidRPr="00ED7134" w:rsidRDefault="003637B7" w:rsidP="003637B7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01</w:t>
            </w:r>
            <w:r w:rsidR="00ED7134" w:rsidRPr="00ED713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="00ED7134" w:rsidRPr="00ED7134">
              <w:rPr>
                <w:rFonts w:ascii="GHEA Grapalat" w:hAnsi="GHEA Grapalat"/>
                <w:sz w:val="24"/>
                <w:szCs w:val="24"/>
                <w:lang w:val="hy-AM"/>
              </w:rPr>
              <w:t>.2021</w:t>
            </w:r>
            <w:r w:rsidR="00ED7134" w:rsidRPr="00ED7134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</w:tr>
      <w:tr w:rsidR="00ED7134" w:rsidRPr="00E0242F" w:rsidTr="004E4B17">
        <w:trPr>
          <w:tblCellSpacing w:w="0" w:type="dxa"/>
          <w:jc w:val="center"/>
        </w:trPr>
        <w:tc>
          <w:tcPr>
            <w:tcW w:w="73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134" w:rsidRPr="00ED7134" w:rsidRDefault="00ED7134" w:rsidP="00ED713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134" w:rsidRPr="00E0242F" w:rsidRDefault="00ED7134" w:rsidP="00ED7134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0242F"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 w:rsidR="003637B7" w:rsidRPr="003637B7">
              <w:rPr>
                <w:rFonts w:ascii="GHEA Grapalat" w:hAnsi="GHEA Grapalat"/>
                <w:sz w:val="24"/>
                <w:szCs w:val="24"/>
                <w:lang w:val="hy-AM"/>
              </w:rPr>
              <w:t>01/8-3/17881-2021</w:t>
            </w:r>
          </w:p>
        </w:tc>
      </w:tr>
      <w:tr w:rsidR="00ED7134" w:rsidRPr="003637B7" w:rsidTr="00ED7134">
        <w:trPr>
          <w:tblCellSpacing w:w="0" w:type="dxa"/>
          <w:jc w:val="center"/>
        </w:trPr>
        <w:tc>
          <w:tcPr>
            <w:tcW w:w="7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37B7" w:rsidRDefault="003637B7" w:rsidP="003637B7">
            <w:pPr>
              <w:spacing w:after="0" w:line="360" w:lineRule="auto"/>
              <w:ind w:left="119" w:right="273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645F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 կատարումն ՀՀ վարչապետի 01.11</w:t>
            </w:r>
            <w:r w:rsidRPr="0028181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.2021թ. N </w:t>
            </w:r>
            <w:r w:rsidRPr="009645F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02/16.16/37675-2021 հանձնարարականի՝ ուսումնասիրելով</w:t>
            </w:r>
            <w:r w:rsidRPr="00DC00C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B61A2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271F9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2021 թվականի պետական բյուջեի մասին» Հայաստանի Հանրապետության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71F9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օրենքում վերաբաշխում, Հայաստանի Հանրապետության կառավարության 2020 թվականի դեկտեմբերի 30-ի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br/>
            </w:r>
            <w:r w:rsidRPr="00271F9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N 2215-Ն որոշման մեջ փոփոխություններ կատարելու մասին</w:t>
            </w:r>
            <w:r w:rsidRPr="00B61A2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» Հայաստանի Հանրապետության կառավարության որոշման նախագիծը</w:t>
            </w:r>
            <w:r w:rsidRPr="0028181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(այսուհետ՝ Նախագիծ) </w:t>
            </w:r>
            <w:r w:rsidRPr="0098680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` հայտնում ենք</w:t>
            </w:r>
            <w:r w:rsidRPr="00031CC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հետևյալը.</w:t>
            </w:r>
          </w:p>
          <w:p w:rsidR="003637B7" w:rsidRPr="00BD7887" w:rsidRDefault="003637B7" w:rsidP="003637B7">
            <w:pPr>
              <w:spacing w:after="0" w:line="360" w:lineRule="auto"/>
              <w:ind w:left="119" w:right="273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1. </w:t>
            </w:r>
            <w:r w:rsidRPr="00DC00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Նախագծով նախատե</w:t>
            </w:r>
            <w:r w:rsidRPr="007519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Pr="00DC00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վում է ՀՀ 2021թ. պետական բյուջեի «Առողջապահություն» բաժնի ծրագրերի միջև կատարել վերաբաշխումներ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` 1,</w:t>
            </w:r>
            <w:r w:rsidRPr="00271F9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720.0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մլն դրամի չափով</w:t>
            </w:r>
            <w:r w:rsidRPr="002D361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BD78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3637B7" w:rsidRDefault="003637B7" w:rsidP="003637B7">
            <w:pPr>
              <w:spacing w:after="0" w:line="360" w:lineRule="auto"/>
              <w:ind w:left="119" w:right="273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BD78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Այս կապակցությամբ </w:t>
            </w:r>
            <w:r w:rsidRPr="00E748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հայտնում ենք, որ</w:t>
            </w:r>
            <w:r w:rsidRPr="009D226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BD788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DC00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ախագծով 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բոլոր միջոցառումների գծով նվազեցումները հնարավոր չէ կատարել Նախագծում ներառված ծախսային</w:t>
            </w:r>
            <w:r w:rsidRPr="00A13A2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միջոցառումների՝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պայմանագրային</w:t>
            </w:r>
            <w:r w:rsidRPr="00A13A2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պարտավորություններով ծանրաբեռնվածության</w:t>
            </w:r>
            <w:r w:rsidRPr="00A13A2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A13A2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Ձեր կողմից գնումների անվանացանկում պակասեցումները չկատարելու պատճառով։</w:t>
            </w:r>
          </w:p>
          <w:p w:rsidR="00B632D1" w:rsidRDefault="00B632D1" w:rsidP="003637B7">
            <w:pPr>
              <w:spacing w:after="0" w:line="360" w:lineRule="auto"/>
              <w:ind w:left="119" w:right="273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B632D1" w:rsidRDefault="00B632D1" w:rsidP="003637B7">
            <w:pPr>
              <w:spacing w:after="0" w:line="360" w:lineRule="auto"/>
              <w:ind w:left="119" w:right="273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B632D1" w:rsidRDefault="00B632D1" w:rsidP="003637B7">
            <w:pPr>
              <w:spacing w:after="0" w:line="360" w:lineRule="auto"/>
              <w:ind w:left="119" w:right="273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B632D1" w:rsidRDefault="00B632D1" w:rsidP="003637B7">
            <w:pPr>
              <w:spacing w:after="0" w:line="360" w:lineRule="auto"/>
              <w:ind w:left="119" w:right="273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B632D1" w:rsidRDefault="00B632D1" w:rsidP="003637B7">
            <w:pPr>
              <w:spacing w:after="0" w:line="360" w:lineRule="auto"/>
              <w:ind w:left="119" w:right="273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3637B7" w:rsidRDefault="003637B7" w:rsidP="003637B7">
            <w:pPr>
              <w:spacing w:after="0" w:line="360" w:lineRule="auto"/>
              <w:ind w:left="119" w:right="273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2. </w:t>
            </w:r>
            <w:r w:rsidRPr="006D38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Նախագծով ներկայացված 1,720.0 մլն դրամ նվազեցվող գումարից 1,500.0 մլն դրամը նախատեսվում է նվազեցնել 1207 ծրագրի 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6D38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11003 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Զինծառայողներին, ինչպես նաև փրկարար ծառայողներին և նրանց ընտանիքի 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անդամներին բժշկական օգնության ծառայություններ» միջոցառման </w:t>
            </w:r>
            <w:r w:rsidRPr="006D38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գծով նախատեսված հատկացումներից: Նախագծին կից հիմնավորման մեջ նշվում է, որ </w:t>
            </w:r>
            <w:r w:rsidRPr="009645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առաջարկվող </w:t>
            </w:r>
            <w:r w:rsidRPr="006D38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ոփոխությունը պայմանավորված է այն հանգամանքով</w:t>
            </w:r>
            <w:r w:rsidRPr="007519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 զորացրված զինծառայողների</w:t>
            </w:r>
            <w:r w:rsidRPr="007519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այդ թվում</w:t>
            </w:r>
            <w:r w:rsidRPr="007519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վիրավոր զիրնծառայողների և նրանց ընտանիքի անդամների բուժօգնությունն արդեն իրականացվում է </w:t>
            </w:r>
            <w:r w:rsidRPr="006D38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1207 ծրագրի 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6D38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11001 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Սոցիալապես անապահով և հատուկ խմբերում ընդգրկվածներին բժշկական օգնության ծառայություններ» միջոցառման շրջանակում, ինչպես նաև զինծառայողների դիմելիության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նվազմամբ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6D38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Մինչդեռ Նախագծով ներկայացված վերաբաշխման արդյունքում 1207 ծրագրի 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6D38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11001 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Սոցիալապես անապահով և հատուկ խմբերում ընդգրկվածներին բժշկական օգնության ծառայություններ» միջոցառման</w:t>
            </w:r>
            <w:r w:rsidRPr="006D38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 նախատեսվում է ուղղել 888.0 մլն դրամ:</w:t>
            </w:r>
          </w:p>
          <w:p w:rsidR="003637B7" w:rsidRDefault="003637B7" w:rsidP="003637B7">
            <w:pPr>
              <w:spacing w:after="0" w:line="360" w:lineRule="auto"/>
              <w:ind w:left="119" w:right="273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A13A2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Բացի այդ,</w:t>
            </w:r>
            <w:r w:rsidRPr="006D38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հարկ ենք համարում նշել, որ </w:t>
            </w:r>
            <w:r w:rsidRPr="00FF75B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ՀՀ կառավարության 25.03.2021թ. N 416-Ն, 15.04.2021թ. N 597-Ն և 15.09.2021թ. N 1474-Ն որոշումներով ՀՀ կառավարության </w:t>
            </w:r>
            <w:r w:rsidRPr="00FF75B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 xml:space="preserve">պահուստային ֆոնդից </w:t>
            </w:r>
            <w:r w:rsidRPr="006D38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1207 ծրագրի 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6D38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11003 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Զինծառայողներին, ինչպես նաև փրկարար ծառայողներին և նրանց ընտանիքի անդամներին բժշկական օգնության ծառայություններ» միջոցառման</w:t>
            </w:r>
            <w:r w:rsidRPr="00FF75B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ը հատկացվել է լրացուցիչ 4,531.0 մլն դրամ՝ </w:t>
            </w:r>
            <w:r w:rsidRPr="00FF75B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44-օրյա պատերազմի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հետևանքով վիրավորում </w:t>
            </w:r>
            <w:r w:rsidRPr="00FF75B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ստացած զինծառայողների բժշկական օգնությունը, այդ թվում</w:t>
            </w:r>
            <w:r w:rsidRPr="007519B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՝</w:t>
            </w:r>
            <w:r w:rsidRPr="00FF75B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նաև վերականգնողական բուժումն ապահովելու նպատակով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, ուստի </w:t>
            </w:r>
            <w:r w:rsidRPr="00FF75B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առաջարկում ենք պարզաբանել արդո՞ք վերոհիշյալ միջոցառման գծով առաջարկվող նվազեցումները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ներկայացնելիս հաշվի են առն</w:t>
            </w:r>
            <w:r w:rsidRPr="00FF75B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վել զինծառայողների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վերականգնողական բուժման</w:t>
            </w:r>
            <w:r w:rsidRPr="00A13A2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ծախսերի հետ կապված ռիսկերը:</w:t>
            </w:r>
          </w:p>
          <w:p w:rsidR="003637B7" w:rsidRPr="00A13A20" w:rsidRDefault="003637B7" w:rsidP="003637B7">
            <w:pPr>
              <w:spacing w:after="0" w:line="360" w:lineRule="auto"/>
              <w:ind w:left="119" w:right="273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A13A2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3. Նախագծում առկա են նաև խմբագրական բնույթի վրիպակներ, որոնք ճշգրտման կարիք ունեն: Մասնավորապես</w:t>
            </w:r>
            <w:r w:rsidRPr="00C2068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՝</w:t>
            </w:r>
            <w:r w:rsidRPr="00A13A2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առաջարկում ենք.</w:t>
            </w:r>
          </w:p>
          <w:p w:rsidR="003637B7" w:rsidRPr="00A13A20" w:rsidRDefault="003637B7" w:rsidP="003637B7">
            <w:pPr>
              <w:spacing w:after="0" w:line="360" w:lineRule="auto"/>
              <w:ind w:left="119" w:right="273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A13A2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- Նախագծի NN 4 և 5 հավելվածներից հանել այն արդյունքային չափորոշիչները, որոնց մասով փոփոխություններ չեն նախատեսվում,</w:t>
            </w:r>
          </w:p>
          <w:p w:rsidR="003637B7" w:rsidRDefault="003637B7" w:rsidP="003637B7">
            <w:pPr>
              <w:spacing w:after="0" w:line="360" w:lineRule="auto"/>
              <w:ind w:left="119" w:right="273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A13A2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- Նախագծի NN 4 և 5 հավելվածներում 1202 ծրագրի «11001 Հեմոդիալիզի և պերիտոնիալ դիալիզի անցկացման ծառայություններ» միջոցառման արդյունքային չափորոշիչի ցուցանիշը գրել բաց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արձակ թվերով՝ առանց ստորակետի,</w:t>
            </w:r>
          </w:p>
          <w:p w:rsidR="003637B7" w:rsidRPr="0042673F" w:rsidRDefault="003637B7" w:rsidP="003637B7">
            <w:pPr>
              <w:spacing w:after="0" w:line="360" w:lineRule="auto"/>
              <w:ind w:left="119" w:right="273" w:firstLine="567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A13A2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- պարզաբանել, թե ինչու՞ է Նախագծի NN 4 և 5 հավելվածներում 1207 ծրագրի «11003 Զինծառայողներին, ինչպես նաև փրկարար ծառայողներին և նրանց ընտանիքի անդամներին բժշկական օգնության ծառայություններ</w:t>
            </w:r>
            <w:r w:rsidRPr="004267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» միջոցառման ոչ ֆինանս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ական /արդյունքային/ ցուցանիշներն</w:t>
            </w:r>
            <w:r w:rsidRPr="004267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ավելանում 4285 դեպքով, նշված միջոցառման գծով գումարի նվազեցման պարագայում,</w:t>
            </w:r>
          </w:p>
          <w:p w:rsidR="00ED7134" w:rsidRPr="00ED7134" w:rsidRDefault="003637B7" w:rsidP="003637B7">
            <w:pPr>
              <w:spacing w:after="0" w:line="360" w:lineRule="auto"/>
              <w:ind w:left="119" w:right="273" w:firstLine="567"/>
              <w:jc w:val="both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4267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- Նախագծին կից հիմնավորման մեջ նշվում է, որ «Սրտի անհետաձգելի վիրահատություններ» միջոցառման ֆինանսական միջոցներն առաջարկվ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ում է նվազեցնել 80,0 մլն դրամով, որի արդյունքում</w:t>
            </w:r>
            <w:r w:rsidRPr="004267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մինչև տարեվերջ կանխատեսվում է բյուջեով նախատեսված մանկաբարձական բժշկական օգնության ծառայություննե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րից օգտվելու դեպքերի նվազում </w:t>
            </w:r>
            <w:r w:rsidRPr="004267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109-ով: Մինչդեռ պարզ չէ, թե սրտի անհետաձգելի </w:t>
            </w:r>
            <w:r w:rsidRPr="004267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վիրահատությունների գծով գումարի նվազեցման պարագայում ինչու են նվազում մանկաբարձական բժշկական օգնության ծառայություններից օգտվելու դեպքերի թիվը: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37B7" w:rsidRDefault="003637B7" w:rsidP="00ED713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  <w:p w:rsidR="003637B7" w:rsidRDefault="003637B7" w:rsidP="00ED713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  <w:p w:rsidR="003637B7" w:rsidRDefault="003637B7" w:rsidP="00ED713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  <w:p w:rsidR="003637B7" w:rsidRDefault="003637B7" w:rsidP="00ED713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  <w:p w:rsidR="003637B7" w:rsidRDefault="003637B7" w:rsidP="00ED713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  <w:p w:rsidR="003637B7" w:rsidRDefault="003637B7" w:rsidP="00ED7134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  <w:p w:rsidR="00ED7134" w:rsidRPr="003637B7" w:rsidRDefault="00ED7134" w:rsidP="003637B7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3637B7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lastRenderedPageBreak/>
              <w:t xml:space="preserve">Ընդունվել է </w:t>
            </w:r>
          </w:p>
          <w:p w:rsidR="002C719D" w:rsidRDefault="002C719D" w:rsidP="006464BA">
            <w:pPr>
              <w:tabs>
                <w:tab w:val="left" w:pos="360"/>
                <w:tab w:val="left" w:pos="3600"/>
              </w:tabs>
              <w:spacing w:after="0" w:line="360" w:lineRule="auto"/>
              <w:ind w:left="126" w:right="268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556FD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Նշված պայմանագրերը կնքվում են տարվա սկզբին, սակայն ամփոփելով մատուցված ծառայությունների </w:t>
            </w:r>
            <w:r w:rsidR="00B632D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9 ամսվա </w:t>
            </w:r>
            <w:r w:rsidRPr="00556FD4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հաշվետվությունները, արձանագրվել են գերակատարումներ և թերակատարումներ: Այդ նպատակով առողջապահության նախարարության կողմից </w:t>
            </w:r>
            <w:r w:rsidR="00B632D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արդն իսկ </w:t>
            </w:r>
            <w:r w:rsidRPr="00556FD4">
              <w:rPr>
                <w:rFonts w:ascii="GHEA Grapalat" w:hAnsi="GHEA Grapalat" w:cs="Arial"/>
                <w:sz w:val="24"/>
                <w:szCs w:val="24"/>
                <w:lang w:val="hy-AM"/>
              </w:rPr>
              <w:t>սկսվել են այն պայմանագրային գումարների նվազեցումների աշխատանքները, որտեղ առկա են թերակատարումներ: Հաշվի առնելով, որ նշված աշխատանքները ժամանակատար են, հետևաբար սույն որոշման նախագիծը մշակվել է նշված աշխանքների կատարմանը զուգահեռ: Միաժամանակ, հավաստիացնում ենք, որ անհրաժեշտ նվազեցվող գումարները մինչև սույն որոշման ուժի մեջ մտնելը Armeps/ppcm համակարգում առկա կլինեն</w:t>
            </w:r>
            <w:r>
              <w:rPr>
                <w:rFonts w:ascii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B632D1" w:rsidRDefault="00B632D1" w:rsidP="00B632D1">
            <w:pPr>
              <w:spacing w:before="100" w:beforeAutospacing="1" w:after="100" w:afterAutospacing="1" w:line="360" w:lineRule="auto"/>
              <w:ind w:left="130" w:right="41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Ինչպես նշվել է հիմնավորման մեջ, 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զորացրված զինծառայողների</w:t>
            </w:r>
            <w:r w:rsidRPr="007519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այդ թվում</w:t>
            </w:r>
            <w:r w:rsidRPr="007519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վիրավոր զինծառայողների և նրանց ընտանիքի անդամների բուժօգնությունն արդեն իրականացվում է «</w:t>
            </w:r>
            <w:r w:rsidRPr="006D38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11001 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Սոցիալապես անապահով և հատուկ խմբերում ընդգրկվածներին 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բժշկական օգնության ծառայություններ» միջոցառման շրջանակում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որտեղ Նախագծով նախատեսվում է կատարել ավելացում: Ինչ վերաբերվում է </w:t>
            </w:r>
            <w:r w:rsidRPr="00FF75B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զինծառայողների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վերականգնողական բուժման</w:t>
            </w:r>
            <w:r w:rsidRPr="00A13A2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ծախսերի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փոխհատուցմանը, ապա Նախագծով «</w:t>
            </w:r>
            <w:r w:rsidRPr="001E4B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Զինծառայողներին, ինչպես նաև փրկարար ծառայողներին և նրանց ընտանիքի անդամներին բժշկական օգնության ծառայություններ» միջոցառման </w:t>
            </w:r>
            <w:r w:rsidRPr="006D380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գծով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առաջարկվող նվազեցումը չի հանգեցնում </w:t>
            </w:r>
            <w:r w:rsidRPr="00FF75B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զինծառայողների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վերականգնողական բուժման</w:t>
            </w:r>
            <w:r w:rsidRPr="00A13A2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ծախսերի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նվազեցման:</w:t>
            </w:r>
            <w:r w:rsidR="00F62C0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Բացի այդ մինչ տարեվերջ վերոնշյալ միջոցառման մասով ավելացում չի կանխատես</w:t>
            </w:r>
            <w:bookmarkStart w:id="0" w:name="_GoBack"/>
            <w:bookmarkEnd w:id="0"/>
            <w:r w:rsidR="00F62C0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վում և հատկացված միջոցները` սույն Նախագծով առաջարկված փոփոխություններից հետո կբավարարեն մինչև տարեվերջ ծառայության պատշաճ իրականացմանը: </w:t>
            </w:r>
          </w:p>
          <w:p w:rsidR="00B632D1" w:rsidRDefault="00B632D1" w:rsidP="00B632D1">
            <w:pPr>
              <w:spacing w:before="100" w:beforeAutospacing="1" w:after="100" w:afterAutospacing="1" w:line="360" w:lineRule="auto"/>
              <w:ind w:left="130" w:right="41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B632D1" w:rsidRDefault="00B632D1" w:rsidP="00B632D1">
            <w:pPr>
              <w:spacing w:before="100" w:beforeAutospacing="1" w:after="100" w:afterAutospacing="1" w:line="360" w:lineRule="auto"/>
              <w:ind w:left="130" w:right="41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B632D1" w:rsidRDefault="00B632D1" w:rsidP="00B632D1">
            <w:pPr>
              <w:spacing w:before="100" w:beforeAutospacing="1" w:after="100" w:afterAutospacing="1" w:line="360" w:lineRule="auto"/>
              <w:ind w:left="130" w:right="41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B632D1" w:rsidRDefault="00B632D1" w:rsidP="00B632D1">
            <w:pPr>
              <w:spacing w:before="100" w:beforeAutospacing="1" w:after="100" w:afterAutospacing="1" w:line="360" w:lineRule="auto"/>
              <w:ind w:left="130" w:right="41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B632D1" w:rsidRDefault="00B632D1" w:rsidP="00B632D1">
            <w:pPr>
              <w:spacing w:before="100" w:beforeAutospacing="1" w:after="100" w:afterAutospacing="1" w:line="360" w:lineRule="auto"/>
              <w:ind w:left="130" w:right="41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B632D1" w:rsidRDefault="00B632D1" w:rsidP="00B632D1">
            <w:pPr>
              <w:spacing w:before="100" w:beforeAutospacing="1" w:after="100" w:afterAutospacing="1" w:line="360" w:lineRule="auto"/>
              <w:ind w:left="130" w:right="41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B632D1" w:rsidRDefault="00B632D1" w:rsidP="00B632D1">
            <w:pPr>
              <w:spacing w:before="100" w:beforeAutospacing="1" w:after="100" w:afterAutospacing="1" w:line="360" w:lineRule="auto"/>
              <w:ind w:left="130" w:right="41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B632D1" w:rsidRDefault="00B632D1" w:rsidP="00B632D1">
            <w:pPr>
              <w:spacing w:before="100" w:beforeAutospacing="1" w:after="100" w:afterAutospacing="1" w:line="360" w:lineRule="auto"/>
              <w:ind w:left="130" w:right="41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B632D1" w:rsidRDefault="00B632D1" w:rsidP="00B632D1">
            <w:pPr>
              <w:spacing w:before="100" w:beforeAutospacing="1" w:after="100" w:afterAutospacing="1" w:line="360" w:lineRule="auto"/>
              <w:ind w:left="130" w:right="41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B632D1" w:rsidRDefault="00B632D1" w:rsidP="00B632D1">
            <w:pPr>
              <w:spacing w:before="100" w:beforeAutospacing="1" w:after="100" w:afterAutospacing="1" w:line="360" w:lineRule="auto"/>
              <w:ind w:left="130" w:right="41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B632D1" w:rsidRDefault="00B632D1" w:rsidP="00B632D1">
            <w:pPr>
              <w:spacing w:before="100" w:beforeAutospacing="1" w:after="100" w:afterAutospacing="1" w:line="360" w:lineRule="auto"/>
              <w:ind w:left="130" w:right="41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B632D1" w:rsidRDefault="00B632D1" w:rsidP="00B632D1">
            <w:pPr>
              <w:spacing w:before="100" w:beforeAutospacing="1" w:after="100" w:afterAutospacing="1" w:line="360" w:lineRule="auto"/>
              <w:ind w:left="130" w:right="41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B632D1" w:rsidRDefault="00B632D1" w:rsidP="00B632D1">
            <w:pPr>
              <w:spacing w:before="100" w:beforeAutospacing="1" w:after="100" w:afterAutospacing="1" w:line="360" w:lineRule="auto"/>
              <w:ind w:left="130" w:right="41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</w:p>
          <w:p w:rsidR="002C719D" w:rsidRDefault="00B632D1" w:rsidP="00B632D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right="410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B632D1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Ընդունվել է</w:t>
            </w:r>
          </w:p>
          <w:p w:rsidR="00A348A0" w:rsidRPr="00A348A0" w:rsidRDefault="00A348A0" w:rsidP="00A348A0">
            <w:pPr>
              <w:pStyle w:val="ListParagraph"/>
              <w:spacing w:before="100" w:beforeAutospacing="1" w:after="100" w:afterAutospacing="1" w:line="360" w:lineRule="auto"/>
              <w:ind w:left="1080" w:right="410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Կատարվել են համապատասխան փոփոխություններ:</w:t>
            </w:r>
          </w:p>
        </w:tc>
      </w:tr>
    </w:tbl>
    <w:p w:rsidR="004A0D8F" w:rsidRPr="00ED7134" w:rsidRDefault="004A0D8F" w:rsidP="004A0D8F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D7134">
        <w:rPr>
          <w:rFonts w:ascii="GHEA Grapalat" w:hAnsi="GHEA Grapalat"/>
          <w:b/>
          <w:sz w:val="24"/>
          <w:szCs w:val="24"/>
          <w:lang w:val="hy-AM"/>
        </w:rPr>
        <w:lastRenderedPageBreak/>
        <w:t>Առողջապահության նախարարություն</w:t>
      </w:r>
    </w:p>
    <w:sectPr w:rsidR="004A0D8F" w:rsidRPr="00ED7134" w:rsidSect="00246F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869"/>
    <w:multiLevelType w:val="hybridMultilevel"/>
    <w:tmpl w:val="F40E7AB6"/>
    <w:lvl w:ilvl="0" w:tplc="4FE68F8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EF4642D"/>
    <w:multiLevelType w:val="hybridMultilevel"/>
    <w:tmpl w:val="BE9E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2268"/>
    <w:multiLevelType w:val="hybridMultilevel"/>
    <w:tmpl w:val="6CE4CCA2"/>
    <w:lvl w:ilvl="0" w:tplc="F0188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277B"/>
    <w:multiLevelType w:val="hybridMultilevel"/>
    <w:tmpl w:val="6D664F02"/>
    <w:lvl w:ilvl="0" w:tplc="151425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226C5"/>
    <w:multiLevelType w:val="hybridMultilevel"/>
    <w:tmpl w:val="C182131E"/>
    <w:lvl w:ilvl="0" w:tplc="1A92BA54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6C"/>
    <w:rsid w:val="000134D6"/>
    <w:rsid w:val="0004780C"/>
    <w:rsid w:val="000F7F19"/>
    <w:rsid w:val="00116FFD"/>
    <w:rsid w:val="001654D3"/>
    <w:rsid w:val="00180882"/>
    <w:rsid w:val="001A055C"/>
    <w:rsid w:val="001B38BE"/>
    <w:rsid w:val="00246F6C"/>
    <w:rsid w:val="002C547F"/>
    <w:rsid w:val="002C719D"/>
    <w:rsid w:val="002D3782"/>
    <w:rsid w:val="003637B7"/>
    <w:rsid w:val="00393365"/>
    <w:rsid w:val="00497BDB"/>
    <w:rsid w:val="004A0D8F"/>
    <w:rsid w:val="00533A0C"/>
    <w:rsid w:val="0058042D"/>
    <w:rsid w:val="00597C9B"/>
    <w:rsid w:val="005F0A5C"/>
    <w:rsid w:val="006259FB"/>
    <w:rsid w:val="006464BA"/>
    <w:rsid w:val="00760100"/>
    <w:rsid w:val="0076074A"/>
    <w:rsid w:val="007E6519"/>
    <w:rsid w:val="00815A3D"/>
    <w:rsid w:val="0085711B"/>
    <w:rsid w:val="0095209F"/>
    <w:rsid w:val="009E2B7C"/>
    <w:rsid w:val="00A12C44"/>
    <w:rsid w:val="00A348A0"/>
    <w:rsid w:val="00A81860"/>
    <w:rsid w:val="00AB071E"/>
    <w:rsid w:val="00B632D1"/>
    <w:rsid w:val="00B85C9A"/>
    <w:rsid w:val="00B9670D"/>
    <w:rsid w:val="00BF6C3E"/>
    <w:rsid w:val="00CA448C"/>
    <w:rsid w:val="00D05CF2"/>
    <w:rsid w:val="00D06BFF"/>
    <w:rsid w:val="00D50D8F"/>
    <w:rsid w:val="00D73088"/>
    <w:rsid w:val="00E0242F"/>
    <w:rsid w:val="00E36169"/>
    <w:rsid w:val="00E44F22"/>
    <w:rsid w:val="00EA02D0"/>
    <w:rsid w:val="00EB47EB"/>
    <w:rsid w:val="00ED7134"/>
    <w:rsid w:val="00F21504"/>
    <w:rsid w:val="00F30F69"/>
    <w:rsid w:val="00F338AC"/>
    <w:rsid w:val="00F62C0B"/>
    <w:rsid w:val="00FA47D7"/>
    <w:rsid w:val="00FB111A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3CEEC2"/>
  <w15:chartTrackingRefBased/>
  <w15:docId w15:val="{7949BAD4-16B6-4501-95BF-B36FA10D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246F6C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85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E64B-540E-4E0E-B40B-6F867DF7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Sevilya Abrahamyan</dc:creator>
  <cp:keywords>https://mul2.gov.am/tasks/517428/oneclick/ampopatert.docx?token=852875821ea2faf79426f1eac45c3d11</cp:keywords>
  <dc:description/>
  <cp:lastModifiedBy>Hasmik Mnatsakanyan</cp:lastModifiedBy>
  <cp:revision>30</cp:revision>
  <dcterms:created xsi:type="dcterms:W3CDTF">2021-03-22T05:47:00Z</dcterms:created>
  <dcterms:modified xsi:type="dcterms:W3CDTF">2021-11-02T10:43:00Z</dcterms:modified>
</cp:coreProperties>
</file>