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71" w:rsidRPr="00851846" w:rsidRDefault="00126AA7" w:rsidP="0085184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1846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72020A" w:rsidRDefault="00115A94" w:rsidP="0072020A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b/>
          <w:sz w:val="24"/>
          <w:szCs w:val="24"/>
          <w:lang w:val="hy-AM"/>
        </w:rPr>
        <w:t>«</w:t>
      </w:r>
      <w:r w:rsidR="0072020A"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="0072020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2020A"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>ՀԱՆՐԱՊԵՏՈՒԹՅՈՒՆՈՒՄ</w:t>
      </w:r>
      <w:r w:rsidR="0072020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2020A"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ԴԱԲԱՂ ՀԻՎԱՆԴՈՒԹՅԱՆ ՇՃԱՀԵՏԱԶՈՏՈՒԹՅԱՆ ԾՐԱԳԻՐԸ, </w:t>
      </w:r>
    </w:p>
    <w:p w:rsidR="0072020A" w:rsidRDefault="0072020A" w:rsidP="0072020A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ՄԻՋՈՑԱՌՈՒՄՆԵՐԻ ԿԱՏԱՐՄԱՆ ԺԱՄԱՆԱԿԱՑՈՒՅՑԸ,  </w:t>
      </w:r>
      <w:r w:rsidRPr="00CC429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ՆՄՈՒՇՆԵՐԻ ՀԱՎԱՔԱԳՐՄԱՆ ՏՎՅԱԼՆԵՐԻ</w:t>
      </w:r>
      <w:r w:rsidRPr="00CC429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CC429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ԼԱԲՈՐԱՏՈՐ ՓՈՐՁԱՔՆՆՈՒԹՅԱՆ ԱՐԴՅՈՒՆՔԵՐԻ</w:t>
      </w:r>
      <w:r w:rsidRPr="00CC429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ՁԵՎԵՐԸ ՀԱՍՏԱՏԵԼՈՒ ՄԱՍԻՆ</w:t>
      </w:r>
      <w:r w:rsidR="00AF1FBF" w:rsidRPr="00851846">
        <w:rPr>
          <w:rFonts w:ascii="GHEA Grapalat" w:hAnsi="GHEA Grapalat" w:cs="Calibri"/>
          <w:b/>
          <w:sz w:val="24"/>
          <w:szCs w:val="24"/>
          <w:lang w:val="fr-FR"/>
        </w:rPr>
        <w:t>»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72020A" w:rsidRDefault="00391F5E" w:rsidP="0072020A">
      <w:pPr>
        <w:shd w:val="clear" w:color="auto" w:fill="FFFFFF"/>
        <w:spacing w:after="0" w:line="360" w:lineRule="auto"/>
        <w:jc w:val="center"/>
        <w:rPr>
          <w:rFonts w:ascii="GHEA Grapalat" w:hAnsi="GHEA Grapalat" w:cs="Courier New"/>
          <w:b/>
          <w:sz w:val="24"/>
          <w:szCs w:val="24"/>
          <w:lang w:val="hy-AM"/>
        </w:rPr>
      </w:pPr>
      <w:r w:rsidRPr="00851846">
        <w:rPr>
          <w:rFonts w:ascii="GHEA Grapalat" w:hAnsi="GHEA Grapalat" w:cs="Courier New"/>
          <w:b/>
          <w:sz w:val="24"/>
          <w:szCs w:val="24"/>
          <w:lang w:val="hy-AM"/>
        </w:rPr>
        <w:t>ՀԱՅԱՍՏԱՆԻ ՀԱՆՐԱՊԵՏՈՒԹՅԱՆ</w:t>
      </w:r>
      <w:r w:rsidRPr="00851846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851846">
        <w:rPr>
          <w:rFonts w:ascii="GHEA Grapalat" w:hAnsi="GHEA Grapalat" w:cs="Courier New"/>
          <w:b/>
          <w:sz w:val="24"/>
          <w:szCs w:val="24"/>
          <w:lang w:val="hy-AM"/>
        </w:rPr>
        <w:t xml:space="preserve">ԿԱՌԱՎԱՐՈՒԹՅԱՆ </w:t>
      </w:r>
    </w:p>
    <w:p w:rsidR="00F3739F" w:rsidRPr="0072020A" w:rsidRDefault="00391F5E" w:rsidP="0072020A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51846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ՈՐՈՇՄԱՆ</w:t>
      </w:r>
      <w:r w:rsidRPr="00851846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851846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AF1FBF" w:rsidRPr="00851846">
        <w:rPr>
          <w:rFonts w:ascii="GHEA Grapalat" w:hAnsi="GHEA Grapalat" w:cs="Calibri"/>
          <w:b/>
          <w:sz w:val="24"/>
          <w:szCs w:val="24"/>
          <w:lang w:val="fr-FR"/>
        </w:rPr>
        <w:t>ԸՆԴՈՒՆՄԱՆ</w:t>
      </w:r>
      <w:r w:rsidR="00003916" w:rsidRPr="0085184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F1FBF" w:rsidRPr="00851846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</w:p>
    <w:p w:rsidR="00AF1FBF" w:rsidRPr="00851846" w:rsidRDefault="00AF1FBF" w:rsidP="0085184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51846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D23FB3" w:rsidRDefault="00D23FB3" w:rsidP="00851846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9A699A" w:rsidRPr="00851846" w:rsidRDefault="009A699A" w:rsidP="00851846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C34950" w:rsidRPr="00851846" w:rsidRDefault="00B13BBC" w:rsidP="00DE68C9">
      <w:pPr>
        <w:pStyle w:val="ListParagraph"/>
        <w:spacing w:after="0" w:line="360" w:lineRule="auto"/>
        <w:ind w:left="0" w:firstLine="284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1. Ընթացիկ իրավիճակը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և իրավական</w:t>
      </w:r>
      <w:r w:rsidRPr="0085184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851846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</w:p>
    <w:p w:rsidR="00E13CC6" w:rsidRPr="00851846" w:rsidRDefault="00E13CC6" w:rsidP="0085184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51846">
        <w:rPr>
          <w:rFonts w:ascii="GHEA Grapalat" w:hAnsi="GHEA Grapalat"/>
          <w:sz w:val="24"/>
          <w:szCs w:val="24"/>
          <w:lang w:val="hy-AM"/>
        </w:rPr>
        <w:t xml:space="preserve">Դաբաղ հիվանդությունը հանդիսանում է </w:t>
      </w:r>
      <w:r w:rsidR="00466FBD">
        <w:rPr>
          <w:rFonts w:ascii="GHEA Grapalat" w:hAnsi="GHEA Grapalat"/>
          <w:sz w:val="24"/>
          <w:szCs w:val="24"/>
          <w:lang w:val="hy-AM"/>
        </w:rPr>
        <w:t>հատուկ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վտանգավոր</w:t>
      </w:r>
      <w:r w:rsidR="00466FBD">
        <w:rPr>
          <w:rFonts w:ascii="GHEA Grapalat" w:hAnsi="GHEA Grapalat"/>
          <w:sz w:val="24"/>
          <w:szCs w:val="24"/>
          <w:lang w:val="hy-AM"/>
        </w:rPr>
        <w:t xml:space="preserve">, կարանտինային և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FBD" w:rsidRPr="00851846">
        <w:rPr>
          <w:rFonts w:ascii="GHEA Grapalat" w:hAnsi="GHEA Grapalat"/>
          <w:sz w:val="24"/>
          <w:szCs w:val="24"/>
          <w:lang w:val="hy-AM"/>
        </w:rPr>
        <w:t xml:space="preserve">պարտադիր ծանուցման </w:t>
      </w:r>
      <w:r w:rsidR="00466FBD">
        <w:rPr>
          <w:rFonts w:ascii="GHEA Grapalat" w:hAnsi="GHEA Grapalat"/>
          <w:sz w:val="24"/>
          <w:szCs w:val="24"/>
          <w:lang w:val="hy-AM"/>
        </w:rPr>
        <w:t>ենթակա</w:t>
      </w:r>
      <w:r w:rsidR="00466FBD" w:rsidRPr="008518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1846">
        <w:rPr>
          <w:rFonts w:ascii="GHEA Grapalat" w:hAnsi="GHEA Grapalat"/>
          <w:sz w:val="24"/>
          <w:szCs w:val="24"/>
          <w:lang w:val="hy-AM"/>
        </w:rPr>
        <w:t>վարակիչ</w:t>
      </w:r>
      <w:r w:rsidR="00466FBD">
        <w:rPr>
          <w:rFonts w:ascii="GHEA Grapalat" w:hAnsi="GHEA Grapalat"/>
          <w:sz w:val="24"/>
          <w:szCs w:val="24"/>
          <w:lang w:val="hy-AM"/>
        </w:rPr>
        <w:t>՝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</w:t>
      </w:r>
      <w:r w:rsidR="00466FBD">
        <w:rPr>
          <w:rFonts w:ascii="GHEA Grapalat" w:hAnsi="GHEA Grapalat"/>
          <w:sz w:val="24"/>
          <w:szCs w:val="24"/>
          <w:lang w:val="hy-AM"/>
        </w:rPr>
        <w:t xml:space="preserve">խիստ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հպավարակային հիվանդություն  և  ընգրկված է ՀՀ կառավարության 2006 թվականի օգոստոսի 3-ի «Կենդանիների կարանտինային, հատուկ վտանգավոր և պարտադիր ծանուցման </w:t>
      </w:r>
      <w:r w:rsidR="00E83DBF">
        <w:rPr>
          <w:rFonts w:ascii="GHEA Grapalat" w:hAnsi="GHEA Grapalat"/>
          <w:sz w:val="24"/>
          <w:szCs w:val="24"/>
          <w:lang w:val="hy-AM"/>
        </w:rPr>
        <w:t>ենթակա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հիվանդությունների ցանկը հաստատելու մասին»  N 1081-Ն որոշման  հավելվածների  ցանկում: </w:t>
      </w:r>
      <w:r w:rsidR="00466FB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3CC6" w:rsidRPr="00851846" w:rsidRDefault="00E13CC6" w:rsidP="008518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51846">
        <w:rPr>
          <w:rFonts w:ascii="GHEA Grapalat" w:hAnsi="GHEA Grapalat"/>
          <w:sz w:val="24"/>
          <w:szCs w:val="24"/>
          <w:lang w:val="hy-AM"/>
        </w:rPr>
        <w:t xml:space="preserve">Դաբաղ հիվանդության </w:t>
      </w:r>
      <w:r w:rsidRPr="0085184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դեմ կանխարգելիչ (պատվաստումներ) միջոցառումներն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ունեն </w:t>
      </w:r>
      <w:r w:rsidRPr="0085184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ռազմավարական նշանակություն, իսկ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վիրուսը </w:t>
      </w:r>
      <w:r w:rsidRPr="0085184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համարվում է հատուկ վտանգավոր ախտածին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 Միաժամանակ տեղեկացնում եմ, որ 12.12.1997 թվականից </w:t>
      </w:r>
      <w:r w:rsidRPr="00851846">
        <w:rPr>
          <w:rFonts w:ascii="GHEA Grapalat" w:hAnsi="GHEA Grapalat"/>
          <w:sz w:val="24"/>
          <w:szCs w:val="24"/>
          <w:lang w:val="hy-AM"/>
        </w:rPr>
        <w:t>Կենդանիների առողջության համաշխարհային կազմակերպության (այսուհետ՝ ԿԱՀԿ)</w:t>
      </w:r>
      <w:r w:rsidRPr="00851846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լիիարավ անդամ-երկիր է</w:t>
      </w: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 և «Անասնաբուժության մասին» ՀՀ օրենքի 19-րդ հոդվածի համաձայն՝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Հանրապետությունում կենդանիների վարակիչ հիվանդությունները ենթակա են պարտադիր ծանուցման և գրանցման: Կենդանիների վարակիչ հիվանդությունների միջազգային ծանուցումը կատարվում է ԿԱՀԿ պաշտոնական կայք էջում՝ սահմանած ընթացակարգով:</w:t>
      </w:r>
    </w:p>
    <w:p w:rsidR="00E13CC6" w:rsidRPr="00851846" w:rsidRDefault="00E13CC6" w:rsidP="008518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1846">
        <w:rPr>
          <w:rFonts w:ascii="GHEA Grapalat" w:hAnsi="GHEA Grapalat" w:cs="Sylfaen"/>
          <w:bCs/>
          <w:sz w:val="24"/>
          <w:szCs w:val="24"/>
          <w:lang w:val="hy-AM"/>
        </w:rPr>
        <w:t>Հայտնում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եմ, որ հանրապետությունում պարտադիր ծանուցման ենթակա, հատուկ վտանգավոր և կարանտինային </w:t>
      </w:r>
      <w:r w:rsidRPr="00851846">
        <w:rPr>
          <w:rFonts w:ascii="GHEA Grapalat" w:hAnsi="GHEA Grapalat" w:cs="Sylfaen"/>
          <w:sz w:val="24"/>
          <w:szCs w:val="24"/>
          <w:lang w:val="hy-AM"/>
        </w:rPr>
        <w:t>վարակիչ հիվանդությունների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1846">
        <w:rPr>
          <w:rFonts w:ascii="GHEA Grapalat" w:hAnsi="GHEA Grapalat"/>
          <w:sz w:val="24"/>
          <w:szCs w:val="24"/>
          <w:lang w:val="hy-AM"/>
        </w:rPr>
        <w:lastRenderedPageBreak/>
        <w:t>արձանագրման դեպքում</w:t>
      </w: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«Անասնաբուժության մասին» ՀՀ օրենքի 19-րդ հոդվածի՝ 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>ԿԱՀԿ</w:t>
      </w: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 ծանուցման դեպքում կարգելափակվի հանրապետության արտահանման և ներկրման գործընթացը: Այսպես օրինակ՝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դաբաղը հանդիսանալով մշտական խնդիր տարածաշրջանի երկրների համար և չնայած վերջին տարիներին հանրապետությունում ի հաշիվ հակադաբաղային պատվաստումների առկա էր կայուն անասնահամաճարակային իրավիճակ, սակայն 2016 թվականին գրանցվել է հիվանդության բռնկման դեպք պայմանավորված գենտիկորեն նոր A տիպի AGVII դաբաղի վիրուսի ենթատիպով: 2016 թվականին 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ԿԱՀԿ պաշտոնական կայք էջում հրապարակվել է խոշոր եղջերավոր կենդանու 1 դեպք, որը տևական ժամանակ հանգեցրեց </w:t>
      </w:r>
      <w:r w:rsidRPr="00851846">
        <w:rPr>
          <w:rFonts w:ascii="GHEA Grapalat" w:hAnsi="GHEA Grapalat" w:cs="Sylfaen"/>
          <w:sz w:val="24"/>
          <w:szCs w:val="24"/>
          <w:lang w:val="hy-AM"/>
        </w:rPr>
        <w:t>հանրապետությունից կենդանական ծագման հումքի և մթերքի արտահանման գործընթացի արգելափակմանը /հղումը՝ «Росселхознадзор» կայք էջ/:</w:t>
      </w:r>
    </w:p>
    <w:p w:rsidR="00C34950" w:rsidRPr="00851846" w:rsidRDefault="00E13CC6" w:rsidP="00851846">
      <w:pPr>
        <w:spacing w:after="0" w:line="360" w:lineRule="auto"/>
        <w:ind w:firstLine="52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1846">
        <w:rPr>
          <w:rFonts w:ascii="GHEA Grapalat" w:hAnsi="GHEA Grapalat"/>
          <w:sz w:val="24"/>
          <w:szCs w:val="24"/>
          <w:lang w:val="hy-AM"/>
        </w:rPr>
        <w:t xml:space="preserve">Հարկ է նշել, որ դաբաղ հիվանդության </w:t>
      </w:r>
      <w:r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շճաբանական հետազոտությունն 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ունի </w:t>
      </w:r>
      <w:r w:rsidR="002A4FBB" w:rsidRPr="00851846">
        <w:rPr>
          <w:rFonts w:ascii="GHEA Grapalat" w:hAnsi="GHEA Grapalat"/>
          <w:sz w:val="24"/>
          <w:szCs w:val="24"/>
          <w:lang w:val="hy-AM"/>
        </w:rPr>
        <w:t>անասնահամաճարակային կայուն իրավիճակի ապահովման և գնահատման</w:t>
      </w:r>
      <w:r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նշանակություն</w:t>
      </w:r>
      <w:r w:rsidR="00003916"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ո</w:t>
      </w:r>
      <w:r w:rsidRPr="00851846">
        <w:rPr>
          <w:rFonts w:ascii="GHEA Grapalat" w:hAnsi="GHEA Grapalat"/>
          <w:sz w:val="24"/>
          <w:szCs w:val="24"/>
          <w:lang w:val="hy-AM"/>
        </w:rPr>
        <w:t xml:space="preserve">ւստի </w:t>
      </w: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դաբաղ հիվանդության նկատմամբ պատվաստումների արդյունավետության և պատվաստված կենդանիների մոտ ձևավորված վարակամերժության լարվածության բացահայտման, </w:t>
      </w:r>
      <w:r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շճաբանական հետազոտությունների վրա հիմնված հիվանդության հնարավոր ներթափանցման ռիսկերի գնահատման, </w:t>
      </w: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t>ինչպես նաև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թիրախային համայնքներում 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դաբաղ հիվանդության վիրուսի շրջանառությունը </w:t>
      </w:r>
      <w:r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հայտնաբերելու կամ բացառելու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, գիտականորեն հիմնավորելու </w:t>
      </w: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նպատակով, </w:t>
      </w:r>
      <w:r w:rsidRPr="00851846">
        <w:rPr>
          <w:rFonts w:ascii="GHEA Grapalat" w:hAnsi="GHEA Grapalat"/>
          <w:sz w:val="24"/>
          <w:szCs w:val="24"/>
          <w:lang w:val="hy-AM"/>
        </w:rPr>
        <w:t>անհրաժեշտություն է առաջացել հանարպետությունում իրականացնել</w:t>
      </w:r>
      <w:r w:rsidR="005C3C2D" w:rsidRPr="00851846">
        <w:rPr>
          <w:rFonts w:ascii="GHEA Grapalat" w:hAnsi="GHEA Grapalat"/>
          <w:sz w:val="24"/>
          <w:szCs w:val="24"/>
          <w:lang w:val="hy-AM"/>
        </w:rPr>
        <w:t xml:space="preserve"> մշտական և շարունակակական պետական շճաբանական հետազոտության </w:t>
      </w:r>
      <w:r w:rsidR="005C3C2D"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5C3C2D" w:rsidRPr="00851846">
        <w:rPr>
          <w:rFonts w:ascii="GHEA Grapalat" w:hAnsi="GHEA Grapalat" w:cs="Sylfaen"/>
          <w:sz w:val="24"/>
          <w:szCs w:val="24"/>
          <w:lang w:val="hy-AM"/>
        </w:rPr>
        <w:t>Դաբաղ հիվանդության շճահետազոտություն</w:t>
      </w:r>
      <w:r w:rsidR="008859E8" w:rsidRPr="008859E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8859E8" w:rsidRPr="008859E8">
        <w:rPr>
          <w:rFonts w:ascii="GHEA Grapalat" w:hAnsi="GHEA Grapalat"/>
          <w:color w:val="000000"/>
          <w:sz w:val="24"/>
          <w:szCs w:val="24"/>
          <w:lang w:val="hy-AM"/>
        </w:rPr>
        <w:t>ռազմավարական ծրագիրը</w:t>
      </w:r>
      <w:r w:rsidR="002A4FBB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859E8" w:rsidRPr="008859E8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միջոցառումների կատարման ժամանակացույցը</w:t>
      </w:r>
      <w:r w:rsidR="002A4FBB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859E8" w:rsidRPr="008859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A4FBB" w:rsidRPr="002A4F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նմուշների հավաքագրման տվյալների </w:t>
      </w:r>
      <w:r w:rsidR="002A4FB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2A4FBB" w:rsidRPr="002A4F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A4FBB" w:rsidRPr="002A4FBB">
        <w:rPr>
          <w:rFonts w:ascii="GHEA Grapalat" w:hAnsi="GHEA Grapalat" w:cs="Arial"/>
          <w:color w:val="000000"/>
          <w:sz w:val="24"/>
          <w:szCs w:val="24"/>
          <w:lang w:val="hy-AM"/>
        </w:rPr>
        <w:t>լաբորատոր փորձաքննության արդյունքերի</w:t>
      </w:r>
      <w:r w:rsidR="002A4FBB" w:rsidRPr="002A4FBB">
        <w:rPr>
          <w:rFonts w:ascii="GHEA Grapalat" w:hAnsi="GHEA Grapalat"/>
          <w:color w:val="000000"/>
          <w:sz w:val="24"/>
          <w:szCs w:val="24"/>
          <w:lang w:val="hy-AM"/>
        </w:rPr>
        <w:t xml:space="preserve"> ձ</w:t>
      </w:r>
      <w:r w:rsidR="002A4FB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2A4FBB" w:rsidRPr="002A4FBB">
        <w:rPr>
          <w:rFonts w:ascii="GHEA Grapalat" w:hAnsi="GHEA Grapalat"/>
          <w:color w:val="000000"/>
          <w:sz w:val="24"/>
          <w:szCs w:val="24"/>
          <w:lang w:val="hy-AM"/>
        </w:rPr>
        <w:t>երը</w:t>
      </w:r>
      <w:r w:rsidR="002A4FBB" w:rsidRPr="008859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59E8" w:rsidRPr="008859E8">
        <w:rPr>
          <w:rFonts w:ascii="GHEA Grapalat" w:hAnsi="GHEA Grapalat"/>
          <w:color w:val="000000"/>
          <w:sz w:val="24"/>
          <w:szCs w:val="24"/>
          <w:lang w:val="hy-AM"/>
        </w:rPr>
        <w:t>հաստատելու մասին</w:t>
      </w:r>
      <w:r w:rsidR="002A4FB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5C3C2D" w:rsidRPr="0085184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ծրագիրը (այսուհետ՝ Ծրագիր)</w:t>
      </w:r>
      <w:r w:rsidR="005C3C2D" w:rsidRPr="00851846">
        <w:rPr>
          <w:rFonts w:ascii="GHEA Grapalat" w:hAnsi="GHEA Grapalat"/>
          <w:sz w:val="24"/>
          <w:szCs w:val="24"/>
          <w:lang w:val="hy-AM"/>
        </w:rPr>
        <w:t>՝ անասնահամաճարակային կայուն իրավիճակի ապահովման և գնահատման նպատակով:</w:t>
      </w:r>
    </w:p>
    <w:p w:rsidR="003C51AC" w:rsidRPr="00851846" w:rsidRDefault="003C51AC" w:rsidP="00851846">
      <w:pPr>
        <w:spacing w:after="0" w:line="360" w:lineRule="auto"/>
        <w:ind w:firstLine="522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4950" w:rsidRPr="00851846" w:rsidRDefault="00CB26C5" w:rsidP="00DE68C9">
      <w:pPr>
        <w:spacing w:after="0" w:line="360" w:lineRule="auto"/>
        <w:ind w:firstLine="284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5184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2. </w:t>
      </w:r>
      <w:r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 և խնդիրները</w:t>
      </w:r>
    </w:p>
    <w:p w:rsidR="00F10F85" w:rsidRPr="00851846" w:rsidRDefault="00521328" w:rsidP="0085184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2018 թվականի փետրվարի 15-ի ՀՀ կառավարության N 6 արձանագրային որոշումներով հաստատված </w:t>
      </w:r>
      <w:r w:rsidR="00155839" w:rsidRPr="00851846">
        <w:rPr>
          <w:rFonts w:ascii="GHEA Grapalat" w:hAnsi="GHEA Grapalat" w:cs="Sylfaen"/>
          <w:sz w:val="24"/>
          <w:szCs w:val="24"/>
          <w:lang w:val="hy-AM"/>
        </w:rPr>
        <w:t>1026 ծրագրի 11001. Սննդամթերքի լաբորատոր փորձաքննություններ, 11002. Բուսական ծագման մթերքներում պեստիցիդների, նիտրատների, ծանր մետաղների և գենետիկորեն ձևափոխված օրգանիզմների մնացորդների մոնիթորինգ, 11003. Կենդանական ծագման մթերքում մնացորդային նյութերի հսկողության մոնիթորինգ, 1059 ծրագրի 11004. Բուսասանիտարական համակարգի բարելավում և մասնագիտական գիտելիքների բարձրացմանն աջակցություն և 1116 ծրագրի 11004. Դաբաղ հիվանդության շճահետազոտություն</w:t>
      </w:r>
      <w:r w:rsidR="00845127" w:rsidRPr="00851846">
        <w:rPr>
          <w:rFonts w:ascii="GHEA Grapalat" w:hAnsi="GHEA Grapalat" w:cs="Sylfaen"/>
          <w:sz w:val="24"/>
          <w:szCs w:val="24"/>
          <w:lang w:val="hy-AM"/>
        </w:rPr>
        <w:t xml:space="preserve"> միջոցառումներ</w:t>
      </w:r>
      <w:r w:rsidR="00C002EE" w:rsidRPr="00851846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C002EE" w:rsidRPr="008518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0F85" w:rsidRPr="00851846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ՀՀ </w:t>
      </w:r>
      <w:r w:rsidR="00F10F85" w:rsidRPr="008518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ֆինանսների նախարարության գրությամբ </w:t>
      </w:r>
      <w:r w:rsidR="00350CF6" w:rsidRPr="008518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բարձրացաված հարցի կարգավորմամբ պայմանավորված անհրաժեշտություն է առաջացել մշակել սույն նախագիծը։ </w:t>
      </w:r>
    </w:p>
    <w:p w:rsidR="00C246D6" w:rsidRDefault="00286E3D" w:rsidP="001B2D0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2D09">
        <w:rPr>
          <w:rFonts w:ascii="GHEA Grapalat" w:hAnsi="GHEA Grapalat" w:cs="GHEA Grapalat"/>
          <w:sz w:val="24"/>
          <w:szCs w:val="24"/>
          <w:lang w:val="hy-AM"/>
        </w:rPr>
        <w:t xml:space="preserve">Միաժամանակ </w:t>
      </w:r>
      <w:r w:rsidR="00795232" w:rsidRPr="001B2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նախագծի </w:t>
      </w:r>
      <w:r w:rsidR="001B2D09" w:rsidRPr="001B2D09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բխում է </w:t>
      </w:r>
      <w:r w:rsidR="001B2D09">
        <w:rPr>
          <w:rFonts w:ascii="GHEA Grapalat" w:hAnsi="GHEA Grapalat"/>
          <w:sz w:val="24"/>
          <w:szCs w:val="24"/>
          <w:lang w:val="hy-AM"/>
        </w:rPr>
        <w:t xml:space="preserve">նաև այն հանգամանքից, որ </w:t>
      </w:r>
      <w:r w:rsidR="001B2D09" w:rsidRPr="00F70815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</w:t>
      </w:r>
      <w:r w:rsidR="001B2D0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անրապետությունը 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ՄԱԿ-ի պարենի և գյուղատնտեսության կազմակերպությանը կից Եվրոպական միության դաբաղի վերահսկողության ծրագրի անդամ է և գտնվում է դաբաղ հիվանդության վերահսկողությունը Հայաստանում ճանապարհային քարտեզի 2-րդ փուլում, և 3-րդ փուլ տեղափոխվելու համար անհրաժեշտ պայման է հանդիսանում ամենամյա մոնիտորինգային աշխատանքների </w:t>
      </w:r>
      <w:r w:rsidR="001B2D09">
        <w:rPr>
          <w:rFonts w:ascii="GHEA Grapalat" w:hAnsi="GHEA Grapalat" w:cs="Sylfaen"/>
          <w:sz w:val="24"/>
          <w:szCs w:val="24"/>
          <w:lang w:val="hy-AM"/>
        </w:rPr>
        <w:t>իրականացումը, ինչպես նաև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ԱՊՀ մասնակից պետությունների` դաբաղի դեմ պայքարի և կանխարգելման </w:t>
      </w:r>
      <w:r w:rsidR="001B2D09" w:rsidRPr="001B2D09">
        <w:rPr>
          <w:rFonts w:cs="Calibri"/>
          <w:sz w:val="24"/>
          <w:szCs w:val="24"/>
          <w:lang w:val="hy-AM"/>
        </w:rPr>
        <w:t> 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համատեղ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միջոցառումների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>
        <w:rPr>
          <w:rFonts w:ascii="GHEA Grapalat" w:hAnsi="GHEA Grapalat" w:cs="GHEA Grapalat"/>
          <w:sz w:val="24"/>
          <w:szCs w:val="24"/>
          <w:lang w:val="hy-AM"/>
        </w:rPr>
        <w:t xml:space="preserve">որոշման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շրջանակներում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պարտադիր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պայման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է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հանդիսանում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դաբաղի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B2D09" w:rsidRPr="001B2D09">
        <w:rPr>
          <w:rFonts w:ascii="GHEA Grapalat" w:hAnsi="GHEA Grapalat" w:cs="GHEA Grapalat"/>
          <w:sz w:val="24"/>
          <w:szCs w:val="24"/>
          <w:lang w:val="hy-AM"/>
        </w:rPr>
        <w:t>դեմ</w:t>
      </w:r>
      <w:r w:rsidR="001B2D09" w:rsidRPr="001B2D09">
        <w:rPr>
          <w:rFonts w:ascii="GHEA Grapalat" w:hAnsi="GHEA Grapalat" w:cs="Sylfaen"/>
          <w:sz w:val="24"/>
          <w:szCs w:val="24"/>
          <w:lang w:val="hy-AM"/>
        </w:rPr>
        <w:t xml:space="preserve"> պայքարի և կանխարգելման շճահետազոտության մոնիտորինգային ծրագրի առկայությունը:</w:t>
      </w:r>
    </w:p>
    <w:p w:rsidR="001B2D09" w:rsidRPr="001B2D09" w:rsidRDefault="001B2D09" w:rsidP="001B2D09">
      <w:pPr>
        <w:spacing w:after="0" w:line="360" w:lineRule="auto"/>
        <w:ind w:firstLine="567"/>
        <w:jc w:val="both"/>
        <w:rPr>
          <w:sz w:val="24"/>
          <w:szCs w:val="24"/>
          <w:lang w:val="af-ZA"/>
        </w:rPr>
      </w:pPr>
    </w:p>
    <w:p w:rsidR="00C34950" w:rsidRPr="00851846" w:rsidRDefault="00C34950" w:rsidP="00DE68C9">
      <w:pPr>
        <w:spacing w:after="0" w:line="360" w:lineRule="auto"/>
        <w:ind w:firstLine="284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85184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3. Կարգավորման նպատակը և բնույթը</w:t>
      </w:r>
    </w:p>
    <w:p w:rsidR="00F42593" w:rsidRPr="00113E3D" w:rsidRDefault="00F42593" w:rsidP="0085184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Ծրագրի </w:t>
      </w:r>
      <w:r w:rsidRPr="00851846">
        <w:rPr>
          <w:rFonts w:ascii="GHEA Grapalat" w:hAnsi="GHEA Grapalat"/>
          <w:sz w:val="24"/>
          <w:szCs w:val="24"/>
          <w:lang w:val="hy-AM"/>
        </w:rPr>
        <w:t>շարունակակական</w:t>
      </w: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իրականացման նպատակն է բացահայտել  հանրապետությունում դաբաղ հիվանդության դեմ պատվաստումների արդյունավետությունը և պաստվաստված անասնագլխաքանակի մոտ ձևավորված իմունիտետի՝ վարակամերժության </w:t>
      </w:r>
      <w:r w:rsidR="007F76B9">
        <w:rPr>
          <w:rFonts w:ascii="GHEA Grapalat" w:hAnsi="GHEA Grapalat" w:cs="Sylfaen"/>
          <w:color w:val="000000"/>
          <w:sz w:val="24"/>
          <w:szCs w:val="24"/>
          <w:lang w:val="hy-AM"/>
        </w:rPr>
        <w:t>լարվածությունը</w:t>
      </w: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կենդանիներից վերցված արյան </w:t>
      </w:r>
      <w:r w:rsidRPr="00851846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 xml:space="preserve">նմուշներում շճաբանական հետազոտություններով 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կառուցվածքային սպիտակուցների և </w:t>
      </w:r>
      <w:r w:rsidR="00113E3D"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ոչ 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>կառուցվածքային սպիտակուցների</w:t>
      </w:r>
      <w:r w:rsidR="00113E3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հակամարմինների </w:t>
      </w:r>
      <w:r w:rsidR="00113E3D">
        <w:rPr>
          <w:rFonts w:ascii="GHEA Grapalat" w:hAnsi="GHEA Grapalat"/>
          <w:color w:val="000000"/>
          <w:sz w:val="24"/>
          <w:szCs w:val="24"/>
          <w:lang w:val="hy-AM"/>
        </w:rPr>
        <w:t>ուսումնասիրությու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13E3D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96AF3"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որը հնարավորություն կընձեռնի բացահայտել դաբաղ հիվանդության շրջանառությունը հանրապետության տարբեր ռիսկային գոտիներում՝ </w:t>
      </w:r>
      <w:r w:rsidRPr="008518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գնահատել հիվանդության տարածվածության և ներթափանցման ռիսկերը</w:t>
      </w:r>
      <w:r w:rsidR="00113E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</w:t>
      </w:r>
      <w:r w:rsidRPr="008518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կարևոր խթան կհանդիսանան կենդանական ծագման մթերքի և հումքի արտահանման գործընթացում՝ նպաստելով տնտեսական աճի ավելացմանը:</w:t>
      </w:r>
      <w:r w:rsidRPr="00851846"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113E3D" w:rsidRPr="00113E3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B20BFD" w:rsidRPr="00BE4293" w:rsidRDefault="00B20BFD" w:rsidP="00B20BFD">
      <w:pPr>
        <w:spacing w:after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անհրաժեշտություն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առաջանում՝</w:t>
      </w:r>
      <w:r w:rsidRPr="00BE4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բյուջեում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="00382CD5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էական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BE429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E4293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af-ZA"/>
        </w:rPr>
        <w:t>:</w:t>
      </w:r>
      <w:r w:rsidRPr="00BE429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  </w:t>
      </w:r>
    </w:p>
    <w:p w:rsidR="00B20BFD" w:rsidRPr="00851846" w:rsidRDefault="00B20BFD" w:rsidP="00851846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737CA" w:rsidRPr="00851846" w:rsidRDefault="00C34950" w:rsidP="00DE68C9">
      <w:pPr>
        <w:spacing w:after="0" w:line="360" w:lineRule="auto"/>
        <w:ind w:firstLine="284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51846">
        <w:rPr>
          <w:rFonts w:ascii="GHEA Grapalat" w:eastAsia="Times New Roman" w:hAnsi="GHEA Grapalat"/>
          <w:b/>
          <w:sz w:val="24"/>
          <w:szCs w:val="24"/>
          <w:lang w:val="hy-AM"/>
        </w:rPr>
        <w:t>4.</w:t>
      </w:r>
      <w:r w:rsidR="00E52B18" w:rsidRPr="00E52B1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851846">
        <w:rPr>
          <w:rFonts w:ascii="GHEA Grapalat" w:eastAsia="Times New Roman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D23FB3" w:rsidRDefault="00126AA7" w:rsidP="00851846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51846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</w:t>
      </w:r>
      <w:r w:rsidR="008E4646" w:rsidRPr="00851846">
        <w:rPr>
          <w:rFonts w:ascii="GHEA Grapalat" w:eastAsia="Times New Roman" w:hAnsi="GHEA Grapalat"/>
          <w:sz w:val="24"/>
          <w:szCs w:val="24"/>
          <w:lang w:val="hy-AM"/>
        </w:rPr>
        <w:t xml:space="preserve">ՀՀ </w:t>
      </w:r>
      <w:r w:rsidR="008E4646" w:rsidRPr="00851846">
        <w:rPr>
          <w:rFonts w:ascii="GHEA Grapalat" w:hAnsi="GHEA Grapalat" w:cs="Sylfaen"/>
          <w:sz w:val="24"/>
          <w:szCs w:val="24"/>
          <w:lang w:val="hy-AM"/>
        </w:rPr>
        <w:t xml:space="preserve">էկոնոմիկայի </w:t>
      </w:r>
      <w:r w:rsidR="00D7669B" w:rsidRPr="00851846">
        <w:rPr>
          <w:rFonts w:ascii="GHEA Grapalat" w:hAnsi="GHEA Grapalat" w:cs="Sylfaen"/>
          <w:sz w:val="24"/>
          <w:szCs w:val="24"/>
          <w:lang w:val="hy-AM"/>
        </w:rPr>
        <w:t>նախարարության կողմից։</w:t>
      </w:r>
    </w:p>
    <w:p w:rsidR="00DE68C9" w:rsidRDefault="00DE68C9" w:rsidP="00851846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68C9" w:rsidRPr="00DE68C9" w:rsidRDefault="00DE68C9" w:rsidP="00DE68C9">
      <w:pPr>
        <w:spacing w:after="0" w:line="36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68C9">
        <w:rPr>
          <w:rFonts w:ascii="GHEA Grapalat" w:hAnsi="GHEA Grapalat" w:cs="Sylfaen"/>
          <w:b/>
          <w:sz w:val="24"/>
          <w:szCs w:val="24"/>
          <w:lang w:val="hy-AM"/>
        </w:rPr>
        <w:t>5.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Ծրագրի ֆինանսական բաղադրիչը</w:t>
      </w:r>
    </w:p>
    <w:p w:rsidR="00DE68C9" w:rsidRDefault="00DE68C9" w:rsidP="008E14C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C4296">
        <w:rPr>
          <w:rFonts w:ascii="GHEA Grapalat" w:hAnsi="GHEA Grapalat"/>
          <w:sz w:val="24"/>
          <w:szCs w:val="24"/>
          <w:lang w:val="hy-AM"/>
        </w:rPr>
        <w:t>Ծրագիրն իրականացվում է յուրաքանչյուր տարի «Պետական բյուջեի մասին» ՀՀ օրենքով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4296">
        <w:rPr>
          <w:rFonts w:ascii="GHEA Grapalat" w:hAnsi="GHEA Grapalat"/>
          <w:sz w:val="24"/>
          <w:szCs w:val="24"/>
          <w:lang w:val="hy-AM"/>
        </w:rPr>
        <w:t>ծրագրի գծով սահմանվող միջոցների հաշվին։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4296">
        <w:rPr>
          <w:rFonts w:ascii="GHEA Grapalat" w:hAnsi="GHEA Grapalat"/>
          <w:color w:val="000000"/>
          <w:sz w:val="24"/>
          <w:szCs w:val="24"/>
          <w:lang w:val="hy-AM"/>
        </w:rPr>
        <w:t xml:space="preserve">Ծրագրի միջոցառումների արդյունավետ իրականացումը կապված է ֆինանսական հետևյալ </w:t>
      </w:r>
      <w:r w:rsidRPr="00CC4296">
        <w:rPr>
          <w:rFonts w:ascii="GHEA Grapalat" w:hAnsi="GHEA Grapalat" w:cs="Sylfaen"/>
          <w:sz w:val="24"/>
          <w:szCs w:val="24"/>
          <w:lang w:val="hy-AM"/>
        </w:rPr>
        <w:t>երկու բաղադրիչներից՝</w:t>
      </w:r>
      <w:r w:rsidR="008E14C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4296">
        <w:rPr>
          <w:rFonts w:ascii="GHEA Grapalat" w:hAnsi="GHEA Grapalat" w:cs="Sylfaen"/>
          <w:sz w:val="24"/>
          <w:szCs w:val="24"/>
          <w:lang w:val="hy-AM"/>
        </w:rPr>
        <w:t xml:space="preserve">ախտորոշիչ հավաքածուների և անասնաբուժական պարագաների ձեռք բերում, </w:t>
      </w:r>
      <w:r w:rsidR="008E14CD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Pr="00CC4296">
        <w:rPr>
          <w:rFonts w:ascii="GHEA Grapalat" w:hAnsi="GHEA Grapalat"/>
          <w:sz w:val="24"/>
          <w:szCs w:val="24"/>
          <w:lang w:val="hy-AM"/>
        </w:rPr>
        <w:t>լաբորատոր փորձաքննությունների իրականացում և վերլուծություն:</w:t>
      </w:r>
    </w:p>
    <w:p w:rsidR="008F4DB3" w:rsidRPr="00163809" w:rsidRDefault="00382CD5" w:rsidP="0016380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6380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2021 թվականին </w:t>
      </w:r>
      <w:r w:rsidR="009A699A"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Pr="00163809">
        <w:rPr>
          <w:rFonts w:ascii="GHEA Grapalat" w:hAnsi="GHEA Grapalat" w:cs="Sylfaen"/>
          <w:color w:val="000000"/>
          <w:sz w:val="24"/>
          <w:szCs w:val="24"/>
          <w:lang w:val="hy-AM"/>
        </w:rPr>
        <w:t>րագրի</w:t>
      </w:r>
      <w:r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բյուջեն </w:t>
      </w:r>
      <w:r w:rsidR="00E53795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2020 թվականի դեկտեմբերի 30-ի N 2215-Ն որոշման համաձայն </w:t>
      </w:r>
      <w:r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կազմել է </w:t>
      </w:r>
      <w:r w:rsidR="00E53795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10 246,0 </w:t>
      </w:r>
      <w:r w:rsidR="00C34173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</w:t>
      </w:r>
      <w:r w:rsidR="00E53795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դրամ, որից </w:t>
      </w:r>
      <w:r w:rsidR="00E53795" w:rsidRPr="00163809">
        <w:rPr>
          <w:rFonts w:ascii="GHEA Grapalat" w:hAnsi="GHEA Grapalat" w:cs="Sylfaen"/>
          <w:sz w:val="24"/>
          <w:szCs w:val="24"/>
          <w:lang w:val="hy-AM"/>
        </w:rPr>
        <w:t>ախտորոշիչ հավաքածուների և անասնաբուժական պարագաների</w:t>
      </w:r>
      <w:r w:rsidR="00E53795" w:rsidRPr="00163809">
        <w:rPr>
          <w:rFonts w:ascii="GHEA Grapalat" w:hAnsi="GHEA Grapalat" w:cs="Sylfaen"/>
          <w:sz w:val="24"/>
          <w:szCs w:val="24"/>
          <w:lang w:val="hy-AM"/>
        </w:rPr>
        <w:t xml:space="preserve"> ձեռք բերման</w:t>
      </w:r>
      <w:r w:rsidR="000079ED" w:rsidRPr="00163809">
        <w:rPr>
          <w:rFonts w:ascii="GHEA Grapalat" w:hAnsi="GHEA Grapalat" w:cs="Sylfaen"/>
          <w:sz w:val="24"/>
          <w:szCs w:val="24"/>
          <w:lang w:val="hy-AM"/>
        </w:rPr>
        <w:t xml:space="preserve"> համար՝ </w:t>
      </w:r>
      <w:r w:rsidR="00C34173" w:rsidRPr="00163809">
        <w:rPr>
          <w:rFonts w:ascii="GHEA Grapalat" w:hAnsi="GHEA Grapalat" w:cs="Sylfaen"/>
          <w:sz w:val="24"/>
          <w:szCs w:val="24"/>
          <w:lang w:val="hy-AM"/>
        </w:rPr>
        <w:t xml:space="preserve">8 446,0 </w:t>
      </w:r>
      <w:r w:rsidR="00C34173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 դրամ</w:t>
      </w:r>
      <w:r w:rsidR="00C34173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1 800,0 </w:t>
      </w:r>
      <w:r w:rsidR="00C34173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 դրամ</w:t>
      </w:r>
      <w:r w:rsidR="00C34173" w:rsidRPr="00163809">
        <w:rPr>
          <w:rFonts w:ascii="GHEA Grapalat" w:hAnsi="GHEA Grapalat"/>
          <w:sz w:val="24"/>
          <w:szCs w:val="24"/>
          <w:lang w:val="hy-AM"/>
        </w:rPr>
        <w:t xml:space="preserve"> </w:t>
      </w:r>
      <w:r w:rsidR="00C34173" w:rsidRPr="00163809">
        <w:rPr>
          <w:rFonts w:ascii="GHEA Grapalat" w:hAnsi="GHEA Grapalat"/>
          <w:sz w:val="24"/>
          <w:szCs w:val="24"/>
          <w:lang w:val="hy-AM"/>
        </w:rPr>
        <w:t xml:space="preserve">լաբորատոր փորձաքննությունների </w:t>
      </w:r>
      <w:r w:rsidR="00C34173" w:rsidRPr="00163809">
        <w:rPr>
          <w:rFonts w:ascii="GHEA Grapalat" w:hAnsi="GHEA Grapalat"/>
          <w:sz w:val="24"/>
          <w:szCs w:val="24"/>
          <w:lang w:val="hy-AM"/>
        </w:rPr>
        <w:t xml:space="preserve">իրականացման համար։ Սակայն </w:t>
      </w:r>
      <w:r w:rsidR="00E2276F" w:rsidRPr="00163809">
        <w:rPr>
          <w:rFonts w:ascii="GHEA Grapalat" w:hAnsi="GHEA Grapalat"/>
          <w:sz w:val="24"/>
          <w:szCs w:val="24"/>
          <w:lang w:val="hy-AM"/>
        </w:rPr>
        <w:t>փաստա</w:t>
      </w:r>
      <w:r w:rsidR="00163809" w:rsidRPr="00163809">
        <w:rPr>
          <w:rFonts w:ascii="GHEA Grapalat" w:hAnsi="GHEA Grapalat"/>
          <w:sz w:val="24"/>
          <w:szCs w:val="24"/>
          <w:lang w:val="hy-AM"/>
        </w:rPr>
        <w:t xml:space="preserve">ցի ձեռք բերման արդյունքում </w:t>
      </w:r>
      <w:r w:rsidR="00163809" w:rsidRPr="00163809">
        <w:rPr>
          <w:rFonts w:ascii="GHEA Grapalat" w:hAnsi="GHEA Grapalat" w:cs="Sylfaen"/>
          <w:sz w:val="24"/>
          <w:szCs w:val="24"/>
          <w:lang w:val="hy-AM"/>
        </w:rPr>
        <w:t>ախտորոշիչ հավաքածուների</w:t>
      </w:r>
      <w:r w:rsidR="00163809" w:rsidRPr="00163809">
        <w:rPr>
          <w:rFonts w:ascii="GHEA Grapalat" w:hAnsi="GHEA Grapalat" w:cs="Sylfaen"/>
          <w:sz w:val="24"/>
          <w:szCs w:val="24"/>
          <w:lang w:val="hy-AM"/>
        </w:rPr>
        <w:t xml:space="preserve"> գինը կազմել է 12 300,0</w:t>
      </w:r>
      <w:r w:rsidR="00163809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3809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 դրամ</w:t>
      </w:r>
      <w:r w:rsidR="00163809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3809" w:rsidRPr="0016380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(ներառյալ ԱԱՀ-ն)</w:t>
      </w:r>
      <w:r w:rsidR="002B062E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8E14CD" w:rsidRPr="00163809" w:rsidRDefault="00833C24" w:rsidP="009A699A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Հաշվի առնելով </w:t>
      </w:r>
      <w:r w:rsidR="00C34173" w:rsidRPr="00163809">
        <w:rPr>
          <w:rFonts w:ascii="GHEA Grapalat" w:hAnsi="GHEA Grapalat"/>
          <w:sz w:val="24"/>
          <w:szCs w:val="24"/>
          <w:lang w:val="hy-AM"/>
        </w:rPr>
        <w:t xml:space="preserve">գների </w:t>
      </w:r>
      <w:r>
        <w:rPr>
          <w:rFonts w:ascii="GHEA Grapalat" w:hAnsi="GHEA Grapalat"/>
          <w:sz w:val="24"/>
          <w:szCs w:val="24"/>
          <w:lang w:val="hy-AM"/>
        </w:rPr>
        <w:t>անկանխատեսելի սղաճը</w:t>
      </w:r>
      <w:r w:rsidR="009A699A">
        <w:rPr>
          <w:rFonts w:ascii="GHEA Grapalat" w:hAnsi="GHEA Grapalat"/>
          <w:sz w:val="24"/>
          <w:szCs w:val="24"/>
          <w:lang w:val="hy-AM"/>
        </w:rPr>
        <w:t xml:space="preserve"> 2022 թվականի </w:t>
      </w:r>
      <w:r w:rsidR="009A699A"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="009A699A" w:rsidRPr="00163809">
        <w:rPr>
          <w:rFonts w:ascii="GHEA Grapalat" w:hAnsi="GHEA Grapalat" w:cs="Sylfaen"/>
          <w:color w:val="000000"/>
          <w:sz w:val="24"/>
          <w:szCs w:val="24"/>
          <w:lang w:val="hy-AM"/>
        </w:rPr>
        <w:t>րագրի</w:t>
      </w:r>
      <w:r w:rsidR="009A699A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բյուջեն</w:t>
      </w:r>
      <w:r w:rsidR="009A699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կազմել է </w:t>
      </w:r>
      <w:r w:rsidR="001977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20 260,0 </w:t>
      </w:r>
      <w:r w:rsidR="00197708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 դրամ</w:t>
      </w:r>
      <w:r w:rsidR="001977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bookmarkStart w:id="0" w:name="_GoBack"/>
      <w:bookmarkEnd w:id="0"/>
      <w:r w:rsidR="00197708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A699A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որից </w:t>
      </w:r>
      <w:r w:rsidR="009A699A" w:rsidRPr="00163809">
        <w:rPr>
          <w:rFonts w:ascii="GHEA Grapalat" w:hAnsi="GHEA Grapalat" w:cs="Sylfaen"/>
          <w:sz w:val="24"/>
          <w:szCs w:val="24"/>
          <w:lang w:val="hy-AM"/>
        </w:rPr>
        <w:t xml:space="preserve">ախտորոշիչ հավաքածուների և անասնաբուժական պարագաների ձեռք բերման համար՝ </w:t>
      </w:r>
      <w:r w:rsidR="009A699A">
        <w:rPr>
          <w:rFonts w:ascii="GHEA Grapalat" w:hAnsi="GHEA Grapalat" w:cs="Sylfaen"/>
          <w:sz w:val="24"/>
          <w:szCs w:val="24"/>
          <w:lang w:val="hy-AM"/>
        </w:rPr>
        <w:t>18 460</w:t>
      </w:r>
      <w:r w:rsidR="009A699A" w:rsidRPr="00163809">
        <w:rPr>
          <w:rFonts w:ascii="GHEA Grapalat" w:hAnsi="GHEA Grapalat" w:cs="Sylfaen"/>
          <w:sz w:val="24"/>
          <w:szCs w:val="24"/>
          <w:lang w:val="hy-AM"/>
        </w:rPr>
        <w:t xml:space="preserve">,0 </w:t>
      </w:r>
      <w:r w:rsidR="009A699A" w:rsidRPr="001638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հազ. դրամ և 1 800,0 հազ. դրամ</w:t>
      </w:r>
      <w:r w:rsidR="009A699A" w:rsidRPr="00163809">
        <w:rPr>
          <w:rFonts w:ascii="GHEA Grapalat" w:hAnsi="GHEA Grapalat"/>
          <w:sz w:val="24"/>
          <w:szCs w:val="24"/>
          <w:lang w:val="hy-AM"/>
        </w:rPr>
        <w:t xml:space="preserve"> լաբորատոր փորձաքննությունների իրականացման համար</w:t>
      </w:r>
      <w:r w:rsidR="009A699A">
        <w:rPr>
          <w:rFonts w:ascii="GHEA Grapalat" w:hAnsi="GHEA Grapalat"/>
          <w:sz w:val="24"/>
          <w:szCs w:val="24"/>
          <w:lang w:val="hy-AM"/>
        </w:rPr>
        <w:t xml:space="preserve"> </w:t>
      </w:r>
      <w:r w:rsidR="009A699A" w:rsidRPr="00163809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(ներառյալ ԱԱՀ-ն)</w:t>
      </w:r>
      <w:r w:rsidR="009A699A" w:rsidRPr="00163809">
        <w:rPr>
          <w:rFonts w:ascii="GHEA Grapalat" w:hAnsi="GHEA Grapalat"/>
          <w:sz w:val="24"/>
          <w:szCs w:val="24"/>
          <w:lang w:val="hy-AM"/>
        </w:rPr>
        <w:t>։</w:t>
      </w:r>
    </w:p>
    <w:p w:rsidR="00E52B18" w:rsidRPr="00163809" w:rsidRDefault="00E52B18" w:rsidP="00DE68C9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52B18" w:rsidRPr="00163809" w:rsidRDefault="00DE68C9" w:rsidP="00DE68C9">
      <w:pPr>
        <w:spacing w:after="0" w:line="360" w:lineRule="auto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63809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>6</w:t>
      </w:r>
      <w:r w:rsidR="00E52B18" w:rsidRPr="00163809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 xml:space="preserve">. </w:t>
      </w:r>
      <w:r w:rsidR="002C62FC" w:rsidRPr="00163809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>Կապը կառավարության ծրագրի եվ ռազմավարական ծրագրերի հետ</w:t>
      </w:r>
    </w:p>
    <w:p w:rsidR="00E52B18" w:rsidRDefault="00E52B18" w:rsidP="00E52B1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63809">
        <w:rPr>
          <w:rFonts w:ascii="GHEA Grapalat" w:hAnsi="GHEA Grapalat" w:cs="Sylfaen"/>
          <w:sz w:val="24"/>
          <w:szCs w:val="24"/>
          <w:lang w:val="hy-AM"/>
        </w:rPr>
        <w:t>Համաձայն ՀՀ կառավարության ծրագրի մասին ՀՀ կառավարության 2021 թվականի օգոստոսի 18-ի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1363-Ա որոշման 2.4-րդ կետի՝  Գյուղատնտեսությունը բաժնի ապահովել կենդանիների և բույսերի հիվանդությունների կանխարգելման արդյունավետ համակարգի ներդրումը:</w:t>
      </w:r>
    </w:p>
    <w:p w:rsidR="00C34950" w:rsidRPr="00851846" w:rsidRDefault="00C34950" w:rsidP="00851846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4950" w:rsidRPr="00851846" w:rsidRDefault="00DE68C9" w:rsidP="00DE68C9">
      <w:pPr>
        <w:spacing w:after="0" w:line="360" w:lineRule="auto"/>
        <w:ind w:firstLine="284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7</w:t>
      </w:r>
      <w:r w:rsidR="00C34950" w:rsidRPr="00851846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="00C34950" w:rsidRPr="0085184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="00C34950" w:rsidRPr="0085184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</w:p>
    <w:p w:rsidR="00F42593" w:rsidRPr="00B86A85" w:rsidRDefault="00F42593" w:rsidP="00B86A85">
      <w:pPr>
        <w:spacing w:after="0"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51846">
        <w:rPr>
          <w:rFonts w:ascii="GHEA Grapalat" w:hAnsi="GHEA Grapalat" w:cs="Sylfaen"/>
          <w:bCs/>
          <w:sz w:val="24"/>
          <w:szCs w:val="24"/>
          <w:lang w:val="hy-AM"/>
        </w:rPr>
        <w:t xml:space="preserve">Նախագծի ընդունման արդյունքում </w:t>
      </w:r>
      <w:r w:rsidR="00D14CC4">
        <w:rPr>
          <w:rFonts w:ascii="GHEA Grapalat" w:hAnsi="GHEA Grapalat" w:cs="Sylfaen"/>
          <w:bCs/>
          <w:sz w:val="24"/>
          <w:szCs w:val="24"/>
          <w:lang w:val="hy-AM"/>
        </w:rPr>
        <w:t>կգնահատվեն</w:t>
      </w:r>
      <w:r w:rsidR="00B86A8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B86A85" w:rsidRPr="0085184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հիվանդության</w:t>
      </w:r>
      <w:r w:rsidR="00B86A85" w:rsidRPr="00851846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B86A85" w:rsidRPr="0085184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հնարավոր</w:t>
      </w:r>
      <w:r w:rsidR="00B86A85" w:rsidRPr="00851846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B86A85" w:rsidRPr="0085184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ներթափանցման</w:t>
      </w:r>
      <w:r w:rsidR="00B86A85" w:rsidRPr="00851846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B86A8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ռիսկերը,</w:t>
      </w:r>
      <w:r w:rsidR="00B86A8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51846">
        <w:rPr>
          <w:rFonts w:ascii="GHEA Grapalat" w:hAnsi="GHEA Grapalat" w:cs="Sylfaen"/>
          <w:sz w:val="24"/>
          <w:szCs w:val="24"/>
          <w:lang w:val="hy-AM"/>
        </w:rPr>
        <w:t xml:space="preserve">հանրապետության տարածքում կապահովի գյուղատնտեսական կենդանիների դաբաղ հիվանդության </w:t>
      </w:r>
      <w:r w:rsidRPr="00851846">
        <w:rPr>
          <w:rFonts w:ascii="GHEA Grapalat" w:eastAsia="Arial Unicode MS" w:hAnsi="GHEA Grapalat" w:cs="Sylfaen"/>
          <w:kern w:val="16"/>
          <w:sz w:val="24"/>
          <w:szCs w:val="24"/>
          <w:lang w:val="hy-AM"/>
        </w:rPr>
        <w:t xml:space="preserve">բռնկման և տարածման կանխումը, </w:t>
      </w:r>
      <w:r w:rsidRPr="00851846">
        <w:rPr>
          <w:rFonts w:ascii="GHEA Grapalat" w:hAnsi="GHEA Grapalat" w:cs="Sylfaen"/>
          <w:sz w:val="24"/>
          <w:szCs w:val="24"/>
          <w:lang w:val="hy-AM"/>
        </w:rPr>
        <w:t>անասնաբուժասանիտարական տեսակետից բարձրորակ կենդանական ծագման մթերքի և հումքի արտադրության արտահանման և ներկրման բարենպաստ պայմաններ, որի արդյունքում կբարելավի համախառն ներքին արտադրանքի տնտեսական ակտիվության ցուցանիշը:</w:t>
      </w:r>
    </w:p>
    <w:p w:rsidR="00F42593" w:rsidRPr="00851846" w:rsidRDefault="00F42593" w:rsidP="00851846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51846">
        <w:rPr>
          <w:rFonts w:ascii="GHEA Grapalat" w:hAnsi="GHEA Grapalat" w:cs="Sylfaen"/>
          <w:sz w:val="24"/>
          <w:szCs w:val="24"/>
          <w:lang w:val="hy-AM"/>
        </w:rPr>
        <w:t>Միաժամանակ նախագծի ընդունման արդյունքում կապահովի միջազգային համագործակցության պարտավորությունների կատարումը։</w:t>
      </w:r>
      <w:r w:rsidR="0085184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F42593" w:rsidRPr="00851846" w:rsidSect="009A699A">
      <w:pgSz w:w="11906" w:h="16838" w:code="9"/>
      <w:pgMar w:top="1134" w:right="1133" w:bottom="1560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2A3"/>
    <w:multiLevelType w:val="hybridMultilevel"/>
    <w:tmpl w:val="432C3D2A"/>
    <w:lvl w:ilvl="0" w:tplc="BEEE3D7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F2796"/>
    <w:multiLevelType w:val="hybridMultilevel"/>
    <w:tmpl w:val="33F0CDE6"/>
    <w:lvl w:ilvl="0" w:tplc="E904E934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 w15:restartNumberingAfterBreak="0">
    <w:nsid w:val="4CFC24C1"/>
    <w:multiLevelType w:val="hybridMultilevel"/>
    <w:tmpl w:val="A21CA5FC"/>
    <w:lvl w:ilvl="0" w:tplc="59905D02">
      <w:start w:val="1"/>
      <w:numFmt w:val="decimal"/>
      <w:lvlText w:val="%1."/>
      <w:lvlJc w:val="left"/>
      <w:pPr>
        <w:ind w:left="1695" w:hanging="975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923CE"/>
    <w:multiLevelType w:val="multilevel"/>
    <w:tmpl w:val="A3383F04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E62538"/>
    <w:multiLevelType w:val="hybridMultilevel"/>
    <w:tmpl w:val="881050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91"/>
    <w:rsid w:val="00003916"/>
    <w:rsid w:val="00005682"/>
    <w:rsid w:val="000079ED"/>
    <w:rsid w:val="00010F3F"/>
    <w:rsid w:val="00013783"/>
    <w:rsid w:val="00016F49"/>
    <w:rsid w:val="000212A6"/>
    <w:rsid w:val="00027736"/>
    <w:rsid w:val="00033FAB"/>
    <w:rsid w:val="0003457B"/>
    <w:rsid w:val="00050B1B"/>
    <w:rsid w:val="000558DB"/>
    <w:rsid w:val="00056B11"/>
    <w:rsid w:val="000616EA"/>
    <w:rsid w:val="0007568A"/>
    <w:rsid w:val="00077275"/>
    <w:rsid w:val="000A65FE"/>
    <w:rsid w:val="000C091E"/>
    <w:rsid w:val="000D1AC7"/>
    <w:rsid w:val="000D2898"/>
    <w:rsid w:val="000E31B6"/>
    <w:rsid w:val="000F741A"/>
    <w:rsid w:val="00101FB5"/>
    <w:rsid w:val="00102248"/>
    <w:rsid w:val="00105561"/>
    <w:rsid w:val="00112D28"/>
    <w:rsid w:val="00113E3D"/>
    <w:rsid w:val="00115A94"/>
    <w:rsid w:val="00126AA7"/>
    <w:rsid w:val="001275DF"/>
    <w:rsid w:val="00131B0F"/>
    <w:rsid w:val="001363C3"/>
    <w:rsid w:val="00140171"/>
    <w:rsid w:val="0014616C"/>
    <w:rsid w:val="001546CE"/>
    <w:rsid w:val="00155839"/>
    <w:rsid w:val="001607EE"/>
    <w:rsid w:val="00163809"/>
    <w:rsid w:val="00175887"/>
    <w:rsid w:val="00184992"/>
    <w:rsid w:val="00194E91"/>
    <w:rsid w:val="00197708"/>
    <w:rsid w:val="001B2D09"/>
    <w:rsid w:val="001B2D38"/>
    <w:rsid w:val="001B3AAA"/>
    <w:rsid w:val="001B5C14"/>
    <w:rsid w:val="001B7E6B"/>
    <w:rsid w:val="001D085B"/>
    <w:rsid w:val="001D46C7"/>
    <w:rsid w:val="001F5DEC"/>
    <w:rsid w:val="00204BA1"/>
    <w:rsid w:val="002146D0"/>
    <w:rsid w:val="00220F88"/>
    <w:rsid w:val="00230A8C"/>
    <w:rsid w:val="0026013D"/>
    <w:rsid w:val="00264FDC"/>
    <w:rsid w:val="00266A07"/>
    <w:rsid w:val="00286E3D"/>
    <w:rsid w:val="00294089"/>
    <w:rsid w:val="002A11DB"/>
    <w:rsid w:val="002A4FBB"/>
    <w:rsid w:val="002B062E"/>
    <w:rsid w:val="002C2245"/>
    <w:rsid w:val="002C4B7E"/>
    <w:rsid w:val="002C62FC"/>
    <w:rsid w:val="002D22FD"/>
    <w:rsid w:val="002D47BE"/>
    <w:rsid w:val="002E1ED6"/>
    <w:rsid w:val="002F1545"/>
    <w:rsid w:val="0030083E"/>
    <w:rsid w:val="00313C16"/>
    <w:rsid w:val="00315278"/>
    <w:rsid w:val="00321BD2"/>
    <w:rsid w:val="003350D4"/>
    <w:rsid w:val="003352AC"/>
    <w:rsid w:val="00340FAD"/>
    <w:rsid w:val="00350CF6"/>
    <w:rsid w:val="00354920"/>
    <w:rsid w:val="0037584C"/>
    <w:rsid w:val="0038029E"/>
    <w:rsid w:val="00382CD5"/>
    <w:rsid w:val="00391F5E"/>
    <w:rsid w:val="00397D83"/>
    <w:rsid w:val="003A57C0"/>
    <w:rsid w:val="003B0AFF"/>
    <w:rsid w:val="003B3430"/>
    <w:rsid w:val="003C2BAD"/>
    <w:rsid w:val="003C38F1"/>
    <w:rsid w:val="003C4408"/>
    <w:rsid w:val="003C51AC"/>
    <w:rsid w:val="003D33DF"/>
    <w:rsid w:val="003D697C"/>
    <w:rsid w:val="003D71EE"/>
    <w:rsid w:val="003F008D"/>
    <w:rsid w:val="003F18BA"/>
    <w:rsid w:val="004001BC"/>
    <w:rsid w:val="00402FBA"/>
    <w:rsid w:val="0045003B"/>
    <w:rsid w:val="00451201"/>
    <w:rsid w:val="0046297C"/>
    <w:rsid w:val="00466FBD"/>
    <w:rsid w:val="00487495"/>
    <w:rsid w:val="00491AC5"/>
    <w:rsid w:val="004A24A7"/>
    <w:rsid w:val="004A2E7E"/>
    <w:rsid w:val="004B7BCD"/>
    <w:rsid w:val="004D65E0"/>
    <w:rsid w:val="004E42B1"/>
    <w:rsid w:val="004F7DB9"/>
    <w:rsid w:val="00502D5F"/>
    <w:rsid w:val="00510736"/>
    <w:rsid w:val="00521328"/>
    <w:rsid w:val="00564F47"/>
    <w:rsid w:val="005945F8"/>
    <w:rsid w:val="005A316A"/>
    <w:rsid w:val="005B0D73"/>
    <w:rsid w:val="005C0C14"/>
    <w:rsid w:val="005C19E9"/>
    <w:rsid w:val="005C3C2D"/>
    <w:rsid w:val="005F6571"/>
    <w:rsid w:val="00607EC0"/>
    <w:rsid w:val="006133E2"/>
    <w:rsid w:val="00613F39"/>
    <w:rsid w:val="00630ADA"/>
    <w:rsid w:val="00632C45"/>
    <w:rsid w:val="0063765F"/>
    <w:rsid w:val="00681CD5"/>
    <w:rsid w:val="0068326F"/>
    <w:rsid w:val="006837ED"/>
    <w:rsid w:val="00694D8B"/>
    <w:rsid w:val="006954D2"/>
    <w:rsid w:val="006A300B"/>
    <w:rsid w:val="006D05A9"/>
    <w:rsid w:val="006E0AC6"/>
    <w:rsid w:val="0071026E"/>
    <w:rsid w:val="0072020A"/>
    <w:rsid w:val="00734578"/>
    <w:rsid w:val="00737CA8"/>
    <w:rsid w:val="00745A17"/>
    <w:rsid w:val="00751885"/>
    <w:rsid w:val="00751AA4"/>
    <w:rsid w:val="007619E3"/>
    <w:rsid w:val="00792C8D"/>
    <w:rsid w:val="00795232"/>
    <w:rsid w:val="007A17D6"/>
    <w:rsid w:val="007B5CB9"/>
    <w:rsid w:val="007C3A2E"/>
    <w:rsid w:val="007D0392"/>
    <w:rsid w:val="007D5186"/>
    <w:rsid w:val="007E12E1"/>
    <w:rsid w:val="007F2747"/>
    <w:rsid w:val="007F4878"/>
    <w:rsid w:val="007F6022"/>
    <w:rsid w:val="007F76B9"/>
    <w:rsid w:val="0080315D"/>
    <w:rsid w:val="00805C7C"/>
    <w:rsid w:val="00813463"/>
    <w:rsid w:val="0082314B"/>
    <w:rsid w:val="0083067C"/>
    <w:rsid w:val="00833C24"/>
    <w:rsid w:val="008378A7"/>
    <w:rsid w:val="00845127"/>
    <w:rsid w:val="00851846"/>
    <w:rsid w:val="00856D68"/>
    <w:rsid w:val="00867D5E"/>
    <w:rsid w:val="00874012"/>
    <w:rsid w:val="008859E8"/>
    <w:rsid w:val="008C734F"/>
    <w:rsid w:val="008E14CD"/>
    <w:rsid w:val="008E4646"/>
    <w:rsid w:val="008F28B7"/>
    <w:rsid w:val="008F4DB3"/>
    <w:rsid w:val="008F6E23"/>
    <w:rsid w:val="00902271"/>
    <w:rsid w:val="00903615"/>
    <w:rsid w:val="00914B00"/>
    <w:rsid w:val="00920DE9"/>
    <w:rsid w:val="00924EAC"/>
    <w:rsid w:val="009410D4"/>
    <w:rsid w:val="0094454E"/>
    <w:rsid w:val="009446A2"/>
    <w:rsid w:val="00952780"/>
    <w:rsid w:val="00954954"/>
    <w:rsid w:val="00964451"/>
    <w:rsid w:val="00964A87"/>
    <w:rsid w:val="0097162B"/>
    <w:rsid w:val="00991A14"/>
    <w:rsid w:val="009956F6"/>
    <w:rsid w:val="009A699A"/>
    <w:rsid w:val="009A7A69"/>
    <w:rsid w:val="009B4553"/>
    <w:rsid w:val="009C1224"/>
    <w:rsid w:val="009C2D63"/>
    <w:rsid w:val="009C6AA8"/>
    <w:rsid w:val="009D45D6"/>
    <w:rsid w:val="009D5872"/>
    <w:rsid w:val="009E225E"/>
    <w:rsid w:val="009F0BA3"/>
    <w:rsid w:val="00A072BC"/>
    <w:rsid w:val="00A321E7"/>
    <w:rsid w:val="00A37308"/>
    <w:rsid w:val="00A44646"/>
    <w:rsid w:val="00A559B5"/>
    <w:rsid w:val="00A565EA"/>
    <w:rsid w:val="00A7209C"/>
    <w:rsid w:val="00A87017"/>
    <w:rsid w:val="00AA01A7"/>
    <w:rsid w:val="00AA118C"/>
    <w:rsid w:val="00AB32D6"/>
    <w:rsid w:val="00AC3FFB"/>
    <w:rsid w:val="00AC6D87"/>
    <w:rsid w:val="00AD6B65"/>
    <w:rsid w:val="00AF0018"/>
    <w:rsid w:val="00AF1FBF"/>
    <w:rsid w:val="00B13BBC"/>
    <w:rsid w:val="00B20BFD"/>
    <w:rsid w:val="00B215CA"/>
    <w:rsid w:val="00B248BA"/>
    <w:rsid w:val="00B254B8"/>
    <w:rsid w:val="00B502CE"/>
    <w:rsid w:val="00B54643"/>
    <w:rsid w:val="00B56CC3"/>
    <w:rsid w:val="00B71042"/>
    <w:rsid w:val="00B86A85"/>
    <w:rsid w:val="00B96AF3"/>
    <w:rsid w:val="00BA36AE"/>
    <w:rsid w:val="00BB0BC1"/>
    <w:rsid w:val="00BD0230"/>
    <w:rsid w:val="00BD110B"/>
    <w:rsid w:val="00BD3703"/>
    <w:rsid w:val="00BD3D9E"/>
    <w:rsid w:val="00BD7E4B"/>
    <w:rsid w:val="00BE1C3F"/>
    <w:rsid w:val="00BE63E6"/>
    <w:rsid w:val="00C002EE"/>
    <w:rsid w:val="00C16200"/>
    <w:rsid w:val="00C23EFD"/>
    <w:rsid w:val="00C246D6"/>
    <w:rsid w:val="00C34173"/>
    <w:rsid w:val="00C34950"/>
    <w:rsid w:val="00C3572D"/>
    <w:rsid w:val="00C529E8"/>
    <w:rsid w:val="00C62C27"/>
    <w:rsid w:val="00C66F7D"/>
    <w:rsid w:val="00C71373"/>
    <w:rsid w:val="00C737CA"/>
    <w:rsid w:val="00C75A7B"/>
    <w:rsid w:val="00C85B91"/>
    <w:rsid w:val="00C86C1E"/>
    <w:rsid w:val="00C96285"/>
    <w:rsid w:val="00C96E69"/>
    <w:rsid w:val="00C975CC"/>
    <w:rsid w:val="00CA4787"/>
    <w:rsid w:val="00CB26C5"/>
    <w:rsid w:val="00CC3323"/>
    <w:rsid w:val="00CE6A39"/>
    <w:rsid w:val="00D14CC4"/>
    <w:rsid w:val="00D175F4"/>
    <w:rsid w:val="00D23C56"/>
    <w:rsid w:val="00D23EE1"/>
    <w:rsid w:val="00D23FB3"/>
    <w:rsid w:val="00D4368E"/>
    <w:rsid w:val="00D7669B"/>
    <w:rsid w:val="00D83CEF"/>
    <w:rsid w:val="00D945FF"/>
    <w:rsid w:val="00D94709"/>
    <w:rsid w:val="00DA61C2"/>
    <w:rsid w:val="00DB34BF"/>
    <w:rsid w:val="00DB43DA"/>
    <w:rsid w:val="00DE68C9"/>
    <w:rsid w:val="00DF2FB6"/>
    <w:rsid w:val="00DF7855"/>
    <w:rsid w:val="00E00140"/>
    <w:rsid w:val="00E12EC5"/>
    <w:rsid w:val="00E13CC6"/>
    <w:rsid w:val="00E2276F"/>
    <w:rsid w:val="00E22DEF"/>
    <w:rsid w:val="00E33D70"/>
    <w:rsid w:val="00E370BF"/>
    <w:rsid w:val="00E43AFB"/>
    <w:rsid w:val="00E52B18"/>
    <w:rsid w:val="00E53795"/>
    <w:rsid w:val="00E54341"/>
    <w:rsid w:val="00E6009E"/>
    <w:rsid w:val="00E628D2"/>
    <w:rsid w:val="00E67D50"/>
    <w:rsid w:val="00E83DBF"/>
    <w:rsid w:val="00E84D94"/>
    <w:rsid w:val="00E873E7"/>
    <w:rsid w:val="00E926EE"/>
    <w:rsid w:val="00EB510F"/>
    <w:rsid w:val="00EB561C"/>
    <w:rsid w:val="00EB709F"/>
    <w:rsid w:val="00EC403B"/>
    <w:rsid w:val="00EC44F8"/>
    <w:rsid w:val="00ED166F"/>
    <w:rsid w:val="00EF3FE6"/>
    <w:rsid w:val="00F10F85"/>
    <w:rsid w:val="00F1127E"/>
    <w:rsid w:val="00F130AA"/>
    <w:rsid w:val="00F15130"/>
    <w:rsid w:val="00F17384"/>
    <w:rsid w:val="00F35174"/>
    <w:rsid w:val="00F3683A"/>
    <w:rsid w:val="00F3739F"/>
    <w:rsid w:val="00F42593"/>
    <w:rsid w:val="00F55471"/>
    <w:rsid w:val="00F7145E"/>
    <w:rsid w:val="00F75EA2"/>
    <w:rsid w:val="00F765A1"/>
    <w:rsid w:val="00F82E9C"/>
    <w:rsid w:val="00F86014"/>
    <w:rsid w:val="00F9262C"/>
    <w:rsid w:val="00F92F62"/>
    <w:rsid w:val="00FA4FC6"/>
    <w:rsid w:val="00FA5D1C"/>
    <w:rsid w:val="00FB4136"/>
    <w:rsid w:val="00FB5A70"/>
    <w:rsid w:val="00FE3C86"/>
    <w:rsid w:val="00FF1A2A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0CCD"/>
  <w15:docId w15:val="{82DB8C10-8223-4E8F-9C6D-56B2386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A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A7"/>
    <w:pPr>
      <w:ind w:left="720"/>
      <w:contextualSpacing/>
    </w:pPr>
  </w:style>
  <w:style w:type="character" w:styleId="Strong">
    <w:name w:val="Strong"/>
    <w:uiPriority w:val="22"/>
    <w:qFormat/>
    <w:rsid w:val="00126AA7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126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chtex">
    <w:name w:val="mechtex"/>
    <w:basedOn w:val="Normal"/>
    <w:link w:val="mechtexChar"/>
    <w:rsid w:val="00CC332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CC332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">
    <w:name w:val="Body text_"/>
    <w:basedOn w:val="DefaultParagraphFont"/>
    <w:link w:val="BodyText1"/>
    <w:rsid w:val="003D697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3D697C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en-US"/>
    </w:rPr>
  </w:style>
  <w:style w:type="paragraph" w:styleId="BlockText">
    <w:name w:val="Block Text"/>
    <w:basedOn w:val="Normal"/>
    <w:rsid w:val="00805C7C"/>
    <w:pPr>
      <w:ind w:left="-709" w:right="-694"/>
    </w:pPr>
    <w:rPr>
      <w:rFonts w:ascii="Baltica" w:eastAsia="Times New Roman" w:hAnsi="Baltica"/>
      <w:sz w:val="18"/>
      <w:szCs w:val="20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E67D50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AF1FBF"/>
    <w:pPr>
      <w:spacing w:after="0" w:line="240" w:lineRule="auto"/>
      <w:jc w:val="both"/>
    </w:pPr>
    <w:rPr>
      <w:rFonts w:ascii="Arial Armenian" w:eastAsia="Times New Roman" w:hAnsi="Arial Armenian"/>
      <w:sz w:val="20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AF1FBF"/>
    <w:rPr>
      <w:rFonts w:ascii="Arial Armenian" w:eastAsia="Times New Roman" w:hAnsi="Arial Armenian" w:cs="Times New Roman"/>
      <w:sz w:val="20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AF1F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1FB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26B8-C5B1-4A12-B9D0-CA6AD0E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https://mul2-mineconomy.gov.am/tasks/86467/oneclick/himnavorum-1640.docx?token=df5db3ae84cccec46eb54be2183c6a91</cp:keywords>
  <cp:lastModifiedBy>Melanya Karapetyan</cp:lastModifiedBy>
  <cp:revision>239</cp:revision>
  <dcterms:created xsi:type="dcterms:W3CDTF">2019-02-21T14:23:00Z</dcterms:created>
  <dcterms:modified xsi:type="dcterms:W3CDTF">2021-10-25T06:50:00Z</dcterms:modified>
</cp:coreProperties>
</file>