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47" w:rsidRPr="00092CD5" w:rsidRDefault="00BB72DE" w:rsidP="00D71E5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2CD5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365FF8" w:rsidRPr="00092CD5" w:rsidRDefault="00BB72DE" w:rsidP="00D71E57">
      <w:pPr>
        <w:tabs>
          <w:tab w:val="left" w:pos="270"/>
          <w:tab w:val="left" w:pos="9270"/>
        </w:tabs>
        <w:spacing w:after="0" w:line="360" w:lineRule="auto"/>
        <w:ind w:right="-90"/>
        <w:jc w:val="center"/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</w:pPr>
      <w:r w:rsidRPr="00092C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365FF8" w:rsidRPr="00092CD5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ՀԱՅԱՍՏԱՆԻ ՀԱՆՐԱՊԵՏՈՒԹՅԱՆ ԿԱՌԱՎԱՐՈՒԹՅԱՆ 2019 ԹՎԱԿԱՆԻ ՄԱՐՏԻ 7-Ի N 184-Լ ՈՐՈՇՄԱՆ ՄԵՋ </w:t>
      </w:r>
    </w:p>
    <w:p w:rsidR="00BB72DE" w:rsidRPr="00092CD5" w:rsidRDefault="00365FF8" w:rsidP="00D71E57">
      <w:pPr>
        <w:tabs>
          <w:tab w:val="left" w:pos="270"/>
          <w:tab w:val="left" w:pos="9270"/>
        </w:tabs>
        <w:spacing w:after="0" w:line="360" w:lineRule="auto"/>
        <w:ind w:right="-90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092CD5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ԼՐԱՑՈՒՄ ԿԱՏԱՐԵԼՈՒ ՄԱՍԻՆ</w:t>
      </w:r>
      <w:r w:rsidR="00BB72DE" w:rsidRPr="00092CD5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»</w:t>
      </w:r>
      <w:r w:rsidR="00BB72DE" w:rsidRPr="00092C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72DE" w:rsidRPr="00092CD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ՀՀ</w:t>
      </w:r>
      <w:r w:rsidR="00BB72DE" w:rsidRPr="00092C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72DE" w:rsidRPr="00092CD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ԿԱՌԱՎԱ</w:t>
      </w:r>
      <w:r w:rsidR="00BB72DE" w:rsidRPr="00092CD5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BB72DE" w:rsidRPr="00092CD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ՈՒԹՅԱՆ</w:t>
      </w:r>
      <w:r w:rsidR="00BB72DE" w:rsidRPr="00092C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72DE" w:rsidRPr="00092CD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</w:t>
      </w:r>
      <w:r w:rsidR="00BB72DE" w:rsidRPr="00092CD5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BB72DE" w:rsidRPr="00092CD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ՈՇՄԱՆ</w:t>
      </w:r>
      <w:r w:rsidR="00BB72DE" w:rsidRPr="00092C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72DE" w:rsidRPr="00092CD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ՆԱԽԱԳԾԻ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3095"/>
        <w:gridCol w:w="3760"/>
      </w:tblGrid>
      <w:tr w:rsidR="00BB72DE" w:rsidRPr="00092CD5" w:rsidTr="00B65F55">
        <w:trPr>
          <w:trHeight w:val="481"/>
        </w:trPr>
        <w:tc>
          <w:tcPr>
            <w:tcW w:w="112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B72DE" w:rsidRPr="00092CD5" w:rsidRDefault="00B53B97" w:rsidP="00D71E5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BB72DE" w:rsidRPr="00092CD5" w:rsidRDefault="00B53B97" w:rsidP="00D71E57">
            <w:pPr>
              <w:tabs>
                <w:tab w:val="left" w:pos="110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</w:rPr>
              <w:t>07.09.2021</w:t>
            </w: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BB72DE" w:rsidRPr="00092CD5" w:rsidTr="00B65F55">
        <w:trPr>
          <w:trHeight w:val="530"/>
        </w:trPr>
        <w:tc>
          <w:tcPr>
            <w:tcW w:w="11280" w:type="dxa"/>
            <w:gridSpan w:val="2"/>
            <w:vMerge/>
            <w:shd w:val="clear" w:color="auto" w:fill="D9D9D9" w:themeFill="background1" w:themeFillShade="D9"/>
          </w:tcPr>
          <w:p w:rsidR="00BB72DE" w:rsidRPr="00092CD5" w:rsidRDefault="00BB72DE" w:rsidP="00D71E5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BB72DE" w:rsidRPr="00092CD5" w:rsidRDefault="00B53B97" w:rsidP="00D71E57">
            <w:pPr>
              <w:tabs>
                <w:tab w:val="left" w:pos="110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>ԳՍ//23274-2021</w:t>
            </w:r>
          </w:p>
        </w:tc>
      </w:tr>
      <w:tr w:rsidR="00BB72DE" w:rsidRPr="00092CD5" w:rsidTr="00D83B73">
        <w:trPr>
          <w:trHeight w:val="2780"/>
        </w:trPr>
        <w:tc>
          <w:tcPr>
            <w:tcW w:w="8185" w:type="dxa"/>
          </w:tcPr>
          <w:p w:rsidR="00B53B97" w:rsidRPr="00092CD5" w:rsidRDefault="00B53B97" w:rsidP="00B53B97">
            <w:pPr>
              <w:spacing w:line="360" w:lineRule="auto"/>
              <w:ind w:firstLine="1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«Հայաստանի Հանրապետության կառավարության 2019 թվականի մարտի 7-ի N 184-Լ որոշման մեջ լրացում կատարելու մասին» ՀՀ կառավարության որոշման նախագիծը քննարկվել է ՀՀ մարզպետարանների հետ։ </w:t>
            </w:r>
          </w:p>
          <w:p w:rsidR="00742666" w:rsidRPr="00092CD5" w:rsidRDefault="00B53B97" w:rsidP="00B53B97">
            <w:pPr>
              <w:spacing w:line="360" w:lineRule="auto"/>
              <w:ind w:firstLine="1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>Նախագծի վերաբերյալ առաջարկություններ և դիտողություններ չկան։</w:t>
            </w:r>
          </w:p>
        </w:tc>
        <w:tc>
          <w:tcPr>
            <w:tcW w:w="6855" w:type="dxa"/>
            <w:gridSpan w:val="2"/>
          </w:tcPr>
          <w:p w:rsidR="00BB72DE" w:rsidRPr="00092CD5" w:rsidRDefault="00B53B97" w:rsidP="00D71E57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BB72DE" w:rsidRPr="00092CD5" w:rsidTr="00B65F55">
        <w:trPr>
          <w:trHeight w:val="449"/>
        </w:trPr>
        <w:tc>
          <w:tcPr>
            <w:tcW w:w="1128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BB72DE" w:rsidRPr="00092CD5" w:rsidRDefault="00B53B97" w:rsidP="00D71E5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BB72DE" w:rsidRPr="00092CD5" w:rsidRDefault="00B53B97" w:rsidP="00261E9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>09.09.2021թ.</w:t>
            </w:r>
          </w:p>
        </w:tc>
      </w:tr>
      <w:tr w:rsidR="00BB72DE" w:rsidRPr="00092CD5" w:rsidTr="00154430">
        <w:trPr>
          <w:trHeight w:val="584"/>
        </w:trPr>
        <w:tc>
          <w:tcPr>
            <w:tcW w:w="11280" w:type="dxa"/>
            <w:gridSpan w:val="2"/>
            <w:vMerge/>
            <w:shd w:val="clear" w:color="auto" w:fill="D0CECE" w:themeFill="background2" w:themeFillShade="E6"/>
            <w:vAlign w:val="center"/>
          </w:tcPr>
          <w:p w:rsidR="00BB72DE" w:rsidRPr="00092CD5" w:rsidRDefault="00BB72DE" w:rsidP="00D71E57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BB72DE" w:rsidRPr="00092CD5" w:rsidRDefault="00B53B97" w:rsidP="00D71E5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>№/27.3/28441-2021</w:t>
            </w:r>
          </w:p>
        </w:tc>
      </w:tr>
      <w:tr w:rsidR="00BB72DE" w:rsidRPr="00E07C4D" w:rsidTr="00352545">
        <w:trPr>
          <w:trHeight w:val="4310"/>
        </w:trPr>
        <w:tc>
          <w:tcPr>
            <w:tcW w:w="8185" w:type="dxa"/>
          </w:tcPr>
          <w:p w:rsidR="00BB72DE" w:rsidRPr="00092CD5" w:rsidRDefault="00B53B97" w:rsidP="00D71E57">
            <w:pPr>
              <w:spacing w:line="360" w:lineRule="auto"/>
              <w:ind w:firstLine="15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Հանրապետության կառավարության 2019 թվականի մարտի 7-ի N 184-Լ որոշման մեջ լրացում կատարելու մասին» ՀՀ կառավարության որոշման նախագծի կապակցությամբ հարկ ենք համարում նշել, որ հաշվի առնելով, որ ՀՀ կառավարության 20 մայիսի 2021 թվականի N 832-Լ որոշման ընդունմամբ արդեն իսկ վերացել է հավաստագրի պարտադիր պահանջը, իսկ մինչև դրա ընդունումը ծրագրի շրջանակներում դիմած, ֆինանսական կառույցների կողմից վարկավորված, սակայն ՀՀ էկոնոմիկայի նախարարության կողմից </w:t>
            </w: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հավաստագիր չստացած տնտեսվարողների կողմից հավաստագրի ներկայացման պարտադիր պահանջի անհրաժեշտությունը սույն Նախագծի ընդունմամբ վերանում է, առաջարկում ենք Նախագծով նաև ուժը կորցրած ճանաչել Հայաստանի Հանրապետության կառավարության 2019 թվականի մարտի 7-ի N 184-Լ որոշման 30-րդ կետը:</w:t>
            </w:r>
          </w:p>
        </w:tc>
        <w:tc>
          <w:tcPr>
            <w:tcW w:w="6855" w:type="dxa"/>
            <w:gridSpan w:val="2"/>
          </w:tcPr>
          <w:p w:rsidR="00F07E78" w:rsidRDefault="00154430" w:rsidP="00D71E57">
            <w:pPr>
              <w:spacing w:line="360" w:lineRule="auto"/>
              <w:ind w:firstLine="375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Չի </w:t>
            </w:r>
            <w:r w:rsidR="00B53B97" w:rsidRPr="00092CD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Ընդունվել </w:t>
            </w:r>
          </w:p>
          <w:p w:rsidR="00154430" w:rsidRPr="00154430" w:rsidRDefault="00154430" w:rsidP="00E07C4D">
            <w:pPr>
              <w:spacing w:line="360" w:lineRule="auto"/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 2019 թվականի մարտի 7-ի N 184-Լ որոշման 30-րդ կետը</w:t>
            </w:r>
            <w:r w:rsidRPr="001544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>ուժը կորցրած ճանաչել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65A58">
              <w:rPr>
                <w:rFonts w:ascii="GHEA Grapalat" w:hAnsi="GHEA Grapalat"/>
                <w:sz w:val="24"/>
                <w:szCs w:val="24"/>
                <w:lang w:val="hy-AM"/>
              </w:rPr>
              <w:t>պայմաններում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չի կարգավորվում 2021 թվականի ապրիլի 1-ից մինչև մայիսի 2</w:t>
            </w:r>
            <w:r w:rsidR="00165A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-ը (ՀՀ կա</w:t>
            </w:r>
            <w:r w:rsidR="00E07C4D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ավարության 2021 թվականի մայիսի 20-ի </w:t>
            </w: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 xml:space="preserve">N 832-Լ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="00165A5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bookmarkStart w:id="0" w:name="_GoBack"/>
            <w:bookmarkEnd w:id="0"/>
            <w:r w:rsidR="00165A58">
              <w:rPr>
                <w:rFonts w:ascii="GHEA Grapalat" w:hAnsi="GHEA Grapalat"/>
                <w:sz w:val="24"/>
                <w:szCs w:val="24"/>
                <w:lang w:val="hy-AM"/>
              </w:rPr>
              <w:t>ան ուժի մեջ մ</w:t>
            </w:r>
            <w:r w:rsidR="004A074A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165A58">
              <w:rPr>
                <w:rFonts w:ascii="GHEA Grapalat" w:hAnsi="GHEA Grapalat"/>
                <w:sz w:val="24"/>
                <w:szCs w:val="24"/>
                <w:lang w:val="hy-AM"/>
              </w:rPr>
              <w:t>նելու օրը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) ծրագրին դիմած, ֆինանսական կազմակերպությունների կողմից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վարկավորված, սակայն Էկոնոմիկա</w:t>
            </w:r>
            <w:r w:rsidR="005A5E1E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նախարարության կողմից հավաստագիր չստացած շահառուների հավաստագրման գործընթացը։</w:t>
            </w:r>
          </w:p>
        </w:tc>
      </w:tr>
      <w:tr w:rsidR="00D6457E" w:rsidRPr="00092CD5" w:rsidTr="00B65F55">
        <w:trPr>
          <w:trHeight w:val="449"/>
        </w:trPr>
        <w:tc>
          <w:tcPr>
            <w:tcW w:w="1128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D6457E" w:rsidRPr="00092CD5" w:rsidRDefault="00B53B97" w:rsidP="00D71E5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ֆինանսների նախարարություն</w:t>
            </w: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D6457E" w:rsidRPr="00092CD5" w:rsidRDefault="00EF6F08" w:rsidP="00D71E5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</w:rPr>
              <w:t>17.09.2021</w:t>
            </w: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D6457E" w:rsidRPr="00092CD5" w:rsidTr="00B65F55">
        <w:trPr>
          <w:trHeight w:val="539"/>
        </w:trPr>
        <w:tc>
          <w:tcPr>
            <w:tcW w:w="11280" w:type="dxa"/>
            <w:gridSpan w:val="2"/>
            <w:vMerge/>
            <w:shd w:val="clear" w:color="auto" w:fill="D0CECE" w:themeFill="background2" w:themeFillShade="E6"/>
            <w:vAlign w:val="center"/>
          </w:tcPr>
          <w:p w:rsidR="00D6457E" w:rsidRPr="00092CD5" w:rsidRDefault="00D6457E" w:rsidP="00D71E5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D6457E" w:rsidRPr="00092CD5" w:rsidRDefault="00EF6F08" w:rsidP="00D71E5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Pr="00092CD5">
              <w:rPr>
                <w:rFonts w:ascii="GHEA Grapalat" w:hAnsi="GHEA Grapalat"/>
                <w:sz w:val="24"/>
                <w:szCs w:val="24"/>
              </w:rPr>
              <w:t>01/29/14857-2021</w:t>
            </w:r>
          </w:p>
        </w:tc>
      </w:tr>
      <w:tr w:rsidR="00D6457E" w:rsidRPr="00E07C4D" w:rsidTr="00D83B73">
        <w:trPr>
          <w:trHeight w:val="1430"/>
        </w:trPr>
        <w:tc>
          <w:tcPr>
            <w:tcW w:w="8185" w:type="dxa"/>
            <w:shd w:val="clear" w:color="auto" w:fill="FFFFFF" w:themeFill="background1"/>
          </w:tcPr>
          <w:p w:rsidR="00EF6F08" w:rsidRPr="00092CD5" w:rsidRDefault="00EF6F08" w:rsidP="00EF6F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157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Ի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պատասխան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Ձեր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31.08.2021թ.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թիվ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01/12769-2021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գրության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՝ «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Հայաստանի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Հանրապետության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կառավարության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2019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մարտի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7-ի N 184-Լ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որոշման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մեջ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լրացում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կատարելու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մասին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» ՀՀ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կառավարության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որոշման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նախագծի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այսուհետ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՝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Նախագիծ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վերաբերյալ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հայտնում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ենք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հետևյալը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. </w:t>
            </w:r>
          </w:p>
          <w:p w:rsidR="00EF6F08" w:rsidRPr="00092CD5" w:rsidRDefault="00EF6F08" w:rsidP="00EF6F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157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ab/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Նախագծով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առաջարկվում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է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Գյուղատնտեսության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ոլորտին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տրամադրվող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վարկերի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տոկոսադրույքների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սուբսիդավորման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ծրագրով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Ծրագիր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նախատեսել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դրույթ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առ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այն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մինչև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2021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ապրիլի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1-ը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Ծրագրին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դիմած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վարկավորված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սակայն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հավաստագիր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չստացած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տնտեսավարողների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հավաստագրի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առկայության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lastRenderedPageBreak/>
              <w:t>նախապայմանը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2021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հոկտեմբերի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1-ից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հետո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ֆինանսական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կառույցների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կողմից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չի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կիրառվում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: </w:t>
            </w:r>
          </w:p>
          <w:p w:rsidR="00EF6F08" w:rsidRPr="00092CD5" w:rsidRDefault="00EF6F08" w:rsidP="00EF6F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157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Հատկանշական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է,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ՀՀ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կառավարության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2021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մայիսի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20-ի N 832-Լ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որոշմամբ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արդեն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իսկ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վերացվել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է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հավաստագրի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պարտադիր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պահանջի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նախապայմանը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՝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դրա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գործողությունը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տարածելով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միայն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մինչև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2021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ապրիլի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1-ը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Ծրագրին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դիմած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վարկավորված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տնտեսավարողների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վրա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Ընդ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նույն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որոշմամբ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ուժը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կորցրած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է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ճանաչվել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դրույթն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առ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այն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Ծրագրի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մոնիթորինգն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իրականացնում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է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Էկոնոմիկայի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նախարարությունը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վարկառու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տնտեսավարող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սուբյեկտներում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ուսումնասիրություններ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իրականացնելով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Նշված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փոփոխությունների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անհրաժեշտությունը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հիմնավորվում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է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արտակարգ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ռազմական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դրությամբ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ինչպես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նաև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ռեսուրսների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սահմանափակ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լինելով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:</w:t>
            </w:r>
          </w:p>
          <w:p w:rsidR="00EF6F08" w:rsidRPr="00092CD5" w:rsidRDefault="00EF6F08" w:rsidP="00EF6F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157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Վերոգրյալի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կապակցությամբ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գտնում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ենք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Ծրագրի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շահառու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հանդիսացող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տնտեսավարողների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պետք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է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ապահովվեն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հավասար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ոչ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խտրական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պայմաններ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՝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անկախ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դիմելու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ժամկետներից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մինչև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2021թ.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ապրիլի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1-ը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դրանից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հետո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):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Ուստի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ստեղծված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պայմաններում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ընդունելի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ենք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Նախագծով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նախատեսված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կարգավորումը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: </w:t>
            </w:r>
          </w:p>
          <w:p w:rsidR="00D6457E" w:rsidRPr="00092CD5" w:rsidRDefault="00EF6F08" w:rsidP="00EF6F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157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Միևնույն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ժամանակ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առաջարկվող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մոտեցման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կապակցությամբ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հիմնավոր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որոշում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կայացնելու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նպատակով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անհրաժեշտ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ենք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lastRenderedPageBreak/>
              <w:t>հստակեցնել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թե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ինչ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ազդեցություն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է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ունեցել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հավաստագրի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ինստիտուտը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Ծրագրի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շրջանակներում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իրականացվող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գործընթացների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վրա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ինչ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ռիսկերի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մեղմմանը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/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զսպմանն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է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այն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կոչված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եղել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, և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արդյոք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հավաստագրի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պահանջի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չեղարկման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դեպքում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ապահովվում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են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նշված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ռիսկերի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կառավարման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անհրաժեշտ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կառուցակարգեր</w:t>
            </w:r>
            <w:proofErr w:type="spellEnd"/>
            <w:r w:rsidRPr="00092CD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:</w:t>
            </w:r>
          </w:p>
        </w:tc>
        <w:tc>
          <w:tcPr>
            <w:tcW w:w="6855" w:type="dxa"/>
            <w:gridSpan w:val="2"/>
            <w:shd w:val="clear" w:color="auto" w:fill="FFFFFF" w:themeFill="background1"/>
          </w:tcPr>
          <w:p w:rsidR="00D6457E" w:rsidRPr="00092CD5" w:rsidRDefault="00165A58" w:rsidP="00EF6F0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</w:t>
            </w:r>
            <w:r w:rsidR="00154430" w:rsidRPr="00092CD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ասամբ </w:t>
            </w:r>
            <w:r w:rsidRPr="00092CD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է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="00CE2D2C" w:rsidRPr="00092CD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նդունվել </w:t>
            </w:r>
          </w:p>
          <w:p w:rsidR="00154430" w:rsidRPr="00092CD5" w:rsidRDefault="002F01E1" w:rsidP="00B409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CD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կառավարության 2019 թվականի մարտի 7-ի N 184-Լ որոշմամբ հաստատված </w:t>
            </w:r>
            <w:r w:rsidRPr="00092CD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Գյուղատնտեսության ոլորտին տրամադրվող վարկերի տոկոսադրույքների սուբսիդավորման ծրագրի շահառուները հավաստագիր ստանում </w:t>
            </w:r>
            <w:r w:rsidR="00092CD5" w:rsidRPr="00092CD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էին</w:t>
            </w:r>
            <w:r w:rsidRPr="00092CD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կազմակերպվող ուսուցողական դասընթացներին մասնակցելու արդյունքում, իսկ դասընթացները սկսվում </w:t>
            </w:r>
            <w:r w:rsidR="00092CD5" w:rsidRPr="00092CD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էին</w:t>
            </w:r>
            <w:r w:rsidRPr="00092CD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տարբեր ոլորտներ նախընտրած շահառուների խումբը ձևավորվելուց հետո։ </w:t>
            </w:r>
            <w:r w:rsidR="00165A5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Ռեսուրսների սահմանափակ լինելու պատճառով </w:t>
            </w:r>
            <w:r w:rsidR="00165A5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դասընթացների կազմակերպման հարցում առաջանում էին խնդիրներ։</w:t>
            </w:r>
            <w:r w:rsidRPr="00092CD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="0035254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Ինչ վերաբերում է հավաստագրման գործիքի միջոցով ռիսկերի </w:t>
            </w:r>
            <w:r w:rsidR="00165A5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մեղմ</w:t>
            </w:r>
            <w:r w:rsidR="0035254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մանը կամ զսպմանը, ապա ծրագրի շրջանակում կազմակերպվող </w:t>
            </w:r>
            <w:r w:rsidR="00ED01D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երկօրյա </w:t>
            </w:r>
            <w:r w:rsidR="00CD36AB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դասընթացը </w:t>
            </w:r>
            <w:r w:rsidR="00ED01D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տնտեսավարողներին </w:t>
            </w:r>
            <w:r w:rsidR="00CD36AB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տալիս էր </w:t>
            </w:r>
            <w:r w:rsidR="00ED01D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գյուղատնտեսության ոլորտի ընդհանրական գիտել</w:t>
            </w:r>
            <w:r w:rsidR="00CD36AB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իքներ, իսկ  </w:t>
            </w:r>
            <w:r w:rsidR="00CD36AB" w:rsidRPr="00CD36AB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դասընթացի երկրորդ օրը </w:t>
            </w:r>
            <w:r w:rsidR="00CD36AB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տնտեսավարողները պետք է ներկայացնեին ծրագրի շրջանակում </w:t>
            </w:r>
            <w:r w:rsidR="00CD36AB" w:rsidRPr="00CD36AB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վարկի նպատակային օգտագործման վերաբերյալ տնտեսական հաշվարկներ</w:t>
            </w:r>
            <w:r w:rsidR="00CD36AB">
              <w:rPr>
                <w:rFonts w:ascii="GHEA Grapalat" w:hAnsi="GHEA Grapalat" w:cs="Arial"/>
                <w:lang w:val="hy-AM"/>
              </w:rPr>
              <w:t>։</w:t>
            </w:r>
            <w:r w:rsidR="00165A58">
              <w:rPr>
                <w:rFonts w:ascii="GHEA Grapalat" w:hAnsi="GHEA Grapalat" w:cs="Arial"/>
                <w:lang w:val="hy-AM"/>
              </w:rPr>
              <w:t xml:space="preserve"> Ծ</w:t>
            </w:r>
            <w:r w:rsidR="00154430" w:rsidRPr="007F4C20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րագրի 19-րդ կետով </w:t>
            </w:r>
            <w:r w:rsidR="00165A5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նպատակային օգտագործման հսկողությունը վերապահված է </w:t>
            </w:r>
            <w:r w:rsidR="00154430" w:rsidRPr="007F4C20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ֆինանսական կառույցի</w:t>
            </w:r>
            <w:r w:rsidR="00165A5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ն, որը </w:t>
            </w:r>
            <w:r w:rsidR="00165A58" w:rsidRPr="007F4C20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վարկի տրամադրումից հետո</w:t>
            </w:r>
            <w:r w:rsidR="00154430" w:rsidRPr="007F4C20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վեցամսյա ժամկետում իրականացվում է նպատակային մոնիթորինգ։</w:t>
            </w:r>
          </w:p>
        </w:tc>
      </w:tr>
    </w:tbl>
    <w:p w:rsidR="00BB72DE" w:rsidRPr="00092CD5" w:rsidRDefault="00B20DBB" w:rsidP="00CD36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</w:t>
      </w:r>
    </w:p>
    <w:sectPr w:rsidR="00BB72DE" w:rsidRPr="00092CD5" w:rsidSect="00352545">
      <w:pgSz w:w="16838" w:h="11906" w:orient="landscape"/>
      <w:pgMar w:top="630" w:right="650" w:bottom="540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DE"/>
    <w:rsid w:val="00022A18"/>
    <w:rsid w:val="00047FC5"/>
    <w:rsid w:val="00092CD5"/>
    <w:rsid w:val="00096BD7"/>
    <w:rsid w:val="000E2F21"/>
    <w:rsid w:val="00120B08"/>
    <w:rsid w:val="0014508F"/>
    <w:rsid w:val="00154430"/>
    <w:rsid w:val="00165A58"/>
    <w:rsid w:val="002347BD"/>
    <w:rsid w:val="00261E9E"/>
    <w:rsid w:val="002F01E1"/>
    <w:rsid w:val="00345AA3"/>
    <w:rsid w:val="00352545"/>
    <w:rsid w:val="00365FF8"/>
    <w:rsid w:val="003D571D"/>
    <w:rsid w:val="004A074A"/>
    <w:rsid w:val="004D2FBC"/>
    <w:rsid w:val="005A5E1E"/>
    <w:rsid w:val="00607FFA"/>
    <w:rsid w:val="006441E8"/>
    <w:rsid w:val="00703A06"/>
    <w:rsid w:val="0071506A"/>
    <w:rsid w:val="00742666"/>
    <w:rsid w:val="00757583"/>
    <w:rsid w:val="00764A28"/>
    <w:rsid w:val="007F4C20"/>
    <w:rsid w:val="008764D8"/>
    <w:rsid w:val="008F73AA"/>
    <w:rsid w:val="009F01CD"/>
    <w:rsid w:val="00A566EC"/>
    <w:rsid w:val="00AA76FF"/>
    <w:rsid w:val="00B20DBB"/>
    <w:rsid w:val="00B4098B"/>
    <w:rsid w:val="00B53B97"/>
    <w:rsid w:val="00B65F55"/>
    <w:rsid w:val="00BB72DE"/>
    <w:rsid w:val="00CD36AB"/>
    <w:rsid w:val="00CE2D2C"/>
    <w:rsid w:val="00D6457E"/>
    <w:rsid w:val="00D71E57"/>
    <w:rsid w:val="00D83B73"/>
    <w:rsid w:val="00D91247"/>
    <w:rsid w:val="00E07C4D"/>
    <w:rsid w:val="00E66902"/>
    <w:rsid w:val="00ED01D5"/>
    <w:rsid w:val="00EF6F08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65D9"/>
  <w15:chartTrackingRefBased/>
  <w15:docId w15:val="{84B87EE4-25B3-496E-BECC-FB3EAFD3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A566EC"/>
    <w:pPr>
      <w:keepNext/>
      <w:spacing w:after="0" w:line="240" w:lineRule="auto"/>
      <w:ind w:firstLine="720"/>
      <w:outlineLvl w:val="7"/>
    </w:pPr>
    <w:rPr>
      <w:rFonts w:ascii="Times Armenian" w:eastAsia="Times New Roman" w:hAnsi="Times Armeni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B72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72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qFormat/>
    <w:rsid w:val="0076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A566EC"/>
    <w:rPr>
      <w:rFonts w:ascii="Times Armenian" w:eastAsia="Times New Roman" w:hAnsi="Times Armenian" w:cs="Times New Roman"/>
      <w:sz w:val="24"/>
      <w:szCs w:val="20"/>
      <w:lang w:val="en-GB"/>
    </w:rPr>
  </w:style>
  <w:style w:type="character" w:customStyle="1" w:styleId="NormalWebChar">
    <w:name w:val="Normal (Web) Char"/>
    <w:link w:val="NormalWeb"/>
    <w:uiPriority w:val="99"/>
    <w:rsid w:val="00A566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>https://mul2-mineconomy.gov.am/tasks/220817/oneclick/Ampopatert.docx?token=d13453c4741924ddde3c1946386b5891</cp:keywords>
  <dc:description/>
  <cp:lastModifiedBy>Sona Grigoryan</cp:lastModifiedBy>
  <cp:revision>30</cp:revision>
  <cp:lastPrinted>2021-09-23T17:13:00Z</cp:lastPrinted>
  <dcterms:created xsi:type="dcterms:W3CDTF">2021-04-23T06:40:00Z</dcterms:created>
  <dcterms:modified xsi:type="dcterms:W3CDTF">2021-09-23T19:36:00Z</dcterms:modified>
</cp:coreProperties>
</file>