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hd w:val="clear" w:fill="FFFFFF"/>
        <w:spacing w:before="0" w:after="0"/>
        <w:ind w:left="0" w:right="0" w:firstLine="375"/>
        <w:jc w:val="center"/>
        <w:rPr/>
      </w:pPr>
      <w:r>
        <w:rPr>
          <w:rStyle w:val="Strong"/>
          <w:rFonts w:ascii="GHEA Grapalat" w:hAnsi="GHEA Grapalat"/>
        </w:rPr>
        <w:t>ԱՄՓՈՓԱԹԵՐԹ</w:t>
      </w:r>
    </w:p>
    <w:p>
      <w:pPr>
        <w:pStyle w:val="NormalWeb"/>
        <w:shd w:val="clear" w:fill="FFFFFF"/>
        <w:spacing w:before="0" w:after="0"/>
        <w:ind w:left="0" w:right="0" w:firstLine="375"/>
        <w:jc w:val="center"/>
        <w:rPr/>
      </w:pPr>
      <w:r>
        <w:rPr>
          <w:rFonts w:cs="Sylfaen" w:ascii="GHEA Grapalat" w:hAnsi="GHEA Grapalat"/>
          <w:b/>
          <w:bCs/>
          <w:sz w:val="24"/>
          <w:szCs w:val="24"/>
          <w:lang w:val="hy-AM"/>
        </w:rPr>
        <w:t>««ՀԱՅԱՍՏԱՆԻ</w:t>
      </w:r>
      <w:r>
        <w:rPr>
          <w:rFonts w:cs="Sylfaen" w:ascii="GHEA Grapalat" w:hAnsi="GHEA Grapalat"/>
          <w:b/>
          <w:bCs/>
          <w:sz w:val="24"/>
          <w:szCs w:val="24"/>
          <w:lang w:val="af-ZA"/>
        </w:rPr>
        <w:t xml:space="preserve"> </w:t>
      </w:r>
      <w:r>
        <w:rPr>
          <w:rFonts w:cs="Sylfaen" w:ascii="GHEA Grapalat" w:hAnsi="GHEA Grapalat"/>
          <w:b/>
          <w:bCs/>
          <w:sz w:val="24"/>
          <w:szCs w:val="24"/>
          <w:lang w:val="hy-AM"/>
        </w:rPr>
        <w:t>ՀԱՆՐԱՊԵՏՈՒԹՅԱՆ</w:t>
      </w:r>
      <w:r>
        <w:rPr>
          <w:rFonts w:cs="Sylfaen" w:ascii="GHEA Grapalat" w:hAnsi="GHEA Grapalat"/>
          <w:b/>
          <w:bCs/>
          <w:sz w:val="24"/>
          <w:szCs w:val="24"/>
          <w:lang w:val="af-ZA"/>
        </w:rPr>
        <w:t xml:space="preserve"> 2</w:t>
      </w:r>
      <w:r>
        <w:rPr>
          <w:rFonts w:cs="Sylfaen" w:ascii="GHEA Grapalat" w:hAnsi="GHEA Grapalat"/>
          <w:b/>
          <w:bCs/>
          <w:sz w:val="24"/>
          <w:szCs w:val="24"/>
          <w:lang w:val="hy-AM"/>
        </w:rPr>
        <w:t>02</w:t>
      </w:r>
      <w:r>
        <w:rPr>
          <w:rFonts w:cs="Sylfaen" w:ascii="GHEA Grapalat" w:hAnsi="GHEA Grapalat"/>
          <w:b/>
          <w:bCs/>
          <w:sz w:val="24"/>
          <w:szCs w:val="24"/>
          <w:lang w:val="af-ZA"/>
        </w:rPr>
        <w:t>1 ԹՎԱԿԱՆԻ ՊԵՏԱԿԱՆ ԲՅՈՒՋԵ</w:t>
      </w:r>
      <w:r>
        <w:rPr>
          <w:rFonts w:cs="Sylfaen" w:ascii="GHEA Grapalat" w:hAnsi="GHEA Grapalat"/>
          <w:b/>
          <w:bCs/>
          <w:sz w:val="24"/>
          <w:szCs w:val="24"/>
          <w:lang w:val="hy-AM"/>
        </w:rPr>
        <w:t>Ի ՄԱՍԻՆ» ՕՐԵՆՔՈՒՄ</w:t>
      </w:r>
      <w:r>
        <w:rPr>
          <w:rFonts w:cs="Sylfaen" w:ascii="GHEA Grapalat" w:hAnsi="GHEA Grapalat"/>
          <w:b/>
          <w:bCs/>
          <w:sz w:val="24"/>
          <w:szCs w:val="24"/>
          <w:lang w:val="af-ZA"/>
        </w:rPr>
        <w:t xml:space="preserve"> </w:t>
      </w:r>
      <w:r>
        <w:rPr>
          <w:rFonts w:cs="Sylfaen" w:ascii="GHEA Grapalat" w:hAnsi="GHEA Grapalat"/>
          <w:b/>
          <w:bCs/>
          <w:sz w:val="24"/>
          <w:szCs w:val="24"/>
          <w:lang w:val="hy-AM"/>
        </w:rPr>
        <w:t xml:space="preserve">ՎԵՐԱԲԱՇԽՈՒՄ ԵՎ </w:t>
      </w:r>
      <w:r>
        <w:rPr>
          <w:rFonts w:cs="Sylfaen" w:ascii="GHEA Grapalat" w:hAnsi="GHEA Grapalat"/>
          <w:b/>
          <w:bCs/>
          <w:sz w:val="24"/>
          <w:szCs w:val="24"/>
          <w:lang w:val="af-ZA"/>
        </w:rPr>
        <w:t xml:space="preserve">ՀԱՅԱՍՏԱՆԻ ՀԱՆՐԱՊԵՏՈՒԹՅԱՆ  </w:t>
      </w:r>
      <w:r>
        <w:rPr>
          <w:rFonts w:cs="Sylfaen" w:ascii="GHEA Grapalat" w:hAnsi="GHEA Grapalat"/>
          <w:b/>
          <w:bCs/>
          <w:sz w:val="24"/>
          <w:szCs w:val="24"/>
          <w:lang w:val="hy-AM"/>
        </w:rPr>
        <w:t>ԿԱՌԱՎԱՐՈՒԹՅԱՆ</w:t>
      </w:r>
      <w:r>
        <w:rPr>
          <w:rFonts w:cs="Sylfaen" w:ascii="GHEA Grapalat" w:hAnsi="GHEA Grapalat"/>
          <w:b/>
          <w:bCs/>
          <w:sz w:val="24"/>
          <w:szCs w:val="24"/>
          <w:lang w:val="af-ZA"/>
        </w:rPr>
        <w:t xml:space="preserve"> 2020 </w:t>
      </w:r>
      <w:r>
        <w:rPr>
          <w:rFonts w:cs="Sylfaen" w:ascii="GHEA Grapalat" w:hAnsi="GHEA Grapalat"/>
          <w:b/>
          <w:bCs/>
          <w:sz w:val="24"/>
          <w:szCs w:val="24"/>
          <w:lang w:val="hy-AM"/>
        </w:rPr>
        <w:t>ԹՎԱԿԱՆԻ</w:t>
      </w:r>
      <w:r>
        <w:rPr>
          <w:rFonts w:cs="Sylfaen" w:ascii="GHEA Grapalat" w:hAnsi="GHEA Grapalat"/>
          <w:b/>
          <w:bCs/>
          <w:sz w:val="24"/>
          <w:szCs w:val="24"/>
          <w:lang w:val="af-ZA"/>
        </w:rPr>
        <w:t xml:space="preserve"> </w:t>
      </w:r>
      <w:r>
        <w:rPr>
          <w:rFonts w:cs="Sylfaen" w:ascii="GHEA Grapalat" w:hAnsi="GHEA Grapalat"/>
          <w:b/>
          <w:bCs/>
          <w:sz w:val="24"/>
          <w:szCs w:val="24"/>
          <w:lang w:val="hy-AM"/>
        </w:rPr>
        <w:t>ԴԵԿՏԵՄԲԵՐԻ</w:t>
      </w:r>
      <w:r>
        <w:rPr>
          <w:rFonts w:cs="Sylfaen" w:ascii="GHEA Grapalat" w:hAnsi="GHEA Grapalat"/>
          <w:b/>
          <w:bCs/>
          <w:sz w:val="24"/>
          <w:szCs w:val="24"/>
          <w:lang w:val="af-ZA"/>
        </w:rPr>
        <w:t xml:space="preserve"> 30-</w:t>
      </w:r>
      <w:r>
        <w:rPr>
          <w:rFonts w:cs="Sylfaen" w:ascii="GHEA Grapalat" w:hAnsi="GHEA Grapalat"/>
          <w:b/>
          <w:bCs/>
          <w:sz w:val="24"/>
          <w:szCs w:val="24"/>
          <w:lang w:val="hy-AM"/>
        </w:rPr>
        <w:t>Ի</w:t>
      </w:r>
      <w:r>
        <w:rPr>
          <w:rFonts w:cs="Sylfaen" w:ascii="GHEA Grapalat" w:hAnsi="GHEA Grapalat"/>
          <w:b/>
          <w:bCs/>
          <w:sz w:val="24"/>
          <w:szCs w:val="24"/>
          <w:lang w:val="af-ZA"/>
        </w:rPr>
        <w:t xml:space="preserve"> N 2215-</w:t>
      </w:r>
      <w:r>
        <w:rPr>
          <w:rFonts w:cs="Sylfaen" w:ascii="GHEA Grapalat" w:hAnsi="GHEA Grapalat"/>
          <w:b/>
          <w:bCs/>
          <w:sz w:val="24"/>
          <w:szCs w:val="24"/>
          <w:lang w:val="hy-AM"/>
        </w:rPr>
        <w:t>Ն</w:t>
      </w:r>
      <w:r>
        <w:rPr>
          <w:rFonts w:cs="Sylfaen" w:ascii="GHEA Grapalat" w:hAnsi="GHEA Grapalat"/>
          <w:b/>
          <w:bCs/>
          <w:sz w:val="24"/>
          <w:szCs w:val="24"/>
          <w:lang w:val="af-ZA"/>
        </w:rPr>
        <w:t xml:space="preserve"> </w:t>
      </w:r>
      <w:r>
        <w:rPr>
          <w:rFonts w:cs="Sylfaen" w:ascii="GHEA Grapalat" w:hAnsi="GHEA Grapalat"/>
          <w:b/>
          <w:bCs/>
          <w:sz w:val="24"/>
          <w:szCs w:val="24"/>
          <w:lang w:val="hy-AM"/>
        </w:rPr>
        <w:t>ՈՐՈՇՄԱՆ</w:t>
      </w:r>
      <w:r>
        <w:rPr>
          <w:rFonts w:cs="Sylfaen" w:ascii="GHEA Grapalat" w:hAnsi="GHEA Grapalat"/>
          <w:b/>
          <w:bCs/>
          <w:sz w:val="24"/>
          <w:szCs w:val="24"/>
          <w:lang w:val="af-ZA"/>
        </w:rPr>
        <w:t xml:space="preserve"> ՄԵՋ ՓՈՓՈԽՈՒԹՅՈՒՆՆԵՐ </w:t>
      </w:r>
      <w:r>
        <w:rPr>
          <w:rFonts w:cs="Sylfaen" w:ascii="GHEA Grapalat" w:hAnsi="GHEA Grapalat"/>
          <w:b/>
          <w:bCs/>
          <w:sz w:val="24"/>
          <w:szCs w:val="24"/>
          <w:lang w:val="hy-AM"/>
        </w:rPr>
        <w:t xml:space="preserve">ՈՒ ԼՐԱՑՈՒՄՆԵՐ </w:t>
      </w:r>
      <w:r>
        <w:rPr>
          <w:rFonts w:cs="Sylfaen" w:ascii="GHEA Grapalat" w:hAnsi="GHEA Grapalat"/>
          <w:b/>
          <w:bCs/>
          <w:sz w:val="24"/>
          <w:szCs w:val="24"/>
          <w:lang w:val="af-ZA"/>
        </w:rPr>
        <w:t>ԿԱ</w:t>
      </w:r>
      <w:r>
        <w:rPr>
          <w:rFonts w:cs="Sylfaen" w:ascii="GHEA Grapalat" w:hAnsi="GHEA Grapalat"/>
          <w:b/>
          <w:bCs/>
          <w:sz w:val="24"/>
          <w:szCs w:val="24"/>
          <w:lang w:val="hy-AM"/>
        </w:rPr>
        <w:t xml:space="preserve">ՏԱՐԵԼՈՒ   </w:t>
      </w:r>
      <w:r>
        <w:rPr>
          <w:rFonts w:cs="Sylfaen" w:ascii="GHEA Grapalat" w:hAnsi="GHEA Grapalat"/>
          <w:b/>
          <w:bCs/>
          <w:sz w:val="24"/>
          <w:szCs w:val="24"/>
          <w:lang w:val="af-ZA"/>
        </w:rPr>
        <w:t>ՄԱՍԻՆ»</w:t>
      </w:r>
      <w:r>
        <w:rPr>
          <w:rFonts w:cs="Sylfaen" w:ascii="GHEA Grapalat" w:hAnsi="GHEA Grapalat"/>
          <w:b/>
          <w:sz w:val="24"/>
          <w:szCs w:val="24"/>
          <w:lang w:val="af-ZA"/>
        </w:rPr>
        <w:t xml:space="preserve"> </w:t>
      </w:r>
      <w:r>
        <w:rPr>
          <w:rFonts w:ascii="GHEA Grapalat" w:hAnsi="GHEA Grapalat"/>
          <w:b/>
          <w:sz w:val="24"/>
          <w:szCs w:val="24"/>
          <w:lang w:val="hy-AM"/>
        </w:rPr>
        <w:t xml:space="preserve"> </w:t>
      </w:r>
      <w:r>
        <w:rPr>
          <w:rFonts w:ascii="GHEA Grapalat" w:hAnsi="GHEA Grapalat"/>
          <w:b/>
          <w:sz w:val="24"/>
          <w:szCs w:val="24"/>
          <w:lang w:val="af-ZA"/>
        </w:rPr>
        <w:t xml:space="preserve">ՀԱՅԱՍՏԱՆԻ ՀԱՆՐԱՊԵՏՈՒԹՅԱՆ ԿԱՌԱՎԱՐՈՒԹՅԱՆ </w:t>
      </w:r>
      <w:r>
        <w:rPr>
          <w:rStyle w:val="Strong"/>
          <w:rFonts w:ascii="GHEA Grapalat" w:hAnsi="GHEA Grapalat"/>
          <w:sz w:val="24"/>
          <w:szCs w:val="24"/>
          <w:lang w:val="hy-AM"/>
        </w:rPr>
        <w:t>ՈՐՈՇՄԱՆ ՆԱԽԱԳԾԻ ՎԵՐԱԲԵՐՅԱԼ  ՇԱՀԱԳՐԳԻՌ ՄԱՐՄԻՆՆԵՐԻՑ ՍՏԱՑՎԱԾ ԱՌԱՋԱՐԿՈՒԹՅՈՒՆՆԵՐԻ ՎԵՐԱԲԵՐՅԱԼ</w:t>
      </w:r>
    </w:p>
    <w:p>
      <w:pPr>
        <w:pStyle w:val="NormalWeb"/>
        <w:shd w:val="clear" w:fill="FFFFFF"/>
        <w:spacing w:before="0" w:after="0"/>
        <w:ind w:left="0" w:right="0" w:firstLine="375"/>
        <w:jc w:val="center"/>
        <w:rPr>
          <w:rFonts w:ascii="GHEA Grapalat" w:hAnsi="GHEA Grapalat"/>
          <w:b/>
          <w:b/>
          <w:bCs/>
        </w:rPr>
      </w:pPr>
      <w:r>
        <w:rPr>
          <w:rFonts w:ascii="GHEA Grapalat" w:hAnsi="GHEA Grapalat"/>
          <w:b/>
          <w:bCs/>
        </w:rPr>
      </w:r>
    </w:p>
    <w:tbl>
      <w:tblPr>
        <w:tblW w:w="13605" w:type="dxa"/>
        <w:jc w:val="left"/>
        <w:tblInd w:w="108" w:type="dxa"/>
        <w:tblCellMar>
          <w:top w:w="0" w:type="dxa"/>
          <w:left w:w="108" w:type="dxa"/>
          <w:bottom w:w="0" w:type="dxa"/>
          <w:right w:w="108" w:type="dxa"/>
        </w:tblCellMar>
      </w:tblPr>
      <w:tblGrid>
        <w:gridCol w:w="561"/>
        <w:gridCol w:w="8169"/>
        <w:gridCol w:w="2118"/>
        <w:gridCol w:w="2757"/>
      </w:tblGrid>
      <w:tr>
        <w:trPr>
          <w:trHeight w:val="557" w:hRule="atLeast"/>
        </w:trPr>
        <w:tc>
          <w:tcPr>
            <w:tcW w:w="10848" w:type="dxa"/>
            <w:gridSpan w:val="3"/>
            <w:vMerge w:val="restart"/>
            <w:tcBorders>
              <w:top w:val="single" w:sz="4" w:space="0" w:color="000000"/>
              <w:left w:val="single" w:sz="4" w:space="0" w:color="000000"/>
              <w:bottom w:val="single" w:sz="4" w:space="0" w:color="000000"/>
              <w:right w:val="single" w:sz="4" w:space="0" w:color="000000"/>
            </w:tcBorders>
            <w:shd w:fill="BFBFBF" w:val="clear"/>
          </w:tcPr>
          <w:p>
            <w:pPr>
              <w:pStyle w:val="Normal"/>
              <w:tabs>
                <w:tab w:val="clear" w:pos="720"/>
                <w:tab w:val="left" w:pos="3375" w:leader="none"/>
                <w:tab w:val="center" w:pos="5316" w:leader="none"/>
              </w:tabs>
              <w:spacing w:lineRule="auto" w:line="276" w:before="0" w:after="0"/>
              <w:rPr>
                <w:rFonts w:ascii="GHEA Grapalat" w:hAnsi="GHEA Grapalat" w:eastAsia="Times New Roman" w:cs="Times New Roman"/>
                <w:b/>
                <w:b/>
                <w:bCs/>
                <w:sz w:val="24"/>
                <w:szCs w:val="24"/>
                <w:lang w:val="af-ZA"/>
              </w:rPr>
            </w:pPr>
            <w:r>
              <w:rPr>
                <w:rFonts w:eastAsia="Times New Roman" w:cs="Times New Roman" w:ascii="GHEA Grapalat" w:hAnsi="GHEA Grapalat"/>
                <w:b/>
                <w:bCs/>
                <w:sz w:val="24"/>
                <w:szCs w:val="24"/>
                <w:lang w:val="af-ZA"/>
              </w:rPr>
              <w:tab/>
            </w:r>
          </w:p>
          <w:p>
            <w:pPr>
              <w:pStyle w:val="ListParagraph"/>
              <w:numPr>
                <w:ilvl w:val="0"/>
                <w:numId w:val="2"/>
              </w:numPr>
              <w:tabs>
                <w:tab w:val="clear" w:pos="720"/>
                <w:tab w:val="left" w:pos="3375" w:leader="none"/>
                <w:tab w:val="center" w:pos="5316" w:leader="none"/>
              </w:tabs>
              <w:spacing w:lineRule="auto" w:line="276" w:before="0" w:after="0"/>
              <w:contextualSpacing/>
              <w:rPr>
                <w:rFonts w:ascii="GHEA Grapalat" w:hAnsi="GHEA Grapalat" w:eastAsia="Times New Roman" w:cs="Times New Roman"/>
                <w:b/>
                <w:b/>
                <w:bCs/>
                <w:sz w:val="24"/>
                <w:szCs w:val="24"/>
              </w:rPr>
            </w:pPr>
            <w:r>
              <w:rPr>
                <w:rFonts w:eastAsia="Times New Roman" w:cs="Times New Roman" w:ascii="GHEA Grapalat" w:hAnsi="GHEA Grapalat"/>
                <w:b/>
                <w:bCs/>
                <w:sz w:val="24"/>
                <w:szCs w:val="24"/>
              </w:rPr>
              <w:t>ՀՀ ֆինանսների նախարարություն</w:t>
            </w:r>
          </w:p>
        </w:tc>
        <w:tc>
          <w:tcPr>
            <w:tcW w:w="2757" w:type="dxa"/>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76" w:before="0" w:after="0"/>
              <w:jc w:val="center"/>
              <w:rPr>
                <w:rFonts w:ascii="GHEA Grapalat" w:hAnsi="GHEA Grapalat" w:eastAsia="Times New Roman"/>
                <w:b/>
                <w:b/>
                <w:bCs/>
                <w:sz w:val="24"/>
                <w:szCs w:val="24"/>
                <w:lang w:val="hy-AM" w:eastAsia="ru-RU"/>
              </w:rPr>
            </w:pPr>
            <w:r>
              <w:rPr>
                <w:rFonts w:eastAsia="Times New Roman" w:ascii="GHEA Grapalat" w:hAnsi="GHEA Grapalat"/>
                <w:b/>
                <w:bCs/>
                <w:sz w:val="24"/>
                <w:szCs w:val="24"/>
                <w:lang w:val="hy-AM" w:eastAsia="ru-RU"/>
              </w:rPr>
              <w:t xml:space="preserve">30.08.2021թ․ </w:t>
            </w:r>
          </w:p>
        </w:tc>
      </w:tr>
      <w:tr>
        <w:trPr>
          <w:trHeight w:val="363" w:hRule="atLeast"/>
        </w:trPr>
        <w:tc>
          <w:tcPr>
            <w:tcW w:w="10848" w:type="dxa"/>
            <w:gridSpan w:val="3"/>
            <w:vMerge w:val="continue"/>
            <w:tcBorders>
              <w:top w:val="single" w:sz="4" w:space="0" w:color="000000"/>
              <w:left w:val="single" w:sz="4" w:space="0" w:color="000000"/>
              <w:bottom w:val="single" w:sz="4" w:space="0" w:color="000000"/>
              <w:right w:val="single" w:sz="4" w:space="0" w:color="000000"/>
            </w:tcBorders>
            <w:shd w:fill="BFBFBF" w:val="clear"/>
          </w:tcPr>
          <w:p>
            <w:pPr>
              <w:pStyle w:val="Normal"/>
              <w:widowControl/>
              <w:suppressAutoHyphens w:val="true"/>
              <w:bidi w:val="0"/>
              <w:spacing w:lineRule="auto" w:line="259" w:before="0" w:after="160"/>
              <w:jc w:val="left"/>
              <w:rPr/>
            </w:pPr>
            <w:r>
              <w:rPr/>
            </w:r>
          </w:p>
        </w:tc>
        <w:tc>
          <w:tcPr>
            <w:tcW w:w="2757" w:type="dxa"/>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76" w:before="0" w:after="0"/>
              <w:jc w:val="center"/>
              <w:rPr>
                <w:rFonts w:ascii="GHEA Grapalat" w:hAnsi="GHEA Grapalat" w:eastAsia="Times New Roman"/>
                <w:b/>
                <w:b/>
                <w:bCs/>
                <w:i w:val="false"/>
                <w:i w:val="false"/>
                <w:caps w:val="false"/>
                <w:smallCaps w:val="false"/>
                <w:color w:val="000000"/>
                <w:spacing w:val="0"/>
                <w:sz w:val="24"/>
                <w:szCs w:val="24"/>
                <w:lang w:val="hy-AM" w:eastAsia="ru-RU"/>
              </w:rPr>
            </w:pPr>
            <w:r>
              <w:rPr>
                <w:rFonts w:eastAsia="Times New Roman" w:ascii="GHEA Grapalat" w:hAnsi="GHEA Grapalat"/>
                <w:b/>
                <w:bCs/>
                <w:i w:val="false"/>
                <w:caps w:val="false"/>
                <w:smallCaps w:val="false"/>
                <w:color w:val="000000"/>
                <w:spacing w:val="0"/>
                <w:sz w:val="24"/>
                <w:szCs w:val="24"/>
                <w:lang w:val="hy-AM" w:eastAsia="ru-RU"/>
              </w:rPr>
              <w:t>01/8-1/13448-2021</w:t>
            </w:r>
          </w:p>
        </w:tc>
      </w:tr>
      <w:tr>
        <w:trPr>
          <w:trHeight w:val="70" w:hRule="atLeast"/>
        </w:trPr>
        <w:tc>
          <w:tcPr>
            <w:tcW w:w="561" w:type="dxa"/>
            <w:tcBorders>
              <w:top w:val="single" w:sz="4" w:space="0" w:color="000000"/>
              <w:left w:val="single" w:sz="4" w:space="0" w:color="000000"/>
              <w:bottom w:val="single" w:sz="4" w:space="0" w:color="000000"/>
              <w:right w:val="single" w:sz="4" w:space="0" w:color="000000"/>
            </w:tcBorders>
          </w:tcPr>
          <w:p>
            <w:pPr>
              <w:pStyle w:val="ListParagraph"/>
              <w:numPr>
                <w:ilvl w:val="0"/>
                <w:numId w:val="1"/>
              </w:numPr>
              <w:spacing w:lineRule="auto" w:line="276" w:before="0" w:after="0"/>
              <w:ind w:left="306" w:right="0" w:hanging="284"/>
              <w:contextualSpacing/>
              <w:rPr>
                <w:rFonts w:ascii="GHEA Grapalat" w:hAnsi="GHEA Grapalat"/>
                <w:sz w:val="24"/>
                <w:szCs w:val="24"/>
              </w:rPr>
            </w:pPr>
            <w:r>
              <w:rPr>
                <w:rFonts w:ascii="GHEA Grapalat" w:hAnsi="GHEA Grapalat"/>
                <w:sz w:val="24"/>
                <w:szCs w:val="24"/>
              </w:rPr>
            </w:r>
          </w:p>
        </w:tc>
        <w:tc>
          <w:tcPr>
            <w:tcW w:w="816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before="0" w:after="0"/>
              <w:ind w:left="0" w:right="0" w:firstLine="578"/>
              <w:jc w:val="both"/>
              <w:rPr>
                <w:rFonts w:ascii="GHEA Grapalat" w:hAnsi="GHEA Grapalat"/>
                <w:sz w:val="24"/>
                <w:szCs w:val="24"/>
                <w:lang w:val="hy-AM"/>
              </w:rPr>
            </w:pPr>
            <w:r>
              <w:rPr>
                <w:rFonts w:ascii="GHEA Grapalat" w:hAnsi="GHEA Grapalat"/>
                <w:sz w:val="24"/>
                <w:szCs w:val="24"/>
                <w:lang w:val="hy-AM"/>
              </w:rPr>
              <w:t>Հարգելի պարոն Խաչատուրյան</w:t>
            </w:r>
          </w:p>
          <w:p>
            <w:pPr>
              <w:pStyle w:val="Normal"/>
              <w:spacing w:lineRule="auto" w:line="360" w:before="0" w:after="0"/>
              <w:ind w:left="0" w:right="0" w:firstLine="578"/>
              <w:jc w:val="both"/>
              <w:rPr/>
            </w:pPr>
            <w:r>
              <w:rPr>
                <w:rFonts w:ascii="GHEA Grapalat" w:hAnsi="GHEA Grapalat"/>
                <w:sz w:val="24"/>
                <w:szCs w:val="24"/>
                <w:lang w:val="hy-AM"/>
              </w:rPr>
              <w:t>Ձեր 18.08.2021թ. N 01/16.1/4849-2021 գրությամբ ներկայացված «Հայաստանի Հանրապետության 2021 թվականի պետական բյուջեի մասին</w:t>
            </w:r>
            <w:r>
              <w:rPr>
                <w:rFonts w:ascii="GHEA Grapalat" w:hAnsi="GHEA Grapalat"/>
                <w:bCs/>
                <w:sz w:val="24"/>
                <w:szCs w:val="24"/>
                <w:lang w:val="hy-AM"/>
              </w:rPr>
              <w:t>»</w:t>
            </w:r>
            <w:r>
              <w:rPr>
                <w:rFonts w:ascii="GHEA Grapalat" w:hAnsi="GHEA Grapalat"/>
                <w:sz w:val="24"/>
                <w:szCs w:val="24"/>
                <w:lang w:val="hy-AM"/>
              </w:rPr>
              <w:t xml:space="preserve"> օրենքում վերաբաշխում և Հայաստանի Հանրապետության կառավարության 2020 թվականի դեկտեմբերի 30-ի </w:t>
            </w:r>
            <w:r>
              <w:rPr>
                <w:rFonts w:ascii="GHEA Grapalat" w:hAnsi="GHEA Grapalat"/>
                <w:sz w:val="24"/>
                <w:szCs w:val="24"/>
                <w:lang w:val="af-ZA"/>
              </w:rPr>
              <w:t>N 2215</w:t>
            </w:r>
            <w:r>
              <w:rPr>
                <w:rFonts w:ascii="GHEA Grapalat" w:hAnsi="GHEA Grapalat"/>
                <w:sz w:val="24"/>
                <w:szCs w:val="24"/>
                <w:lang w:val="hy-AM"/>
              </w:rPr>
              <w:t>-Ն որոշման մեջ փոփոխություններ ու լրա</w:t>
              <w:softHyphen/>
              <w:t>ցումներ կատարելու մասին» ՀՀ կառավարության որոշման նախագծի (այսուհետ՝ Նախագիծ) վերաբերյալ հայտնում ենք հետևյալը.</w:t>
            </w:r>
          </w:p>
          <w:p>
            <w:pPr>
              <w:pStyle w:val="Normal"/>
              <w:spacing w:lineRule="auto" w:line="360" w:before="0" w:after="0"/>
              <w:ind w:left="0" w:right="0" w:firstLine="578"/>
              <w:jc w:val="both"/>
              <w:rPr/>
            </w:pPr>
            <w:r>
              <w:rPr>
                <w:rFonts w:ascii="GHEA Grapalat" w:hAnsi="GHEA Grapalat"/>
                <w:sz w:val="24"/>
                <w:szCs w:val="24"/>
                <w:lang w:val="hy-AM"/>
              </w:rPr>
              <w:t>1. Նախագծով առ</w:t>
            </w:r>
            <w:r>
              <w:rPr>
                <w:rFonts w:ascii="GHEA Grapalat" w:hAnsi="GHEA Grapalat"/>
                <w:sz w:val="24"/>
                <w:szCs w:val="24"/>
                <w:lang w:val="af-ZA"/>
              </w:rPr>
              <w:t xml:space="preserve">աջարկվում է </w:t>
            </w:r>
            <w:r>
              <w:rPr>
                <w:rFonts w:ascii="GHEA Grapalat" w:hAnsi="GHEA Grapalat"/>
                <w:sz w:val="24"/>
                <w:szCs w:val="24"/>
                <w:lang w:val="hy-AM"/>
              </w:rPr>
              <w:t>1043 «Բարձր տեխնոլոգիական արդյունաբերության էկոհամակարգի և շուկայի զարգացման ծրագրի» 11006 «</w:t>
            </w:r>
            <w:r>
              <w:rPr>
                <w:rFonts w:eastAsia="Times New Roman" w:ascii="GHEA Grapalat" w:hAnsi="GHEA Grapalat"/>
                <w:sz w:val="24"/>
                <w:szCs w:val="24"/>
                <w:lang w:val="hy-AM"/>
              </w:rPr>
              <w:t>Հայկական վիրտուալ կամուրջ</w:t>
            </w:r>
            <w:r>
              <w:rPr>
                <w:rFonts w:ascii="GHEA Grapalat" w:hAnsi="GHEA Grapalat"/>
                <w:sz w:val="24"/>
                <w:szCs w:val="24"/>
                <w:lang w:val="hy-AM"/>
              </w:rPr>
              <w:t>» միջոցառումից 105.0 մլն դրամը նվազեցնել (համավարակով պայմանավորված սփյուռքահայ երիտասարդների Ներուժ միջոցառման իրականացման ռիսկայնությամբ պայմանավորված) և ուղղել նոր «Թվայնացման ծրագրին»՝ 11001 «Թվայնացման ստանդարտներ, ձևաչափերի և ընթացակարգերի մշակում» միջոցառմամբ (</w:t>
            </w:r>
            <w:r>
              <w:rPr>
                <w:rFonts w:cs="Arial" w:ascii="GHEA Grapalat" w:hAnsi="GHEA Grapalat"/>
                <w:sz w:val="24"/>
                <w:szCs w:val="24"/>
                <w:lang w:val="hy-AM"/>
              </w:rPr>
              <w:t>նախատեսվում է ձեռք բերել թվայնացման</w:t>
            </w:r>
            <w:r>
              <w:rPr>
                <w:rFonts w:ascii="GHEA Grapalat" w:hAnsi="GHEA Grapalat"/>
                <w:sz w:val="24"/>
                <w:szCs w:val="24"/>
                <w:lang w:val="hy-AM"/>
              </w:rPr>
              <w:t xml:space="preserve"> ստանդարտների մշակման ծառայություններ): Առաջարկը բխում է ՀՀ կառավարության 11.02.2021թ. N 183-Լ որոշմամբ հաստատված Հայաստանի թվայնացման ռազմավարությունից (այսուհետ՝ Ռազմավարություն) և նախատեսվում է իրականացնել Ռազմավարության 2-րդ հավելվածի 3-րդ (Թվայնացման ստանդարտներ, ձևաչափերի և ընթացակարգերի մշակում) և 4-րդ (Պետական ամպային ենթակառուցվածքային պահանջների/ստանդարտների մշակում) կետերով նախատեսված միջոցառումները: </w:t>
            </w:r>
          </w:p>
          <w:p>
            <w:pPr>
              <w:pStyle w:val="Normal"/>
              <w:spacing w:lineRule="auto" w:line="360" w:before="0" w:after="0"/>
              <w:ind w:left="0" w:right="0" w:firstLine="578"/>
              <w:jc w:val="both"/>
              <w:rPr/>
            </w:pPr>
            <w:r>
              <w:rPr>
                <w:rFonts w:ascii="GHEA Grapalat" w:hAnsi="GHEA Grapalat"/>
                <w:sz w:val="24"/>
                <w:szCs w:val="24"/>
                <w:lang w:val="hy-AM"/>
              </w:rPr>
              <w:t>Այդ կապակցությամբ նշենք, որ Ռազմավարության 2-րդ հավելվածի 1-ին (Թվայնացման ինստիտուցիոնալացում) միջոցառմամբ ակնկալվում էր թվայնացման մարմինների լիազորությունների, պարտականությունների և պատասխանատվությունների հստակեցում և նախարարությանը կից թվայնացման մասնագիտական մարմնի ձևավորում, պետական կարևոր համակարգերի սպասարկման և զարգացման կոորդինացում, իսկ 2-րդ (Թվայնացման ներկա համակարգերի գույքագրում և թվային ցուցանիշների վերլուծություն, թիրախային ցուցանիշների սահմանում) միջոցառմամբ՝  գործող և մշակվող թվային հարթակների և համակարգերի վերլուծություն, քանակական և որակական գնահատում, թվային ներկա վիճակի վերլուծություն, ցուցանիշների սահմանում և ներկա վիճակի գնահատում ըստ սահմանված ցուցանիշների, թիրախային ցուցանիշների սահմանում:</w:t>
            </w:r>
          </w:p>
          <w:p>
            <w:pPr>
              <w:pStyle w:val="Normal"/>
              <w:spacing w:lineRule="auto" w:line="360" w:before="0" w:after="0"/>
              <w:ind w:left="0" w:right="0" w:firstLine="578"/>
              <w:jc w:val="both"/>
              <w:rPr>
                <w:rFonts w:ascii="GHEA Grapalat" w:hAnsi="GHEA Grapalat"/>
                <w:sz w:val="24"/>
                <w:szCs w:val="24"/>
                <w:lang w:val="hy-AM"/>
              </w:rPr>
            </w:pPr>
            <w:r>
              <w:rPr>
                <w:rFonts w:ascii="GHEA Grapalat" w:hAnsi="GHEA Grapalat"/>
                <w:sz w:val="24"/>
                <w:szCs w:val="24"/>
                <w:lang w:val="hy-AM"/>
              </w:rPr>
              <w:t>Մինչդեռ Նախագծի հիմնավորմամբ վերոգրյալ միջոցառումների իրականացման և արդյունքների ապահովման առնչությամբ որևէ տեղեկատվություն առկա չէ:</w:t>
            </w:r>
          </w:p>
          <w:p>
            <w:pPr>
              <w:pStyle w:val="Normal"/>
              <w:spacing w:lineRule="auto" w:line="360" w:before="0" w:after="0"/>
              <w:ind w:left="0" w:right="0" w:firstLine="578"/>
              <w:jc w:val="both"/>
              <w:rPr/>
            </w:pPr>
            <w:r>
              <w:rPr>
                <w:rFonts w:ascii="GHEA Grapalat" w:hAnsi="GHEA Grapalat"/>
                <w:sz w:val="24"/>
                <w:szCs w:val="24"/>
                <w:lang w:val="hy-AM"/>
              </w:rPr>
              <w:t>Բացի այդ Ռազմավարության թվով 19  միջոցառումների ֆինանսավորման աղբյուրների և կանխատեսվող չափերի համաձայն, դրանց իրականացումը, դեռևս 9 միջոցառումների ֆինանսական գնահատականների բացակայության (ֆինանսավորման աղբյուրը՝ օրենքով չարգելված այլ միջոցներ) պարագայում կպահանջի 19.9 մլրդ դրամ, որից 105.0 մլն դրամը ՀՀ պետական բյուջեով, 2.83 մլրդ դրամը պետական բյուջեի միջոցներով կամ օրենքով չարգելված այլ միջոցներով, իսկ 17.0 մլրդ դրամը՝ օրենքով չարգելված այլ միջոցներով: Ընդ որում 19 միջոցառումներից 17-ը նախատեսված է իրականացնել 2021-2023թթ., մինչդեռ Ռազմավարությամբ նախատեսված ոչ բյուջետային միջոցների ներգրավման հեռանկարների, ներգրավվող միջոցները տրամադրող դոնորների մասով ևս Նախագծին կից հիմնավորմամբ որևէ անդրադարձ չկա: Ավելին, այս ուղղությամբ գումարներ նախատեսված չեն նաև ՀՀ կառավարության 12.07.2021թ. N 1771-Ն որոշմամբ հաստատված 2022-2024թթ միջնաժամկետ ծախսային ծրագրով: Ուստի ստացվում է, որ նախագծի ընդունման կամ Ռազմավարության առաջարկվող միջոցառումների իրականացման և ստանդարտների առկայության պարագայում ևս մնացած միջոցառումների իրականացումը կարող են լինել ռիսկային՝ միջոցների բացակայության հանգամանքով պայմանավորված:</w:t>
            </w:r>
          </w:p>
          <w:p>
            <w:pPr>
              <w:pStyle w:val="Normal"/>
              <w:spacing w:lineRule="auto" w:line="360" w:before="0" w:after="0"/>
              <w:ind w:left="0" w:right="0" w:firstLine="578"/>
              <w:jc w:val="both"/>
              <w:rPr>
                <w:rFonts w:ascii="GHEA Grapalat" w:hAnsi="GHEA Grapalat"/>
                <w:sz w:val="24"/>
                <w:szCs w:val="24"/>
                <w:lang w:val="hy-AM"/>
              </w:rPr>
            </w:pPr>
            <w:r>
              <w:rPr>
                <w:rFonts w:ascii="GHEA Grapalat" w:hAnsi="GHEA Grapalat"/>
                <w:sz w:val="24"/>
                <w:szCs w:val="24"/>
                <w:lang w:val="hy-AM"/>
              </w:rPr>
              <w:t>Միաժամանակ բացակայում է Նախագծով պահանջվող գումարի գնագոյացման մեխանիզմը, հաշվարկ-հիմնավորումները:</w:t>
            </w:r>
          </w:p>
          <w:p>
            <w:pPr>
              <w:pStyle w:val="Normal"/>
              <w:spacing w:lineRule="auto" w:line="360" w:before="0" w:after="0"/>
              <w:ind w:left="0" w:right="0" w:firstLine="578"/>
              <w:jc w:val="both"/>
              <w:rPr>
                <w:rFonts w:ascii="GHEA Grapalat" w:hAnsi="GHEA Grapalat" w:cs="GHEA Grapalat"/>
                <w:b w:val="false"/>
                <w:b w:val="false"/>
                <w:i w:val="false"/>
                <w:i w:val="false"/>
                <w:caps w:val="false"/>
                <w:smallCaps w:val="false"/>
                <w:color w:val="000000"/>
                <w:spacing w:val="0"/>
                <w:sz w:val="24"/>
                <w:szCs w:val="24"/>
                <w:lang w:val="hy-AM"/>
              </w:rPr>
            </w:pPr>
            <w:r>
              <w:rPr>
                <w:rFonts w:cs="GHEA Grapalat" w:ascii="GHEA Grapalat" w:hAnsi="GHEA Grapalat"/>
                <w:b w:val="false"/>
                <w:i w:val="false"/>
                <w:caps w:val="false"/>
                <w:smallCaps w:val="false"/>
                <w:color w:val="000000"/>
                <w:spacing w:val="0"/>
                <w:sz w:val="24"/>
                <w:szCs w:val="24"/>
                <w:lang w:val="hy-AM"/>
              </w:rPr>
              <w:t>Ելնելով վերոգրյալից, կարծում ենք, որ հանրային ռեսուրսների հիմնավորված և արդյունավետ ծախսման առումով Նախագծի քննարկմանն անհրաժեշտ է անդրադառնալ վերոնշյալ մոտեցումների դիտարկումների և հնարավոր ռիսկերի կառավարման առաջարկների ներկայացման պարագայում, հակառակ դեպքում չհիմնավորված ֆինանսական միջոցներ նախատեսելու դեպքում դրանք կարող են դառնալ ռիսկային ծախսեր:</w:t>
            </w:r>
          </w:p>
        </w:tc>
        <w:tc>
          <w:tcPr>
            <w:tcW w:w="4875"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ind w:firstLine="720"/>
              <w:jc w:val="both"/>
              <w:rPr>
                <w:rFonts w:ascii="GHEA Grapalat" w:hAnsi="GHEA Grapalat"/>
                <w:color w:val="000000"/>
                <w:sz w:val="24"/>
                <w:szCs w:val="24"/>
                <w:lang w:val="hy-AM"/>
              </w:rPr>
            </w:pPr>
            <w:r>
              <w:rPr>
                <w:rFonts w:ascii="GHEA Grapalat" w:hAnsi="GHEA Grapalat"/>
                <w:color w:val="000000"/>
                <w:sz w:val="24"/>
                <w:szCs w:val="24"/>
                <w:lang w:val="hy-AM"/>
              </w:rPr>
              <w:t>Ընդունվել է։ Որոշման նախագիծը խմբագրվել է՝  ՀՀ փոխվարչապետի մոտ 2021 թվականի սեպտեմբերի 2-ին կայացած 2022 թվականի պետական բյուջեի քննարկման արդյունքներից ելնելով, և նախագծի նոր տարբերակով առաջարկվում է  1043 «Բարձր տեխնոլոգիական արդյունաբերության էկոհամակարգի և շուկայի զարգացման ծրագրի» «Հայկական վիրտուալ կամուրջ» միջոցառման  Ներուժ բաղադրիչի համար նախատեսված 150.0 մլն դրամից 105.0 մլն դրամն ուղղել ՀՀ կառավարության պահուստային ֆոնդ, պայմանով, որ 2022 թ ՀՀ պետական բյուջեով նշված գումարի չափով միջոցներ կնախատեսվեն «</w:t>
            </w:r>
            <w:r>
              <w:rPr>
                <w:rFonts w:cs="Arial" w:ascii="GHEA Grapalat" w:hAnsi="GHEA Grapalat"/>
                <w:color w:val="000000"/>
                <w:sz w:val="24"/>
                <w:szCs w:val="24"/>
                <w:lang w:val="hy-AM"/>
              </w:rPr>
              <w:t>Թվայնացման</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պահանջների</w:t>
            </w:r>
            <w:r>
              <w:rPr>
                <w:rFonts w:ascii="GHEA Grapalat" w:hAnsi="GHEA Grapalat"/>
                <w:color w:val="000000"/>
                <w:sz w:val="24"/>
                <w:szCs w:val="24"/>
                <w:lang w:val="hy-AM"/>
              </w:rPr>
              <w:t>/</w:t>
            </w:r>
            <w:r>
              <w:rPr>
                <w:rFonts w:cs="Arial" w:ascii="GHEA Grapalat" w:hAnsi="GHEA Grapalat"/>
                <w:color w:val="000000"/>
                <w:sz w:val="24"/>
                <w:szCs w:val="24"/>
                <w:lang w:val="hy-AM"/>
              </w:rPr>
              <w:t>ստանդարտների</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մշակում</w:t>
            </w:r>
            <w:r>
              <w:rPr>
                <w:rFonts w:ascii="GHEA Grapalat" w:hAnsi="GHEA Grapalat"/>
                <w:color w:val="000000"/>
                <w:sz w:val="24"/>
                <w:szCs w:val="24"/>
                <w:lang w:val="hy-AM"/>
              </w:rPr>
              <w:t xml:space="preserve">» </w:t>
            </w:r>
            <w:r>
              <w:rPr>
                <w:rFonts w:cs="Arial" w:ascii="GHEA Grapalat" w:hAnsi="GHEA Grapalat"/>
                <w:color w:val="000000"/>
                <w:sz w:val="24"/>
                <w:szCs w:val="24"/>
                <w:lang w:val="hy-AM"/>
              </w:rPr>
              <w:t>և</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Պետական</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ամպային</w:t>
            </w:r>
            <w:r>
              <w:rPr>
                <w:rFonts w:ascii="GHEA Grapalat" w:hAnsi="GHEA Grapalat"/>
                <w:color w:val="000000"/>
                <w:sz w:val="24"/>
                <w:szCs w:val="24"/>
                <w:lang w:val="hy-AM"/>
              </w:rPr>
              <w:t xml:space="preserve"> ենթակառուցվածքային պահանջների/ստանդարտների մշակում» միջոցառման համար, որի իրականացման անհրաժեշտությունը բխում է  </w:t>
            </w:r>
            <w:r>
              <w:rPr>
                <w:rFonts w:cs="Arial" w:ascii="GHEA Grapalat" w:hAnsi="GHEA Grapalat"/>
                <w:color w:val="000000"/>
                <w:sz w:val="24"/>
                <w:szCs w:val="24"/>
                <w:lang w:val="hy-AM"/>
              </w:rPr>
              <w:t>ՀՀ</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կառավարության</w:t>
            </w:r>
            <w:r>
              <w:rPr>
                <w:rFonts w:ascii="GHEA Grapalat" w:hAnsi="GHEA Grapalat"/>
                <w:color w:val="000000"/>
                <w:sz w:val="24"/>
                <w:szCs w:val="24"/>
                <w:lang w:val="hy-AM"/>
              </w:rPr>
              <w:t xml:space="preserve"> 11.02.2021</w:t>
            </w:r>
            <w:r>
              <w:rPr>
                <w:rFonts w:cs="Arial" w:ascii="GHEA Grapalat" w:hAnsi="GHEA Grapalat"/>
                <w:color w:val="000000"/>
                <w:sz w:val="24"/>
                <w:szCs w:val="24"/>
                <w:lang w:val="hy-AM"/>
              </w:rPr>
              <w:t>թ</w:t>
            </w:r>
            <w:r>
              <w:rPr>
                <w:rFonts w:ascii="GHEA Grapalat" w:hAnsi="GHEA Grapalat"/>
                <w:color w:val="000000"/>
                <w:sz w:val="24"/>
                <w:szCs w:val="24"/>
                <w:lang w:val="hy-AM"/>
              </w:rPr>
              <w:t>. N 183-</w:t>
            </w:r>
            <w:r>
              <w:rPr>
                <w:rFonts w:cs="Arial" w:ascii="GHEA Grapalat" w:hAnsi="GHEA Grapalat"/>
                <w:color w:val="000000"/>
                <w:sz w:val="24"/>
                <w:szCs w:val="24"/>
                <w:lang w:val="hy-AM"/>
              </w:rPr>
              <w:t>Լ</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որոշմամբ</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հաստատված</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Հայաստանի</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թվայնացման</w:t>
            </w:r>
            <w:r>
              <w:rPr>
                <w:rFonts w:ascii="GHEA Grapalat" w:hAnsi="GHEA Grapalat"/>
                <w:color w:val="000000"/>
                <w:sz w:val="24"/>
                <w:szCs w:val="24"/>
                <w:lang w:val="hy-AM"/>
              </w:rPr>
              <w:t xml:space="preserve"> </w:t>
            </w:r>
            <w:r>
              <w:rPr>
                <w:rFonts w:cs="Arial" w:ascii="GHEA Grapalat" w:hAnsi="GHEA Grapalat"/>
                <w:color w:val="000000"/>
                <w:sz w:val="24"/>
                <w:szCs w:val="24"/>
                <w:lang w:val="hy-AM"/>
              </w:rPr>
              <w:t xml:space="preserve">ռազմավարությունից։ </w:t>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tc>
      </w:tr>
      <w:tr>
        <w:trPr>
          <w:trHeight w:val="70" w:hRule="atLeast"/>
        </w:trPr>
        <w:tc>
          <w:tcPr>
            <w:tcW w:w="561" w:type="dxa"/>
            <w:tcBorders>
              <w:left w:val="single" w:sz="4" w:space="0" w:color="000000"/>
              <w:bottom w:val="single" w:sz="4" w:space="0" w:color="000000"/>
              <w:right w:val="single" w:sz="4" w:space="0" w:color="000000"/>
            </w:tcBorders>
          </w:tcPr>
          <w:p>
            <w:pPr>
              <w:pStyle w:val="ListParagraph"/>
              <w:numPr>
                <w:ilvl w:val="0"/>
                <w:numId w:val="1"/>
              </w:numPr>
              <w:spacing w:lineRule="auto" w:line="276" w:before="0" w:after="0"/>
              <w:ind w:left="306" w:right="0" w:hanging="284"/>
              <w:contextualSpacing/>
              <w:rPr>
                <w:rFonts w:ascii="GHEA Grapalat" w:hAnsi="GHEA Grapalat"/>
                <w:sz w:val="24"/>
                <w:szCs w:val="24"/>
              </w:rPr>
            </w:pPr>
            <w:r>
              <w:rPr>
                <w:rFonts w:ascii="GHEA Grapalat" w:hAnsi="GHEA Grapalat"/>
                <w:sz w:val="24"/>
                <w:szCs w:val="24"/>
              </w:rPr>
            </w:r>
          </w:p>
        </w:tc>
        <w:tc>
          <w:tcPr>
            <w:tcW w:w="8169" w:type="dxa"/>
            <w:tcBorders>
              <w:left w:val="single" w:sz="4" w:space="0" w:color="000000"/>
              <w:bottom w:val="single" w:sz="4" w:space="0" w:color="000000"/>
              <w:right w:val="single" w:sz="4" w:space="0" w:color="000000"/>
            </w:tcBorders>
            <w:vAlign w:val="center"/>
          </w:tcPr>
          <w:p>
            <w:pPr>
              <w:pStyle w:val="Normal"/>
              <w:spacing w:lineRule="auto" w:line="360" w:before="0" w:after="0"/>
              <w:ind w:left="0" w:right="0" w:firstLine="578"/>
              <w:jc w:val="both"/>
              <w:rPr/>
            </w:pPr>
            <w:r>
              <w:rPr>
                <w:rFonts w:ascii="GHEA Grapalat" w:hAnsi="GHEA Grapalat"/>
                <w:sz w:val="24"/>
                <w:szCs w:val="24"/>
                <w:lang w:val="hy-AM"/>
              </w:rPr>
              <w:t xml:space="preserve">2.  Նախագծով առաջարկվում է նաև 1043 «Բարձր տեխնոլոգիական արդյունաբերության էկոհամակարգի և շուկայի զարգացման ծրագրի» 11005 ««Գաղափարից մինչև բիզնես» դրամաշնորհներ» միջոցառման շրջանակներում 4.0 մլն դրամն ուղղել Տիեզերակական գործունեության ամառային դպրոց-ճամբարի կազմակերպմանը: Ընդ որում ամառային ճամբարի համար նախատեսված միջոցառումների կազմակերպման ծառայություններն առաջարկվում է ձեռք բերել հրատապության հիմքով մեկ անձից գնման ձևով, որը </w:t>
            </w:r>
            <w:r>
              <w:rPr>
                <w:rFonts w:eastAsia="Times New Roman" w:ascii="GHEA Grapalat" w:hAnsi="GHEA Grapalat"/>
                <w:sz w:val="24"/>
                <w:szCs w:val="24"/>
                <w:lang w:val="hy-AM"/>
              </w:rPr>
              <w:t xml:space="preserve">բխում </w:t>
            </w:r>
            <w:r>
              <w:rPr>
                <w:rFonts w:ascii="GHEA Grapalat" w:hAnsi="GHEA Grapalat"/>
                <w:sz w:val="24"/>
                <w:szCs w:val="24"/>
                <w:lang w:val="hy-AM"/>
              </w:rPr>
              <w:t xml:space="preserve">է ՀՀ բարձր տեխնոլոգիական արդյունաբերության նախարարի 2021 թվականի </w:t>
            </w:r>
            <w:r>
              <w:rPr>
                <w:rFonts w:eastAsia="Times New Roman" w:ascii="GHEA Grapalat" w:hAnsi="GHEA Grapalat"/>
                <w:sz w:val="24"/>
                <w:szCs w:val="24"/>
                <w:lang w:val="hy-AM"/>
              </w:rPr>
              <w:t xml:space="preserve">հունվարի 27-ի թիվ 61-Ա հրամանով հաստատված «Գաղափարից մինչև բիզնես դրամաշնորհներ» միջոցառման </w:t>
            </w:r>
            <w:r>
              <w:rPr>
                <w:rFonts w:eastAsia="GHEA Grapalat" w:cs="GHEA Grapalat" w:ascii="GHEA Grapalat" w:hAnsi="GHEA Grapalat"/>
                <w:color w:val="000000"/>
                <w:sz w:val="24"/>
                <w:szCs w:val="24"/>
                <w:lang w:val="hy-AM"/>
              </w:rPr>
              <w:t xml:space="preserve"> «Տաղանդի ձևավորման փաթեթ» բաղադրիչից</w:t>
            </w:r>
            <w:r>
              <w:rPr>
                <w:rFonts w:eastAsia="Times New Roman" w:ascii="GHEA Grapalat" w:hAnsi="GHEA Grapalat"/>
                <w:sz w:val="24"/>
                <w:szCs w:val="24"/>
                <w:lang w:val="hy-AM"/>
              </w:rPr>
              <w:t xml:space="preserve">։ </w:t>
            </w:r>
            <w:r>
              <w:rPr>
                <w:rFonts w:ascii="GHEA Grapalat" w:hAnsi="GHEA Grapalat"/>
                <w:sz w:val="24"/>
                <w:szCs w:val="24"/>
                <w:lang w:val="hy-AM"/>
              </w:rPr>
              <w:t xml:space="preserve">Փաստորեն, պատվիրատուին նախապես հայտնի է եղել նախագծում նշված ծառայությունների ձեռքբերման անհրաժեշտությունը, </w:t>
            </w:r>
            <w:r>
              <w:rPr>
                <w:rFonts w:ascii="GHEA Grapalat" w:hAnsi="GHEA Grapalat"/>
                <w:color w:val="000000"/>
                <w:sz w:val="24"/>
                <w:szCs w:val="24"/>
                <w:highlight w:val="white"/>
                <w:lang w:val="hy-AM"/>
              </w:rPr>
              <w:t xml:space="preserve">սակայն նախագիծը </w:t>
            </w:r>
            <w:r>
              <w:rPr>
                <w:rFonts w:ascii="GHEA Grapalat" w:hAnsi="GHEA Grapalat"/>
                <w:color w:val="000000"/>
                <w:sz w:val="24"/>
                <w:szCs w:val="24"/>
                <w:highlight w:val="white"/>
                <w:lang w:val="af-ZA"/>
              </w:rPr>
              <w:t>հիմնավորող փաթեթում բացակայում է</w:t>
            </w:r>
            <w:r>
              <w:rPr>
                <w:rFonts w:ascii="GHEA Grapalat" w:hAnsi="GHEA Grapalat"/>
                <w:color w:val="000000"/>
                <w:sz w:val="24"/>
                <w:szCs w:val="24"/>
                <w:highlight w:val="white"/>
                <w:lang w:val="hy-AM"/>
              </w:rPr>
              <w:t xml:space="preserve"> </w:t>
            </w:r>
            <w:r>
              <w:rPr>
                <w:rFonts w:ascii="GHEA Grapalat" w:hAnsi="GHEA Grapalat"/>
                <w:color w:val="000000"/>
                <w:sz w:val="24"/>
                <w:szCs w:val="24"/>
                <w:highlight w:val="white"/>
                <w:lang w:val="af-ZA"/>
              </w:rPr>
              <w:t>պատվիրատուի կողմից սահմանված կարգավորումներին համապատասխան</w:t>
            </w:r>
            <w:r>
              <w:rPr>
                <w:rFonts w:ascii="GHEA Grapalat" w:hAnsi="GHEA Grapalat"/>
                <w:color w:val="000000"/>
                <w:sz w:val="24"/>
                <w:szCs w:val="24"/>
                <w:highlight w:val="white"/>
                <w:lang w:val="hy-AM"/>
              </w:rPr>
              <w:t>՝</w:t>
            </w:r>
            <w:r>
              <w:rPr>
                <w:rFonts w:ascii="GHEA Grapalat" w:hAnsi="GHEA Grapalat"/>
                <w:color w:val="000000"/>
                <w:sz w:val="24"/>
                <w:szCs w:val="24"/>
                <w:highlight w:val="white"/>
                <w:lang w:val="af-ZA"/>
              </w:rPr>
              <w:t xml:space="preserve"> </w:t>
            </w:r>
            <w:r>
              <w:rPr>
                <w:rFonts w:ascii="GHEA Grapalat" w:hAnsi="GHEA Grapalat"/>
                <w:color w:val="000000"/>
                <w:sz w:val="24"/>
                <w:szCs w:val="24"/>
                <w:highlight w:val="white"/>
                <w:lang w:val="hy-AM"/>
              </w:rPr>
              <w:t xml:space="preserve">հիշյալ ծառայությունների ձեռքբերման նպատակով </w:t>
            </w:r>
            <w:r>
              <w:rPr>
                <w:rFonts w:ascii="GHEA Grapalat" w:hAnsi="GHEA Grapalat"/>
                <w:color w:val="000000"/>
                <w:sz w:val="24"/>
                <w:szCs w:val="24"/>
                <w:highlight w:val="white"/>
                <w:lang w:val="af-ZA"/>
              </w:rPr>
              <w:t>գնման մրցակցային ընթացակարգեր</w:t>
            </w:r>
            <w:r>
              <w:rPr>
                <w:rFonts w:ascii="GHEA Grapalat" w:hAnsi="GHEA Grapalat"/>
                <w:color w:val="000000"/>
                <w:sz w:val="24"/>
                <w:szCs w:val="24"/>
                <w:highlight w:val="white"/>
                <w:lang w:val="hy-AM"/>
              </w:rPr>
              <w:t xml:space="preserve">ի </w:t>
            </w:r>
            <w:r>
              <w:rPr>
                <w:rFonts w:ascii="GHEA Grapalat" w:hAnsi="GHEA Grapalat"/>
                <w:color w:val="000000"/>
                <w:sz w:val="24"/>
                <w:szCs w:val="24"/>
                <w:highlight w:val="white"/>
                <w:lang w:val="af-ZA"/>
              </w:rPr>
              <w:t>կազմակերպ</w:t>
            </w:r>
            <w:r>
              <w:rPr>
                <w:rFonts w:ascii="GHEA Grapalat" w:hAnsi="GHEA Grapalat"/>
                <w:color w:val="000000"/>
                <w:sz w:val="24"/>
                <w:szCs w:val="24"/>
                <w:highlight w:val="white"/>
                <w:lang w:val="hy-AM"/>
              </w:rPr>
              <w:t xml:space="preserve">ման և դրանց արդյունքների </w:t>
            </w:r>
            <w:r>
              <w:rPr>
                <w:rFonts w:ascii="GHEA Grapalat" w:hAnsi="GHEA Grapalat"/>
                <w:color w:val="000000"/>
                <w:sz w:val="24"/>
                <w:szCs w:val="24"/>
                <w:highlight w:val="white"/>
                <w:lang w:val="af-ZA"/>
              </w:rPr>
              <w:t xml:space="preserve"> վերաբերյալ տեղեկատվությունը:</w:t>
            </w:r>
          </w:p>
          <w:p>
            <w:pPr>
              <w:pStyle w:val="Normal"/>
              <w:spacing w:lineRule="auto" w:line="360" w:before="0" w:after="0"/>
              <w:ind w:left="0" w:right="0" w:firstLine="578"/>
              <w:jc w:val="both"/>
              <w:rPr/>
            </w:pPr>
            <w:r>
              <w:rPr>
                <w:rFonts w:ascii="GHEA Grapalat" w:hAnsi="GHEA Grapalat"/>
                <w:sz w:val="24"/>
                <w:szCs w:val="24"/>
              </w:rPr>
              <w:t>Բացի</w:t>
            </w:r>
            <w:r>
              <w:rPr>
                <w:rFonts w:ascii="GHEA Grapalat" w:hAnsi="GHEA Grapalat"/>
                <w:sz w:val="24"/>
                <w:szCs w:val="24"/>
                <w:lang w:val="af-ZA"/>
              </w:rPr>
              <w:t xml:space="preserve"> </w:t>
            </w:r>
            <w:r>
              <w:rPr>
                <w:rFonts w:ascii="GHEA Grapalat" w:hAnsi="GHEA Grapalat"/>
                <w:sz w:val="24"/>
                <w:szCs w:val="24"/>
              </w:rPr>
              <w:t>այդ</w:t>
            </w:r>
            <w:r>
              <w:rPr>
                <w:rFonts w:ascii="GHEA Grapalat" w:hAnsi="GHEA Grapalat"/>
                <w:sz w:val="24"/>
                <w:szCs w:val="24"/>
                <w:lang w:val="af-ZA"/>
              </w:rPr>
              <w:t xml:space="preserve"> </w:t>
            </w:r>
            <w:r>
              <w:rPr>
                <w:rFonts w:ascii="GHEA Grapalat" w:hAnsi="GHEA Grapalat"/>
                <w:sz w:val="24"/>
                <w:szCs w:val="24"/>
              </w:rPr>
              <w:t>Նախագծի</w:t>
            </w:r>
            <w:r>
              <w:rPr>
                <w:rFonts w:ascii="GHEA Grapalat" w:hAnsi="GHEA Grapalat"/>
                <w:sz w:val="24"/>
                <w:szCs w:val="24"/>
                <w:lang w:val="af-ZA"/>
              </w:rPr>
              <w:t xml:space="preserve"> </w:t>
            </w:r>
            <w:r>
              <w:rPr>
                <w:rFonts w:ascii="GHEA Grapalat" w:hAnsi="GHEA Grapalat"/>
                <w:sz w:val="24"/>
                <w:szCs w:val="24"/>
              </w:rPr>
              <w:t>հիմնավորման</w:t>
            </w:r>
            <w:r>
              <w:rPr>
                <w:rFonts w:ascii="GHEA Grapalat" w:hAnsi="GHEA Grapalat"/>
                <w:sz w:val="24"/>
                <w:szCs w:val="24"/>
                <w:lang w:val="af-ZA"/>
              </w:rPr>
              <w:t xml:space="preserve"> </w:t>
            </w:r>
            <w:r>
              <w:rPr>
                <w:rFonts w:ascii="GHEA Grapalat" w:hAnsi="GHEA Grapalat"/>
                <w:sz w:val="24"/>
                <w:szCs w:val="24"/>
              </w:rPr>
              <w:t>համաձայն</w:t>
            </w:r>
            <w:r>
              <w:rPr>
                <w:rFonts w:ascii="GHEA Grapalat" w:hAnsi="GHEA Grapalat"/>
                <w:sz w:val="24"/>
                <w:szCs w:val="24"/>
                <w:lang w:val="af-ZA"/>
              </w:rPr>
              <w:t xml:space="preserve"> </w:t>
            </w:r>
            <w:r>
              <w:rPr>
                <w:rFonts w:ascii="GHEA Grapalat" w:hAnsi="GHEA Grapalat"/>
                <w:sz w:val="24"/>
                <w:szCs w:val="24"/>
              </w:rPr>
              <w:t>մասնակիցների</w:t>
            </w:r>
            <w:r>
              <w:rPr>
                <w:rFonts w:ascii="GHEA Grapalat" w:hAnsi="GHEA Grapalat"/>
                <w:sz w:val="24"/>
                <w:szCs w:val="24"/>
                <w:lang w:val="af-ZA"/>
              </w:rPr>
              <w:t xml:space="preserve"> </w:t>
            </w:r>
            <w:r>
              <w:rPr>
                <w:rFonts w:ascii="GHEA Grapalat" w:hAnsi="GHEA Grapalat"/>
                <w:sz w:val="24"/>
                <w:szCs w:val="24"/>
              </w:rPr>
              <w:t>թիվը</w:t>
            </w:r>
            <w:r>
              <w:rPr>
                <w:rFonts w:ascii="GHEA Grapalat" w:hAnsi="GHEA Grapalat"/>
                <w:sz w:val="24"/>
                <w:szCs w:val="24"/>
                <w:lang w:val="af-ZA"/>
              </w:rPr>
              <w:t xml:space="preserve"> </w:t>
            </w:r>
            <w:r>
              <w:rPr>
                <w:rFonts w:ascii="GHEA Grapalat" w:hAnsi="GHEA Grapalat"/>
                <w:sz w:val="24"/>
                <w:szCs w:val="24"/>
              </w:rPr>
              <w:t>լինելու</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մոտ</w:t>
            </w:r>
            <w:r>
              <w:rPr>
                <w:rFonts w:ascii="GHEA Grapalat" w:hAnsi="GHEA Grapalat"/>
                <w:sz w:val="24"/>
                <w:szCs w:val="24"/>
                <w:lang w:val="af-ZA"/>
              </w:rPr>
              <w:t xml:space="preserve"> 55 </w:t>
            </w:r>
            <w:r>
              <w:rPr>
                <w:rFonts w:ascii="GHEA Grapalat" w:hAnsi="GHEA Grapalat"/>
                <w:sz w:val="24"/>
                <w:szCs w:val="24"/>
              </w:rPr>
              <w:t>անձ՝</w:t>
            </w:r>
            <w:r>
              <w:rPr>
                <w:rFonts w:ascii="GHEA Grapalat" w:hAnsi="GHEA Grapalat"/>
                <w:sz w:val="24"/>
                <w:szCs w:val="24"/>
                <w:lang w:val="af-ZA"/>
              </w:rPr>
              <w:t xml:space="preserve"> </w:t>
            </w:r>
            <w:r>
              <w:rPr>
                <w:rFonts w:ascii="GHEA Grapalat" w:hAnsi="GHEA Grapalat"/>
                <w:sz w:val="24"/>
                <w:szCs w:val="24"/>
              </w:rPr>
              <w:t>ներառյալ</w:t>
            </w:r>
            <w:r>
              <w:rPr>
                <w:rFonts w:ascii="GHEA Grapalat" w:hAnsi="GHEA Grapalat"/>
                <w:sz w:val="24"/>
                <w:szCs w:val="24"/>
                <w:lang w:val="af-ZA"/>
              </w:rPr>
              <w:t xml:space="preserve"> </w:t>
            </w:r>
            <w:r>
              <w:rPr>
                <w:rFonts w:ascii="GHEA Grapalat" w:hAnsi="GHEA Grapalat"/>
                <w:sz w:val="24"/>
                <w:szCs w:val="24"/>
              </w:rPr>
              <w:t>դասավանդող</w:t>
            </w:r>
            <w:r>
              <w:rPr>
                <w:rFonts w:ascii="GHEA Grapalat" w:hAnsi="GHEA Grapalat"/>
                <w:sz w:val="24"/>
                <w:szCs w:val="24"/>
                <w:lang w:val="af-ZA"/>
              </w:rPr>
              <w:t xml:space="preserve"> </w:t>
            </w:r>
            <w:r>
              <w:rPr>
                <w:rFonts w:ascii="GHEA Grapalat" w:hAnsi="GHEA Grapalat"/>
                <w:sz w:val="24"/>
                <w:szCs w:val="24"/>
              </w:rPr>
              <w:t>կազմակերպչական</w:t>
            </w:r>
            <w:r>
              <w:rPr>
                <w:rFonts w:ascii="GHEA Grapalat" w:hAnsi="GHEA Grapalat"/>
                <w:sz w:val="24"/>
                <w:szCs w:val="24"/>
                <w:lang w:val="af-ZA"/>
              </w:rPr>
              <w:t xml:space="preserve"> </w:t>
            </w:r>
            <w:r>
              <w:rPr>
                <w:rFonts w:ascii="GHEA Grapalat" w:hAnsi="GHEA Grapalat"/>
                <w:sz w:val="24"/>
                <w:szCs w:val="24"/>
              </w:rPr>
              <w:t>կազմը</w:t>
            </w:r>
            <w:r>
              <w:rPr>
                <w:rFonts w:ascii="GHEA Grapalat" w:hAnsi="GHEA Grapalat"/>
                <w:sz w:val="24"/>
                <w:szCs w:val="24"/>
                <w:lang w:val="af-ZA"/>
              </w:rPr>
              <w:t xml:space="preserve">, </w:t>
            </w:r>
            <w:r>
              <w:rPr>
                <w:rFonts w:ascii="GHEA Grapalat" w:hAnsi="GHEA Grapalat"/>
                <w:sz w:val="24"/>
                <w:szCs w:val="24"/>
              </w:rPr>
              <w:t>սակայն</w:t>
            </w:r>
            <w:r>
              <w:rPr>
                <w:rFonts w:ascii="GHEA Grapalat" w:hAnsi="GHEA Grapalat"/>
                <w:sz w:val="24"/>
                <w:szCs w:val="24"/>
                <w:lang w:val="af-ZA"/>
              </w:rPr>
              <w:t xml:space="preserve"> </w:t>
            </w:r>
            <w:r>
              <w:rPr>
                <w:rFonts w:ascii="GHEA Grapalat" w:hAnsi="GHEA Grapalat"/>
                <w:sz w:val="24"/>
                <w:szCs w:val="24"/>
              </w:rPr>
              <w:t>Նախագծին</w:t>
            </w:r>
            <w:r>
              <w:rPr>
                <w:rFonts w:ascii="GHEA Grapalat" w:hAnsi="GHEA Grapalat"/>
                <w:sz w:val="24"/>
                <w:szCs w:val="24"/>
                <w:lang w:val="af-ZA"/>
              </w:rPr>
              <w:t xml:space="preserve"> </w:t>
            </w:r>
            <w:r>
              <w:rPr>
                <w:rFonts w:ascii="GHEA Grapalat" w:hAnsi="GHEA Grapalat"/>
                <w:sz w:val="24"/>
                <w:szCs w:val="24"/>
              </w:rPr>
              <w:t>կից</w:t>
            </w:r>
            <w:r>
              <w:rPr>
                <w:rFonts w:ascii="GHEA Grapalat" w:hAnsi="GHEA Grapalat"/>
                <w:sz w:val="24"/>
                <w:szCs w:val="24"/>
                <w:lang w:val="af-ZA"/>
              </w:rPr>
              <w:t xml:space="preserve"> </w:t>
            </w:r>
            <w:r>
              <w:rPr>
                <w:rFonts w:ascii="GHEA Grapalat" w:hAnsi="GHEA Grapalat"/>
                <w:sz w:val="24"/>
                <w:szCs w:val="24"/>
              </w:rPr>
              <w:t>գնումների</w:t>
            </w:r>
            <w:r>
              <w:rPr>
                <w:rFonts w:ascii="GHEA Grapalat" w:hAnsi="GHEA Grapalat"/>
                <w:sz w:val="24"/>
                <w:szCs w:val="24"/>
                <w:lang w:val="af-ZA"/>
              </w:rPr>
              <w:t xml:space="preserve"> </w:t>
            </w:r>
            <w:r>
              <w:rPr>
                <w:rFonts w:ascii="GHEA Grapalat" w:hAnsi="GHEA Grapalat"/>
                <w:sz w:val="24"/>
                <w:szCs w:val="24"/>
                <w:lang w:val="hy-AM"/>
              </w:rPr>
              <w:t xml:space="preserve">և ծառայությունների </w:t>
            </w:r>
            <w:r>
              <w:rPr>
                <w:rFonts w:ascii="GHEA Grapalat" w:hAnsi="GHEA Grapalat"/>
                <w:sz w:val="24"/>
                <w:szCs w:val="24"/>
              </w:rPr>
              <w:t>ցանկի</w:t>
            </w:r>
            <w:r>
              <w:rPr>
                <w:rFonts w:ascii="GHEA Grapalat" w:hAnsi="GHEA Grapalat"/>
                <w:sz w:val="24"/>
                <w:szCs w:val="24"/>
                <w:lang w:val="af-ZA"/>
              </w:rPr>
              <w:t xml:space="preserve"> </w:t>
            </w:r>
            <w:r>
              <w:rPr>
                <w:rFonts w:ascii="GHEA Grapalat" w:hAnsi="GHEA Grapalat"/>
                <w:sz w:val="24"/>
                <w:szCs w:val="24"/>
              </w:rPr>
              <w:t>ընդհանրական</w:t>
            </w:r>
            <w:r>
              <w:rPr>
                <w:rFonts w:ascii="GHEA Grapalat" w:hAnsi="GHEA Grapalat"/>
                <w:sz w:val="24"/>
                <w:szCs w:val="24"/>
                <w:lang w:val="af-ZA"/>
              </w:rPr>
              <w:t xml:space="preserve"> </w:t>
            </w:r>
            <w:r>
              <w:rPr>
                <w:rFonts w:ascii="GHEA Grapalat" w:hAnsi="GHEA Grapalat"/>
                <w:sz w:val="24"/>
                <w:szCs w:val="24"/>
              </w:rPr>
              <w:t>հաշվարկների</w:t>
            </w:r>
            <w:r>
              <w:rPr>
                <w:rFonts w:ascii="GHEA Grapalat" w:hAnsi="GHEA Grapalat"/>
                <w:sz w:val="24"/>
                <w:szCs w:val="24"/>
                <w:lang w:val="af-ZA"/>
              </w:rPr>
              <w:t xml:space="preserve"> </w:t>
            </w:r>
            <w:r>
              <w:rPr>
                <w:rFonts w:ascii="GHEA Grapalat" w:hAnsi="GHEA Grapalat"/>
                <w:sz w:val="24"/>
                <w:szCs w:val="24"/>
              </w:rPr>
              <w:t>համաձայն</w:t>
            </w:r>
            <w:r>
              <w:rPr>
                <w:rFonts w:ascii="GHEA Grapalat" w:hAnsi="GHEA Grapalat"/>
                <w:sz w:val="24"/>
                <w:szCs w:val="24"/>
                <w:lang w:val="af-ZA"/>
              </w:rPr>
              <w:t xml:space="preserve"> </w:t>
            </w:r>
            <w:r>
              <w:rPr>
                <w:rFonts w:ascii="GHEA Grapalat" w:hAnsi="GHEA Grapalat"/>
                <w:sz w:val="24"/>
                <w:szCs w:val="24"/>
              </w:rPr>
              <w:t>օրապահիկը</w:t>
            </w:r>
            <w:r>
              <w:rPr>
                <w:rFonts w:ascii="GHEA Grapalat" w:hAnsi="GHEA Grapalat"/>
                <w:sz w:val="24"/>
                <w:szCs w:val="24"/>
                <w:lang w:val="af-ZA"/>
              </w:rPr>
              <w:t xml:space="preserve"> </w:t>
            </w:r>
            <w:r>
              <w:rPr>
                <w:rFonts w:ascii="GHEA Grapalat" w:hAnsi="GHEA Grapalat"/>
                <w:sz w:val="24"/>
                <w:szCs w:val="24"/>
              </w:rPr>
              <w:t>հաշվարկված</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70, </w:t>
            </w:r>
            <w:r>
              <w:rPr>
                <w:rFonts w:ascii="GHEA Grapalat" w:hAnsi="GHEA Grapalat"/>
                <w:sz w:val="24"/>
                <w:szCs w:val="24"/>
              </w:rPr>
              <w:t>շապիկները</w:t>
            </w:r>
            <w:r>
              <w:rPr>
                <w:rFonts w:ascii="GHEA Grapalat" w:hAnsi="GHEA Grapalat"/>
                <w:sz w:val="24"/>
                <w:szCs w:val="24"/>
                <w:lang w:val="af-ZA"/>
              </w:rPr>
              <w:t xml:space="preserve"> 100, </w:t>
            </w:r>
            <w:r>
              <w:rPr>
                <w:rFonts w:ascii="GHEA Grapalat" w:hAnsi="GHEA Grapalat"/>
                <w:sz w:val="24"/>
                <w:szCs w:val="24"/>
              </w:rPr>
              <w:t>իսկ</w:t>
            </w:r>
            <w:r>
              <w:rPr>
                <w:rFonts w:ascii="GHEA Grapalat" w:hAnsi="GHEA Grapalat"/>
                <w:sz w:val="24"/>
                <w:szCs w:val="24"/>
                <w:lang w:val="af-ZA"/>
              </w:rPr>
              <w:t xml:space="preserve"> </w:t>
            </w:r>
            <w:r>
              <w:rPr>
                <w:rFonts w:ascii="GHEA Grapalat" w:hAnsi="GHEA Grapalat"/>
                <w:sz w:val="24"/>
                <w:szCs w:val="24"/>
              </w:rPr>
              <w:t>ճամբարի</w:t>
            </w:r>
            <w:r>
              <w:rPr>
                <w:rFonts w:ascii="GHEA Grapalat" w:hAnsi="GHEA Grapalat"/>
                <w:sz w:val="24"/>
                <w:szCs w:val="24"/>
                <w:lang w:val="af-ZA"/>
              </w:rPr>
              <w:t xml:space="preserve"> </w:t>
            </w:r>
            <w:r>
              <w:rPr>
                <w:rFonts w:ascii="GHEA Grapalat" w:hAnsi="GHEA Grapalat"/>
                <w:sz w:val="24"/>
                <w:szCs w:val="24"/>
              </w:rPr>
              <w:t>պայուսակները</w:t>
            </w:r>
            <w:r>
              <w:rPr>
                <w:rFonts w:ascii="GHEA Grapalat" w:hAnsi="GHEA Grapalat"/>
                <w:sz w:val="24"/>
                <w:szCs w:val="24"/>
                <w:lang w:val="af-ZA"/>
              </w:rPr>
              <w:t xml:space="preserve"> 60 </w:t>
            </w:r>
            <w:r>
              <w:rPr>
                <w:rFonts w:ascii="GHEA Grapalat" w:hAnsi="GHEA Grapalat"/>
                <w:sz w:val="24"/>
                <w:szCs w:val="24"/>
              </w:rPr>
              <w:t>հաշվարկային</w:t>
            </w:r>
            <w:r>
              <w:rPr>
                <w:rFonts w:ascii="GHEA Grapalat" w:hAnsi="GHEA Grapalat"/>
                <w:sz w:val="24"/>
                <w:szCs w:val="24"/>
                <w:lang w:val="af-ZA"/>
              </w:rPr>
              <w:t xml:space="preserve"> </w:t>
            </w:r>
            <w:r>
              <w:rPr>
                <w:rFonts w:ascii="GHEA Grapalat" w:hAnsi="GHEA Grapalat"/>
                <w:sz w:val="24"/>
                <w:szCs w:val="24"/>
              </w:rPr>
              <w:t>ցուցանիշներով</w:t>
            </w:r>
            <w:r>
              <w:rPr>
                <w:rFonts w:ascii="GHEA Grapalat" w:hAnsi="GHEA Grapalat"/>
                <w:sz w:val="24"/>
                <w:szCs w:val="24"/>
                <w:lang w:val="af-ZA"/>
              </w:rPr>
              <w:t xml:space="preserve">: </w:t>
            </w:r>
            <w:r>
              <w:rPr>
                <w:rFonts w:ascii="GHEA Grapalat" w:hAnsi="GHEA Grapalat"/>
                <w:sz w:val="24"/>
                <w:szCs w:val="24"/>
              </w:rPr>
              <w:t>Ուստի</w:t>
            </w:r>
            <w:r>
              <w:rPr>
                <w:rFonts w:ascii="GHEA Grapalat" w:hAnsi="GHEA Grapalat"/>
                <w:sz w:val="24"/>
                <w:szCs w:val="24"/>
                <w:lang w:val="af-ZA"/>
              </w:rPr>
              <w:t xml:space="preserve"> </w:t>
            </w:r>
            <w:r>
              <w:rPr>
                <w:rFonts w:ascii="GHEA Grapalat" w:hAnsi="GHEA Grapalat"/>
                <w:sz w:val="24"/>
                <w:szCs w:val="24"/>
              </w:rPr>
              <w:t>խնդրում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Pr>
                <w:rFonts w:ascii="GHEA Grapalat" w:hAnsi="GHEA Grapalat"/>
                <w:sz w:val="24"/>
                <w:szCs w:val="24"/>
              </w:rPr>
              <w:t>հստակեցնել</w:t>
            </w:r>
            <w:r>
              <w:rPr>
                <w:rFonts w:ascii="GHEA Grapalat" w:hAnsi="GHEA Grapalat"/>
                <w:sz w:val="24"/>
                <w:szCs w:val="24"/>
                <w:lang w:val="af-ZA"/>
              </w:rPr>
              <w:t xml:space="preserve"> </w:t>
            </w:r>
            <w:r>
              <w:rPr>
                <w:rFonts w:ascii="GHEA Grapalat" w:hAnsi="GHEA Grapalat"/>
                <w:sz w:val="24"/>
                <w:szCs w:val="24"/>
              </w:rPr>
              <w:t>ծախսերի</w:t>
            </w:r>
            <w:r>
              <w:rPr>
                <w:rFonts w:ascii="GHEA Grapalat" w:hAnsi="GHEA Grapalat"/>
                <w:sz w:val="24"/>
                <w:szCs w:val="24"/>
                <w:lang w:val="af-ZA"/>
              </w:rPr>
              <w:t xml:space="preserve"> </w:t>
            </w:r>
            <w:r>
              <w:rPr>
                <w:rFonts w:ascii="GHEA Grapalat" w:hAnsi="GHEA Grapalat"/>
                <w:sz w:val="24"/>
                <w:szCs w:val="24"/>
              </w:rPr>
              <w:t>մանրամասն</w:t>
            </w:r>
            <w:r>
              <w:rPr>
                <w:rFonts w:ascii="GHEA Grapalat" w:hAnsi="GHEA Grapalat"/>
                <w:sz w:val="24"/>
                <w:szCs w:val="24"/>
                <w:lang w:val="af-ZA"/>
              </w:rPr>
              <w:t xml:space="preserve"> </w:t>
            </w:r>
            <w:r>
              <w:rPr>
                <w:rFonts w:ascii="GHEA Grapalat" w:hAnsi="GHEA Grapalat"/>
                <w:sz w:val="24"/>
                <w:szCs w:val="24"/>
              </w:rPr>
              <w:t>հաշվարկներն</w:t>
            </w:r>
            <w:r>
              <w:rPr>
                <w:rFonts w:ascii="GHEA Grapalat" w:hAnsi="GHEA Grapalat"/>
                <w:sz w:val="24"/>
                <w:szCs w:val="24"/>
                <w:lang w:val="af-ZA"/>
              </w:rPr>
              <w:t xml:space="preserve"> </w:t>
            </w:r>
            <w:r>
              <w:rPr>
                <w:rFonts w:ascii="GHEA Grapalat" w:hAnsi="GHEA Grapalat"/>
                <w:sz w:val="24"/>
                <w:szCs w:val="24"/>
              </w:rPr>
              <w:t>ու</w:t>
            </w:r>
            <w:r>
              <w:rPr>
                <w:rFonts w:ascii="GHEA Grapalat" w:hAnsi="GHEA Grapalat"/>
                <w:sz w:val="24"/>
                <w:szCs w:val="24"/>
                <w:lang w:val="af-ZA"/>
              </w:rPr>
              <w:t xml:space="preserve"> </w:t>
            </w:r>
            <w:r>
              <w:rPr>
                <w:rFonts w:ascii="GHEA Grapalat" w:hAnsi="GHEA Grapalat"/>
                <w:sz w:val="24"/>
                <w:szCs w:val="24"/>
              </w:rPr>
              <w:t>գնագոյացման</w:t>
            </w:r>
            <w:r>
              <w:rPr>
                <w:rFonts w:ascii="GHEA Grapalat" w:hAnsi="GHEA Grapalat"/>
                <w:sz w:val="24"/>
                <w:szCs w:val="24"/>
                <w:lang w:val="af-ZA"/>
              </w:rPr>
              <w:t xml:space="preserve"> </w:t>
            </w:r>
            <w:r>
              <w:rPr>
                <w:rFonts w:ascii="GHEA Grapalat" w:hAnsi="GHEA Grapalat"/>
                <w:sz w:val="24"/>
                <w:szCs w:val="24"/>
              </w:rPr>
              <w:t>մեխանիզմները</w:t>
            </w:r>
            <w:r>
              <w:rPr>
                <w:rFonts w:ascii="GHEA Grapalat" w:hAnsi="GHEA Grapalat"/>
                <w:sz w:val="24"/>
                <w:szCs w:val="24"/>
                <w:lang w:val="af-ZA"/>
              </w:rPr>
              <w:t xml:space="preserve">: </w:t>
            </w:r>
          </w:p>
          <w:p>
            <w:pPr>
              <w:pStyle w:val="Normal"/>
              <w:spacing w:lineRule="auto" w:line="360" w:before="0" w:after="0"/>
              <w:ind w:left="0" w:right="0" w:firstLine="578"/>
              <w:jc w:val="both"/>
              <w:rPr>
                <w:rFonts w:ascii="GHEA Grapalat" w:hAnsi="GHEA Grapalat" w:cs="GHEA Grapalat"/>
                <w:b w:val="false"/>
                <w:b w:val="false"/>
                <w:i w:val="false"/>
                <w:i w:val="false"/>
                <w:caps w:val="false"/>
                <w:smallCaps w:val="false"/>
                <w:color w:val="000000"/>
                <w:spacing w:val="0"/>
                <w:sz w:val="24"/>
                <w:szCs w:val="24"/>
                <w:lang w:val="af-ZA"/>
              </w:rPr>
            </w:pPr>
            <w:r>
              <w:rPr>
                <w:rFonts w:cs="GHEA Grapalat" w:ascii="GHEA Grapalat" w:hAnsi="GHEA Grapalat"/>
                <w:b w:val="false"/>
                <w:i w:val="false"/>
                <w:caps w:val="false"/>
                <w:smallCaps w:val="false"/>
                <w:color w:val="000000"/>
                <w:spacing w:val="0"/>
                <w:sz w:val="24"/>
                <w:szCs w:val="24"/>
                <w:lang w:val="af-ZA"/>
              </w:rPr>
            </w:r>
          </w:p>
        </w:tc>
        <w:tc>
          <w:tcPr>
            <w:tcW w:w="4875" w:type="dxa"/>
            <w:gridSpan w:val="2"/>
            <w:tcBorders>
              <w:left w:val="single" w:sz="4" w:space="0" w:color="000000"/>
              <w:bottom w:val="single" w:sz="4" w:space="0" w:color="000000"/>
              <w:right w:val="single" w:sz="4" w:space="0" w:color="000000"/>
            </w:tcBorders>
            <w:vAlign w:val="center"/>
          </w:tcPr>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FF0000"/>
                <w:sz w:val="24"/>
                <w:szCs w:val="24"/>
                <w:lang w:val="hy-AM"/>
              </w:rPr>
            </w:pPr>
            <w:r>
              <w:rPr>
                <w:rFonts w:ascii="GHEA Grapalat" w:hAnsi="GHEA Grapalat"/>
                <w:color w:val="FF0000"/>
                <w:sz w:val="24"/>
                <w:szCs w:val="24"/>
                <w:lang w:val="hy-AM"/>
              </w:rPr>
            </w:r>
          </w:p>
          <w:p>
            <w:pPr>
              <w:pStyle w:val="Normal"/>
              <w:spacing w:lineRule="auto" w:line="360" w:before="0" w:after="0"/>
              <w:rPr>
                <w:rFonts w:ascii="GHEA Grapalat" w:hAnsi="GHEA Grapalat"/>
                <w:color w:val="111111"/>
                <w:sz w:val="24"/>
                <w:szCs w:val="24"/>
                <w:lang w:val="hy-AM"/>
              </w:rPr>
            </w:pPr>
            <w:r>
              <w:rPr>
                <w:rFonts w:ascii="GHEA Grapalat" w:hAnsi="GHEA Grapalat"/>
                <w:color w:val="111111"/>
                <w:sz w:val="24"/>
                <w:szCs w:val="24"/>
                <w:lang w:val="hy-AM"/>
              </w:rPr>
              <w:t>Ընդունվել է հաշվարկները վերանայվել են և որոշման նախագիծը խմբագրվել է   փաստացի ծախսերից ելնելով։</w:t>
            </w:r>
          </w:p>
        </w:tc>
      </w:tr>
      <w:tr>
        <w:trPr>
          <w:trHeight w:val="70" w:hRule="atLeast"/>
        </w:trPr>
        <w:tc>
          <w:tcPr>
            <w:tcW w:w="561" w:type="dxa"/>
            <w:tcBorders>
              <w:left w:val="single" w:sz="4" w:space="0" w:color="000000"/>
              <w:bottom w:val="single" w:sz="4" w:space="0" w:color="000000"/>
              <w:right w:val="single" w:sz="4" w:space="0" w:color="000000"/>
            </w:tcBorders>
          </w:tcPr>
          <w:p>
            <w:pPr>
              <w:pStyle w:val="ListParagraph"/>
              <w:numPr>
                <w:ilvl w:val="0"/>
                <w:numId w:val="1"/>
              </w:numPr>
              <w:spacing w:lineRule="auto" w:line="276" w:before="0" w:after="0"/>
              <w:ind w:left="306" w:right="0" w:hanging="284"/>
              <w:contextualSpacing/>
              <w:rPr>
                <w:rFonts w:ascii="GHEA Grapalat" w:hAnsi="GHEA Grapalat"/>
                <w:sz w:val="24"/>
                <w:szCs w:val="24"/>
              </w:rPr>
            </w:pPr>
            <w:r>
              <w:rPr>
                <w:rFonts w:ascii="GHEA Grapalat" w:hAnsi="GHEA Grapalat"/>
                <w:sz w:val="24"/>
                <w:szCs w:val="24"/>
              </w:rPr>
            </w:r>
          </w:p>
        </w:tc>
        <w:tc>
          <w:tcPr>
            <w:tcW w:w="8169" w:type="dxa"/>
            <w:tcBorders>
              <w:left w:val="single" w:sz="4" w:space="0" w:color="000000"/>
              <w:bottom w:val="single" w:sz="4" w:space="0" w:color="000000"/>
              <w:right w:val="single" w:sz="4" w:space="0" w:color="000000"/>
            </w:tcBorders>
            <w:vAlign w:val="center"/>
          </w:tcPr>
          <w:p>
            <w:pPr>
              <w:pStyle w:val="Normal"/>
              <w:spacing w:lineRule="auto" w:line="360" w:before="0" w:after="0"/>
              <w:ind w:left="0" w:right="0" w:firstLine="578"/>
              <w:jc w:val="both"/>
              <w:rPr/>
            </w:pPr>
            <w:r>
              <w:rPr>
                <w:rFonts w:ascii="GHEA Grapalat" w:hAnsi="GHEA Grapalat"/>
                <w:sz w:val="24"/>
                <w:szCs w:val="24"/>
                <w:lang w:val="hy-AM"/>
              </w:rPr>
              <w:t xml:space="preserve">3. Ինչ վերաբերում է Նախագծի ձևակերպումներին, ապա </w:t>
            </w:r>
            <w:r>
              <w:rPr>
                <w:rFonts w:ascii="GHEA Grapalat" w:hAnsi="GHEA Grapalat"/>
                <w:sz w:val="24"/>
                <w:szCs w:val="24"/>
              </w:rPr>
              <w:t>բյուջետային</w:t>
            </w:r>
            <w:r>
              <w:rPr>
                <w:rFonts w:ascii="GHEA Grapalat" w:hAnsi="GHEA Grapalat"/>
                <w:sz w:val="24"/>
                <w:szCs w:val="24"/>
                <w:lang w:val="af-ZA"/>
              </w:rPr>
              <w:t xml:space="preserve"> </w:t>
            </w:r>
            <w:r>
              <w:rPr>
                <w:rFonts w:ascii="GHEA Grapalat" w:hAnsi="GHEA Grapalat"/>
                <w:sz w:val="24"/>
                <w:szCs w:val="24"/>
              </w:rPr>
              <w:t>օրենսդրությամբ</w:t>
            </w:r>
            <w:r>
              <w:rPr>
                <w:rFonts w:ascii="GHEA Grapalat" w:hAnsi="GHEA Grapalat"/>
                <w:sz w:val="24"/>
                <w:szCs w:val="24"/>
                <w:lang w:val="af-ZA"/>
              </w:rPr>
              <w:t xml:space="preserve"> (</w:t>
            </w:r>
            <w:r>
              <w:rPr>
                <w:rFonts w:ascii="GHEA Grapalat" w:hAnsi="GHEA Grapalat"/>
                <w:sz w:val="24"/>
                <w:szCs w:val="24"/>
              </w:rPr>
              <w:t>ներառյալ</w:t>
            </w:r>
            <w:r>
              <w:rPr>
                <w:rFonts w:ascii="GHEA Grapalat" w:hAnsi="GHEA Grapalat"/>
                <w:sz w:val="24"/>
                <w:szCs w:val="24"/>
                <w:lang w:val="af-ZA"/>
              </w:rPr>
              <w:t xml:space="preserve"> </w:t>
            </w:r>
            <w:r>
              <w:rPr>
                <w:rFonts w:ascii="GHEA Grapalat" w:hAnsi="GHEA Grapalat"/>
                <w:sz w:val="24"/>
                <w:szCs w:val="24"/>
              </w:rPr>
              <w:t>մեթոդական</w:t>
            </w:r>
            <w:r>
              <w:rPr>
                <w:rFonts w:ascii="GHEA Grapalat" w:hAnsi="GHEA Grapalat"/>
                <w:sz w:val="24"/>
                <w:szCs w:val="24"/>
                <w:lang w:val="af-ZA"/>
              </w:rPr>
              <w:t xml:space="preserve"> </w:t>
            </w:r>
            <w:r>
              <w:rPr>
                <w:rFonts w:ascii="GHEA Grapalat" w:hAnsi="GHEA Grapalat"/>
                <w:sz w:val="24"/>
                <w:szCs w:val="24"/>
              </w:rPr>
              <w:t>ուղեցույցերի</w:t>
            </w:r>
            <w:r>
              <w:rPr>
                <w:rFonts w:ascii="GHEA Grapalat" w:hAnsi="GHEA Grapalat"/>
                <w:sz w:val="24"/>
                <w:szCs w:val="24"/>
                <w:lang w:val="af-ZA"/>
              </w:rPr>
              <w:t xml:space="preserve">) </w:t>
            </w:r>
            <w:r>
              <w:rPr>
                <w:rFonts w:ascii="GHEA Grapalat" w:hAnsi="GHEA Grapalat"/>
                <w:sz w:val="24"/>
                <w:szCs w:val="24"/>
              </w:rPr>
              <w:t>սահմանված</w:t>
            </w:r>
            <w:r>
              <w:rPr>
                <w:rFonts w:ascii="GHEA Grapalat" w:hAnsi="GHEA Grapalat"/>
                <w:sz w:val="24"/>
                <w:szCs w:val="24"/>
                <w:lang w:val="af-ZA"/>
              </w:rPr>
              <w:t xml:space="preserve"> </w:t>
            </w:r>
            <w:r>
              <w:rPr>
                <w:rFonts w:ascii="GHEA Grapalat" w:hAnsi="GHEA Grapalat"/>
                <w:sz w:val="24"/>
                <w:szCs w:val="24"/>
              </w:rPr>
              <w:t>պահանջների</w:t>
            </w:r>
            <w:r>
              <w:rPr>
                <w:rFonts w:ascii="GHEA Grapalat" w:hAnsi="GHEA Grapalat"/>
                <w:sz w:val="24"/>
                <w:szCs w:val="24"/>
                <w:lang w:val="af-ZA"/>
              </w:rPr>
              <w:t xml:space="preserve"> </w:t>
            </w:r>
            <w:r>
              <w:rPr>
                <w:rFonts w:ascii="GHEA Grapalat" w:hAnsi="GHEA Grapalat"/>
                <w:sz w:val="24"/>
                <w:szCs w:val="24"/>
              </w:rPr>
              <w:t>ապահովման</w:t>
            </w:r>
            <w:r>
              <w:rPr>
                <w:rFonts w:ascii="GHEA Grapalat" w:hAnsi="GHEA Grapalat"/>
                <w:sz w:val="24"/>
                <w:szCs w:val="24"/>
                <w:lang w:val="af-ZA"/>
              </w:rPr>
              <w:t xml:space="preserve"> </w:t>
            </w:r>
            <w:r>
              <w:rPr>
                <w:rFonts w:ascii="GHEA Grapalat" w:hAnsi="GHEA Grapalat"/>
                <w:sz w:val="24"/>
                <w:szCs w:val="24"/>
              </w:rPr>
              <w:t>անհրաժեշտությունից</w:t>
            </w:r>
            <w:r>
              <w:rPr>
                <w:rFonts w:ascii="GHEA Grapalat" w:hAnsi="GHEA Grapalat"/>
                <w:sz w:val="24"/>
                <w:szCs w:val="24"/>
                <w:lang w:val="af-ZA"/>
              </w:rPr>
              <w:t xml:space="preserve"> </w:t>
            </w:r>
            <w:r>
              <w:rPr>
                <w:rFonts w:ascii="GHEA Grapalat" w:hAnsi="GHEA Grapalat"/>
                <w:sz w:val="24"/>
                <w:szCs w:val="24"/>
              </w:rPr>
              <w:t>ելնելով</w:t>
            </w:r>
            <w:r>
              <w:rPr>
                <w:rFonts w:ascii="GHEA Grapalat" w:hAnsi="GHEA Grapalat"/>
                <w:sz w:val="24"/>
                <w:szCs w:val="24"/>
                <w:lang w:val="hy-AM"/>
              </w:rPr>
              <w:t xml:space="preserve"> առաջարկում ենք.</w:t>
            </w:r>
          </w:p>
          <w:p>
            <w:pPr>
              <w:pStyle w:val="Normal"/>
              <w:spacing w:lineRule="auto" w:line="360" w:before="0" w:after="0"/>
              <w:ind w:left="0" w:right="0" w:firstLine="578"/>
              <w:jc w:val="both"/>
              <w:rPr>
                <w:rFonts w:ascii="GHEA Grapalat" w:hAnsi="GHEA Grapalat"/>
                <w:sz w:val="24"/>
                <w:szCs w:val="24"/>
                <w:lang w:val="hy-AM"/>
              </w:rPr>
            </w:pPr>
            <w:r>
              <w:rPr>
                <w:rFonts w:ascii="GHEA Grapalat" w:hAnsi="GHEA Grapalat"/>
                <w:sz w:val="24"/>
                <w:szCs w:val="24"/>
                <w:lang w:val="hy-AM"/>
              </w:rPr>
              <w:t xml:space="preserve">- Նախագծի հավելվածներում «Թվայնացման ծրագրի» փոխարեն 1043 «Բարձր տեխնոլոգիական արդյունաբերության էկոհամակարգի և շուկայի զարգացման ծրագրի» ներքո ավելացնել նոր միջոցառում՝ նկատի ունենալով, որ նոր նախաձեռնությունը համահունչ է և բխում է 1043 ծրագրի նպատակից ու վերջնական արդյունքի նկարագրությունից: </w:t>
            </w:r>
          </w:p>
          <w:p>
            <w:pPr>
              <w:pStyle w:val="Normal"/>
              <w:spacing w:lineRule="auto" w:line="360" w:before="0" w:after="0"/>
              <w:ind w:left="0" w:right="0" w:firstLine="578"/>
              <w:jc w:val="both"/>
              <w:rPr>
                <w:rFonts w:ascii="GHEA Grapalat" w:hAnsi="GHEA Grapalat"/>
                <w:sz w:val="24"/>
                <w:szCs w:val="24"/>
                <w:lang w:val="hy-AM"/>
              </w:rPr>
            </w:pPr>
            <w:r>
              <w:rPr>
                <w:rFonts w:ascii="GHEA Grapalat" w:hAnsi="GHEA Grapalat"/>
                <w:sz w:val="24"/>
                <w:szCs w:val="24"/>
                <w:lang w:val="hy-AM"/>
              </w:rPr>
              <w:t xml:space="preserve">- Նախագծի 2-րդ հավելվածում արտացոլել 1043 ծրագրի 11005 ««Գաղափարից մինչև բիզնես» դրամաշնորհներ» միջոցառման  բյուջետային ծախսերի տնտեսագիտական դասակարգման հոդվածի՝ Տիեզերակական գործունեության ամառային դպրոց-ճամբարի  կազմակերպման գումարի չափով փոփոխությունը, քանի որ այն ներառված է Նախագծի 5-րդ հավելվածի գնման անվանացանկում, իսկ 1043 ծրագրի 11005 ««Գաղափարից մինչև բիզնես» դրամաշնորհներ» միջոցառման գումարը նախատեսված է «Այլ ընթացիկ դրամաշնորհներ» տնտեսագիտական հոդվածով: </w:t>
            </w:r>
          </w:p>
          <w:p>
            <w:pPr>
              <w:pStyle w:val="Normal"/>
              <w:spacing w:lineRule="auto" w:line="360" w:before="0" w:after="0"/>
              <w:ind w:left="0" w:right="0" w:firstLine="578"/>
              <w:jc w:val="both"/>
              <w:rPr/>
            </w:pPr>
            <w:r>
              <w:rPr>
                <w:rFonts w:ascii="GHEA Grapalat" w:hAnsi="GHEA Grapalat"/>
                <w:sz w:val="24"/>
                <w:szCs w:val="24"/>
                <w:lang w:val="hy-AM"/>
              </w:rPr>
              <w:t xml:space="preserve">- Նախագիծը լրացնել ՀՀ կառավարության 30.12.2020թ. </w:t>
            </w:r>
            <w:r>
              <w:rPr>
                <w:rFonts w:ascii="GHEA Grapalat" w:hAnsi="GHEA Grapalat"/>
                <w:sz w:val="24"/>
                <w:szCs w:val="24"/>
                <w:lang w:val="af-ZA"/>
              </w:rPr>
              <w:t>N 2215</w:t>
            </w:r>
            <w:r>
              <w:rPr>
                <w:rFonts w:ascii="GHEA Grapalat" w:hAnsi="GHEA Grapalat"/>
                <w:sz w:val="24"/>
                <w:szCs w:val="24"/>
                <w:lang w:val="hy-AM"/>
              </w:rPr>
              <w:t xml:space="preserve">-Ն որոշման N 5 Հավելվածի N 7 աղյուսակում՝ ճամբարի կազմակերպման գումարի չափով 11005 ««Գաղափարից մինչև բիզնես» դրամաշնորհներ» միջոցառման, իսկ թվայնացման ստանդարտների մշակման գումարի չափով՝ 11006 «Հայկական վիրտուալ կամուրջ» միջոցառման նվազեցումներն արտացոլող հավելվածով: </w:t>
            </w:r>
          </w:p>
          <w:p>
            <w:pPr>
              <w:pStyle w:val="Normal"/>
              <w:spacing w:lineRule="auto" w:line="360" w:before="0" w:after="0"/>
              <w:ind w:left="0" w:right="0" w:firstLine="578"/>
              <w:jc w:val="both"/>
              <w:rPr>
                <w:rFonts w:ascii="GHEA Grapalat" w:hAnsi="GHEA Grapalat"/>
                <w:sz w:val="24"/>
                <w:szCs w:val="24"/>
                <w:lang w:val="hy-AM"/>
              </w:rPr>
            </w:pPr>
            <w:r>
              <w:rPr>
                <w:rFonts w:ascii="GHEA Grapalat" w:hAnsi="GHEA Grapalat"/>
                <w:sz w:val="24"/>
                <w:szCs w:val="24"/>
                <w:lang w:val="hy-AM"/>
              </w:rPr>
              <w:t>- Հնարավորինս խմբագրել նոր «Թվայնացման ստանդարտներ, ձևաչափերի և ընթացակարգերի մշակում» միջոցառման նկարագրության ձևակերպումը՝ անհարկի կրկնություններից խուսափելու համար:</w:t>
              <w:tab/>
            </w:r>
          </w:p>
          <w:p>
            <w:pPr>
              <w:pStyle w:val="Normal"/>
              <w:spacing w:lineRule="auto" w:line="360" w:before="0" w:after="0"/>
              <w:ind w:left="0" w:right="0" w:firstLine="578"/>
              <w:jc w:val="both"/>
              <w:rPr/>
            </w:pPr>
            <w:r>
              <w:rPr>
                <w:rFonts w:ascii="GHEA Grapalat" w:hAnsi="GHEA Grapalat"/>
                <w:sz w:val="24"/>
                <w:szCs w:val="24"/>
                <w:lang w:val="hy-AM"/>
              </w:rPr>
              <w:t xml:space="preserve">- Նախագծի 5-րդ հավելվածի «Անվանումը» սյունակում ծրագրերի անվանումների փոխարեն նշել միջոցառումների անվանումները, </w:t>
            </w:r>
            <w:r>
              <w:rPr>
                <w:rFonts w:ascii="GHEA Grapalat" w:hAnsi="GHEA Grapalat"/>
                <w:sz w:val="24"/>
                <w:szCs w:val="24"/>
                <w:lang w:val="es-ES"/>
              </w:rPr>
              <w:t>«</w:t>
            </w:r>
            <w:r>
              <w:rPr>
                <w:rFonts w:ascii="GHEA Grapalat" w:hAnsi="GHEA Grapalat"/>
                <w:color w:val="000000"/>
                <w:sz w:val="24"/>
                <w:szCs w:val="24"/>
                <w:highlight w:val="white"/>
                <w:lang w:val="hy-AM"/>
              </w:rPr>
              <w:t>ՄԱՍ I. ԾԱՌԱՅՈՒԹՅՈՒՆՆԵՐ</w:t>
            </w:r>
            <w:r>
              <w:rPr>
                <w:rFonts w:ascii="GHEA Grapalat" w:hAnsi="GHEA Grapalat"/>
                <w:sz w:val="24"/>
                <w:szCs w:val="24"/>
                <w:lang w:val="es-ES"/>
              </w:rPr>
              <w:t>»</w:t>
            </w:r>
            <w:r>
              <w:rPr>
                <w:rFonts w:ascii="GHEA Grapalat" w:hAnsi="GHEA Grapalat"/>
                <w:sz w:val="24"/>
                <w:szCs w:val="24"/>
                <w:lang w:val="hy-AM"/>
              </w:rPr>
              <w:t xml:space="preserve"> վերնագիրը փոխարինել </w:t>
            </w:r>
            <w:r>
              <w:rPr>
                <w:rFonts w:ascii="GHEA Grapalat" w:hAnsi="GHEA Grapalat"/>
                <w:sz w:val="24"/>
                <w:szCs w:val="24"/>
                <w:lang w:val="es-ES"/>
              </w:rPr>
              <w:t>«</w:t>
            </w:r>
            <w:r>
              <w:rPr>
                <w:rFonts w:ascii="GHEA Grapalat" w:hAnsi="GHEA Grapalat"/>
                <w:color w:val="000000"/>
                <w:sz w:val="24"/>
                <w:szCs w:val="24"/>
                <w:highlight w:val="white"/>
                <w:lang w:val="hy-AM"/>
              </w:rPr>
              <w:t>ՄԱՍ III. ԾԱՌԱՅՈՒԹՅՈՒՆՆԵՐ</w:t>
            </w:r>
            <w:r>
              <w:rPr>
                <w:rFonts w:ascii="GHEA Grapalat" w:hAnsi="GHEA Grapalat"/>
                <w:sz w:val="24"/>
                <w:szCs w:val="24"/>
                <w:lang w:val="es-ES"/>
              </w:rPr>
              <w:t>»</w:t>
            </w:r>
            <w:r>
              <w:rPr>
                <w:rFonts w:ascii="GHEA Grapalat" w:hAnsi="GHEA Grapalat"/>
                <w:sz w:val="24"/>
                <w:szCs w:val="24"/>
                <w:lang w:val="hy-AM"/>
              </w:rPr>
              <w:t xml:space="preserve"> վերնագրով,  իսկ</w:t>
            </w:r>
            <w:r>
              <w:rPr>
                <w:rFonts w:ascii="GHEA Grapalat" w:hAnsi="GHEA Grapalat"/>
                <w:color w:val="000000"/>
                <w:sz w:val="24"/>
                <w:szCs w:val="24"/>
                <w:highlight w:val="white"/>
                <w:lang w:val="hy-AM"/>
              </w:rPr>
              <w:t xml:space="preserve"> 79951100/1 ԳՄԱ կոդի</w:t>
            </w:r>
            <w:r>
              <w:rPr>
                <w:rFonts w:ascii="GHEA Grapalat" w:hAnsi="GHEA Grapalat"/>
                <w:sz w:val="24"/>
                <w:szCs w:val="24"/>
                <w:lang w:val="hy-AM"/>
              </w:rPr>
              <w:t xml:space="preserve"> տողում «Քանակը» սյունակում լրացնել 1 թիվը:</w:t>
            </w:r>
          </w:p>
          <w:p>
            <w:pPr>
              <w:pStyle w:val="Normal"/>
              <w:spacing w:lineRule="auto" w:line="360" w:before="0" w:after="0"/>
              <w:ind w:left="0" w:right="0" w:firstLine="578"/>
              <w:jc w:val="both"/>
              <w:rPr/>
            </w:pPr>
            <w:r>
              <w:rPr>
                <w:rFonts w:cs="GHEA Grapalat" w:ascii="GHEA Grapalat" w:hAnsi="GHEA Grapalat"/>
                <w:b w:val="false"/>
                <w:i w:val="false"/>
                <w:caps w:val="false"/>
                <w:smallCaps w:val="false"/>
                <w:color w:val="000000"/>
                <w:spacing w:val="0"/>
                <w:sz w:val="24"/>
                <w:szCs w:val="24"/>
                <w:lang w:val="af-ZA"/>
              </w:rPr>
              <w:t xml:space="preserve">Միաժամանակ առաջարկում ենք նախագծի հաստատմանը զուգահեռ նախաձեռնել հավելված </w:t>
            </w:r>
            <w:r>
              <w:rPr>
                <w:rFonts w:cs="GHEA Grapalat" w:ascii="GHEA Grapalat" w:hAnsi="GHEA Grapalat"/>
                <w:b w:val="false"/>
                <w:i w:val="false"/>
                <w:caps w:val="false"/>
                <w:smallCaps w:val="false"/>
                <w:color w:val="000000"/>
                <w:spacing w:val="0"/>
                <w:sz w:val="24"/>
                <w:szCs w:val="24"/>
                <w:lang w:val="hy-AM"/>
              </w:rPr>
              <w:t>5</w:t>
            </w:r>
            <w:r>
              <w:rPr>
                <w:rFonts w:cs="GHEA Grapalat" w:ascii="GHEA Grapalat" w:hAnsi="GHEA Grapalat"/>
                <w:b w:val="false"/>
                <w:i w:val="false"/>
                <w:caps w:val="false"/>
                <w:smallCaps w:val="false"/>
                <w:color w:val="000000"/>
                <w:spacing w:val="0"/>
                <w:sz w:val="24"/>
                <w:szCs w:val="24"/>
                <w:lang w:val="af-ZA"/>
              </w:rPr>
              <w:t xml:space="preserve">-ում ներառված </w:t>
            </w:r>
            <w:r>
              <w:rPr>
                <w:rFonts w:cs="GHEA Grapalat" w:ascii="GHEA Grapalat" w:hAnsi="GHEA Grapalat"/>
                <w:b w:val="false"/>
                <w:i w:val="false"/>
                <w:caps w:val="false"/>
                <w:smallCaps w:val="false"/>
                <w:color w:val="000000"/>
                <w:spacing w:val="0"/>
                <w:sz w:val="24"/>
                <w:szCs w:val="24"/>
                <w:lang w:val="hy-AM"/>
              </w:rPr>
              <w:t xml:space="preserve">72311300 </w:t>
            </w:r>
            <w:r>
              <w:rPr>
                <w:rFonts w:cs="GHEA Grapalat" w:ascii="GHEA Grapalat" w:hAnsi="GHEA Grapalat"/>
                <w:b w:val="false"/>
                <w:i w:val="false"/>
                <w:caps w:val="false"/>
                <w:smallCaps w:val="false"/>
                <w:color w:val="000000"/>
                <w:spacing w:val="0"/>
                <w:sz w:val="24"/>
                <w:szCs w:val="24"/>
                <w:lang w:val="af-ZA"/>
              </w:rPr>
              <w:t xml:space="preserve">ԳՄԱ կոդով գնման առարկայի ձեռքբերման ընթացակարգ՝ </w:t>
            </w:r>
            <w:r>
              <w:rPr>
                <w:rFonts w:ascii="GHEA Grapalat" w:hAnsi="GHEA Grapalat"/>
                <w:b w:val="false"/>
                <w:i w:val="false"/>
                <w:caps w:val="false"/>
                <w:smallCaps w:val="false"/>
                <w:color w:val="000000"/>
                <w:spacing w:val="0"/>
                <w:sz w:val="24"/>
                <w:szCs w:val="24"/>
                <w:lang w:val="es-ES"/>
              </w:rPr>
              <w:t>«Գնումների մասին» ՀՀ օրենքի</w:t>
            </w:r>
            <w:r>
              <w:rPr>
                <w:rFonts w:cs="GHEA Grapalat" w:ascii="GHEA Grapalat" w:hAnsi="GHEA Grapalat"/>
                <w:b w:val="false"/>
                <w:i w:val="false"/>
                <w:caps w:val="false"/>
                <w:smallCaps w:val="false"/>
                <w:color w:val="000000"/>
                <w:spacing w:val="0"/>
                <w:sz w:val="24"/>
                <w:szCs w:val="24"/>
                <w:lang w:val="af-ZA"/>
              </w:rPr>
              <w:t xml:space="preserve"> 15-րդ հոդվածի 6-րդ մասի </w:t>
            </w:r>
            <w:r>
              <w:rPr>
                <w:rFonts w:cs="GHEA Grapalat" w:ascii="GHEA Grapalat" w:hAnsi="GHEA Grapalat"/>
                <w:b w:val="false"/>
                <w:i w:val="false"/>
                <w:caps w:val="false"/>
                <w:smallCaps w:val="false"/>
                <w:color w:val="000000"/>
                <w:spacing w:val="0"/>
                <w:sz w:val="24"/>
                <w:szCs w:val="24"/>
                <w:lang w:val="hy-AM"/>
              </w:rPr>
              <w:t>2-րդ կետի կիրառմամբ</w:t>
            </w:r>
            <w:r>
              <w:rPr>
                <w:rFonts w:cs="GHEA Grapalat" w:ascii="GHEA Grapalat" w:hAnsi="GHEA Grapalat"/>
                <w:b w:val="false"/>
                <w:i w:val="false"/>
                <w:caps w:val="false"/>
                <w:smallCaps w:val="false"/>
                <w:color w:val="000000"/>
                <w:spacing w:val="0"/>
                <w:sz w:val="24"/>
                <w:szCs w:val="24"/>
                <w:lang w:val="af-ZA"/>
              </w:rPr>
              <w:t>:</w:t>
            </w:r>
          </w:p>
        </w:tc>
        <w:tc>
          <w:tcPr>
            <w:tcW w:w="4875" w:type="dxa"/>
            <w:gridSpan w:val="2"/>
            <w:tcBorders>
              <w:left w:val="single" w:sz="4" w:space="0" w:color="000000"/>
              <w:bottom w:val="single" w:sz="4" w:space="0" w:color="000000"/>
              <w:right w:val="single" w:sz="4" w:space="0" w:color="000000"/>
            </w:tcBorders>
            <w:vAlign w:val="center"/>
          </w:tcPr>
          <w:p>
            <w:pPr>
              <w:pStyle w:val="Normal"/>
              <w:spacing w:lineRule="auto" w:line="360" w:before="0" w:after="0"/>
              <w:rPr>
                <w:rFonts w:ascii="GHEA Grapalat" w:hAnsi="GHEA Grapalat"/>
                <w:color w:val="000000"/>
                <w:sz w:val="24"/>
                <w:szCs w:val="24"/>
                <w:lang w:val="hy-AM"/>
              </w:rPr>
            </w:pPr>
            <w:r>
              <w:rPr>
                <w:rFonts w:ascii="GHEA Grapalat" w:hAnsi="GHEA Grapalat"/>
                <w:color w:val="000000"/>
                <w:sz w:val="24"/>
                <w:szCs w:val="24"/>
                <w:lang w:val="hy-AM"/>
              </w:rPr>
              <w:t xml:space="preserve">Ընդունվել են և կատարվել են համապատասխան փոփոխություններ։ </w:t>
            </w:r>
          </w:p>
        </w:tc>
      </w:tr>
    </w:tbl>
    <w:tbl>
      <w:tblPr>
        <w:tblW w:w="13605" w:type="dxa"/>
        <w:jc w:val="left"/>
        <w:tblInd w:w="108" w:type="dxa"/>
        <w:tblCellMar>
          <w:top w:w="0" w:type="dxa"/>
          <w:left w:w="108" w:type="dxa"/>
          <w:bottom w:w="0" w:type="dxa"/>
          <w:right w:w="108" w:type="dxa"/>
        </w:tblCellMar>
      </w:tblPr>
      <w:tblGrid>
        <w:gridCol w:w="10848"/>
        <w:gridCol w:w="2757"/>
      </w:tblGrid>
      <w:tr>
        <w:trPr>
          <w:trHeight w:val="557" w:hRule="atLeast"/>
        </w:trPr>
        <w:tc>
          <w:tcPr>
            <w:tcW w:w="10848" w:type="dxa"/>
            <w:vMerge w:val="restart"/>
            <w:tcBorders>
              <w:top w:val="single" w:sz="4" w:space="0" w:color="000000"/>
              <w:left w:val="single" w:sz="4" w:space="0" w:color="000000"/>
              <w:bottom w:val="single" w:sz="4" w:space="0" w:color="000000"/>
              <w:right w:val="single" w:sz="4" w:space="0" w:color="000000"/>
            </w:tcBorders>
            <w:shd w:fill="BFBFBF" w:val="clear"/>
          </w:tcPr>
          <w:p>
            <w:pPr>
              <w:pStyle w:val="Normal"/>
              <w:tabs>
                <w:tab w:val="clear" w:pos="720"/>
                <w:tab w:val="left" w:pos="3375" w:leader="none"/>
                <w:tab w:val="center" w:pos="5316" w:leader="none"/>
              </w:tabs>
              <w:spacing w:lineRule="auto" w:line="276" w:before="0" w:after="0"/>
              <w:rPr>
                <w:rFonts w:ascii="GHEA Grapalat" w:hAnsi="GHEA Grapalat" w:eastAsia="Times New Roman" w:cs="Times New Roman"/>
                <w:b/>
                <w:b/>
                <w:bCs/>
                <w:sz w:val="24"/>
                <w:szCs w:val="24"/>
                <w:lang w:val="af-ZA"/>
              </w:rPr>
            </w:pPr>
            <w:r>
              <w:rPr>
                <w:rFonts w:eastAsia="Times New Roman" w:cs="Times New Roman" w:ascii="GHEA Grapalat" w:hAnsi="GHEA Grapalat"/>
                <w:b/>
                <w:bCs/>
                <w:sz w:val="24"/>
                <w:szCs w:val="24"/>
                <w:lang w:val="af-ZA"/>
              </w:rPr>
              <w:tab/>
            </w:r>
          </w:p>
          <w:p>
            <w:pPr>
              <w:pStyle w:val="ListParagraph"/>
              <w:numPr>
                <w:ilvl w:val="0"/>
                <w:numId w:val="2"/>
              </w:numPr>
              <w:tabs>
                <w:tab w:val="clear" w:pos="720"/>
                <w:tab w:val="left" w:pos="3375" w:leader="none"/>
                <w:tab w:val="center" w:pos="5316" w:leader="none"/>
              </w:tabs>
              <w:spacing w:lineRule="auto" w:line="276" w:before="0" w:after="0"/>
              <w:contextualSpacing/>
              <w:rPr>
                <w:rFonts w:ascii="GHEA Grapalat" w:hAnsi="GHEA Grapalat" w:eastAsia="Times New Roman" w:cs="Times New Roman"/>
                <w:b/>
                <w:b/>
                <w:bCs/>
                <w:sz w:val="24"/>
                <w:szCs w:val="24"/>
              </w:rPr>
            </w:pPr>
            <w:r>
              <w:rPr>
                <w:rFonts w:eastAsia="Times New Roman" w:cs="Times New Roman" w:ascii="GHEA Grapalat" w:hAnsi="GHEA Grapalat"/>
                <w:b/>
                <w:bCs/>
                <w:sz w:val="24"/>
                <w:szCs w:val="24"/>
              </w:rPr>
              <w:t>ՀՀ ֆինանսների նախարարություն</w:t>
            </w:r>
          </w:p>
        </w:tc>
        <w:tc>
          <w:tcPr>
            <w:tcW w:w="2757" w:type="dxa"/>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76" w:before="0" w:after="0"/>
              <w:jc w:val="center"/>
              <w:rPr>
                <w:rFonts w:ascii="GHEA Grapalat" w:hAnsi="GHEA Grapalat" w:eastAsia="Times New Roman"/>
                <w:b/>
                <w:b/>
                <w:bCs/>
                <w:sz w:val="24"/>
                <w:szCs w:val="24"/>
                <w:lang w:val="hy-AM" w:eastAsia="ru-RU"/>
              </w:rPr>
            </w:pPr>
            <w:r>
              <w:rPr>
                <w:rFonts w:eastAsia="Times New Roman" w:ascii="GHEA Grapalat" w:hAnsi="GHEA Grapalat"/>
                <w:b/>
                <w:bCs/>
                <w:sz w:val="24"/>
                <w:szCs w:val="24"/>
                <w:lang w:val="hy-AM" w:eastAsia="ru-RU"/>
              </w:rPr>
              <w:t>14</w:t>
            </w:r>
            <w:r>
              <w:rPr>
                <w:rFonts w:eastAsia="Times New Roman" w:ascii="GHEA Grapalat" w:hAnsi="GHEA Grapalat"/>
                <w:b/>
                <w:bCs/>
                <w:sz w:val="24"/>
                <w:szCs w:val="24"/>
                <w:lang w:val="hy-AM" w:eastAsia="ru-RU"/>
              </w:rPr>
              <w:t>.0</w:t>
            </w:r>
            <w:r>
              <w:rPr>
                <w:rFonts w:eastAsia="Times New Roman" w:ascii="GHEA Grapalat" w:hAnsi="GHEA Grapalat"/>
                <w:b/>
                <w:bCs/>
                <w:sz w:val="24"/>
                <w:szCs w:val="24"/>
                <w:lang w:val="hy-AM" w:eastAsia="ru-RU"/>
              </w:rPr>
              <w:t>9</w:t>
            </w:r>
            <w:r>
              <w:rPr>
                <w:rFonts w:eastAsia="Times New Roman" w:ascii="GHEA Grapalat" w:hAnsi="GHEA Grapalat"/>
                <w:b/>
                <w:bCs/>
                <w:sz w:val="24"/>
                <w:szCs w:val="24"/>
                <w:lang w:val="hy-AM" w:eastAsia="ru-RU"/>
              </w:rPr>
              <w:t xml:space="preserve">.2021թ․ </w:t>
            </w:r>
          </w:p>
        </w:tc>
      </w:tr>
      <w:tr>
        <w:trPr>
          <w:trHeight w:val="363" w:hRule="atLeast"/>
        </w:trPr>
        <w:tc>
          <w:tcPr>
            <w:tcW w:w="10848" w:type="dxa"/>
            <w:vMerge w:val="continue"/>
            <w:tcBorders>
              <w:top w:val="single" w:sz="4" w:space="0" w:color="000000"/>
              <w:left w:val="single" w:sz="4" w:space="0" w:color="000000"/>
              <w:bottom w:val="single" w:sz="4" w:space="0" w:color="000000"/>
              <w:right w:val="single" w:sz="4" w:space="0" w:color="000000"/>
            </w:tcBorders>
            <w:shd w:fill="BFBFBF" w:val="clear"/>
          </w:tcPr>
          <w:p>
            <w:pPr>
              <w:pStyle w:val="Normal"/>
              <w:widowControl/>
              <w:suppressAutoHyphens w:val="true"/>
              <w:bidi w:val="0"/>
              <w:spacing w:lineRule="auto" w:line="259" w:before="0" w:after="160"/>
              <w:jc w:val="left"/>
              <w:rPr/>
            </w:pPr>
            <w:r>
              <w:rPr/>
            </w:r>
          </w:p>
        </w:tc>
        <w:tc>
          <w:tcPr>
            <w:tcW w:w="2757" w:type="dxa"/>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76" w:before="0" w:after="0"/>
              <w:jc w:val="center"/>
              <w:rPr>
                <w:rFonts w:ascii="GHEA Grapalat" w:hAnsi="GHEA Grapalat" w:eastAsia="Times New Roman"/>
                <w:b/>
                <w:b/>
                <w:bCs/>
                <w:i w:val="false"/>
                <w:i w:val="false"/>
                <w:caps w:val="false"/>
                <w:smallCaps w:val="false"/>
                <w:color w:val="000000"/>
                <w:spacing w:val="0"/>
                <w:sz w:val="24"/>
                <w:szCs w:val="24"/>
                <w:lang w:val="hy-AM" w:eastAsia="ru-RU"/>
              </w:rPr>
            </w:pPr>
            <w:r>
              <w:rPr>
                <w:rFonts w:eastAsia="Times New Roman" w:ascii="GHEA Grapalat" w:hAnsi="GHEA Grapalat"/>
                <w:b/>
                <w:bCs/>
                <w:i w:val="false"/>
                <w:caps w:val="false"/>
                <w:smallCaps w:val="false"/>
                <w:color w:val="000000"/>
                <w:spacing w:val="0"/>
                <w:sz w:val="24"/>
                <w:szCs w:val="24"/>
                <w:lang w:val="hy-AM" w:eastAsia="ru-RU"/>
              </w:rPr>
              <w:t>01/8-1/14829-2021</w:t>
            </w:r>
          </w:p>
        </w:tc>
      </w:tr>
    </w:tbl>
    <w:tbl>
      <w:tblPr>
        <w:tblW w:w="13605" w:type="dxa"/>
        <w:jc w:val="left"/>
        <w:tblInd w:w="108" w:type="dxa"/>
        <w:tblCellMar>
          <w:top w:w="0" w:type="dxa"/>
          <w:left w:w="108" w:type="dxa"/>
          <w:bottom w:w="0" w:type="dxa"/>
          <w:right w:w="108" w:type="dxa"/>
        </w:tblCellMar>
      </w:tblPr>
      <w:tblGrid>
        <w:gridCol w:w="561"/>
        <w:gridCol w:w="8169"/>
        <w:gridCol w:w="4875"/>
      </w:tblGrid>
      <w:tr>
        <w:trPr>
          <w:trHeight w:val="70" w:hRule="atLeast"/>
        </w:trPr>
        <w:tc>
          <w:tcPr>
            <w:tcW w:w="561" w:type="dxa"/>
            <w:tcBorders>
              <w:top w:val="single" w:sz="4" w:space="0" w:color="000000"/>
              <w:left w:val="single" w:sz="4" w:space="0" w:color="000000"/>
              <w:bottom w:val="single" w:sz="4" w:space="0" w:color="000000"/>
              <w:right w:val="single" w:sz="4" w:space="0" w:color="000000"/>
            </w:tcBorders>
          </w:tcPr>
          <w:p>
            <w:pPr>
              <w:pStyle w:val="ListParagraph"/>
              <w:numPr>
                <w:ilvl w:val="0"/>
                <w:numId w:val="0"/>
              </w:numPr>
              <w:spacing w:lineRule="auto" w:line="276" w:before="0" w:after="0"/>
              <w:ind w:left="772" w:right="0" w:hanging="0"/>
              <w:contextualSpacing/>
              <w:rPr>
                <w:rFonts w:ascii="GHEA Grapalat" w:hAnsi="GHEA Grapalat"/>
                <w:sz w:val="24"/>
                <w:szCs w:val="24"/>
              </w:rPr>
            </w:pPr>
            <w:r>
              <w:rPr>
                <w:rFonts w:ascii="GHEA Grapalat" w:hAnsi="GHEA Grapalat"/>
                <w:sz w:val="24"/>
                <w:szCs w:val="24"/>
              </w:rPr>
            </w:r>
          </w:p>
        </w:tc>
        <w:tc>
          <w:tcPr>
            <w:tcW w:w="816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before="0" w:after="0"/>
              <w:ind w:firstLine="578"/>
              <w:jc w:val="both"/>
              <w:rPr>
                <w:rFonts w:ascii="GHEA Grapalat" w:hAnsi="GHEA Grapalat"/>
                <w:sz w:val="24"/>
                <w:szCs w:val="24"/>
                <w:lang w:val="hy-AM"/>
              </w:rPr>
            </w:pPr>
            <w:r>
              <w:rPr>
                <w:rFonts w:ascii="GHEA Grapalat" w:hAnsi="GHEA Grapalat"/>
                <w:sz w:val="24"/>
                <w:szCs w:val="24"/>
                <w:lang w:val="hy-AM"/>
              </w:rPr>
              <w:t>Հարգելի պարոն</w:t>
            </w:r>
            <w:r>
              <w:rPr>
                <w:rFonts w:ascii="GHEA Grapalat" w:hAnsi="GHEA Grapalat"/>
                <w:sz w:val="24"/>
                <w:szCs w:val="24"/>
              </w:rPr>
              <w:t xml:space="preserve"> </w:t>
            </w:r>
            <w:r>
              <w:rPr>
                <w:rFonts w:ascii="GHEA Grapalat" w:hAnsi="GHEA Grapalat"/>
                <w:sz w:val="24"/>
                <w:szCs w:val="24"/>
                <w:lang w:val="hy-AM"/>
              </w:rPr>
              <w:t>Խաչատուրյան</w:t>
            </w:r>
          </w:p>
          <w:p>
            <w:pPr>
              <w:pStyle w:val="Normal"/>
              <w:spacing w:lineRule="auto" w:line="360" w:before="0" w:after="0"/>
              <w:ind w:firstLine="578"/>
              <w:jc w:val="both"/>
              <w:rPr>
                <w:rFonts w:ascii="GHEA Grapalat" w:hAnsi="GHEA Grapalat"/>
                <w:sz w:val="24"/>
                <w:szCs w:val="24"/>
                <w:lang w:val="hy-AM"/>
              </w:rPr>
            </w:pPr>
            <w:r>
              <w:rPr>
                <w:rFonts w:ascii="GHEA Grapalat" w:hAnsi="GHEA Grapalat"/>
                <w:sz w:val="24"/>
                <w:szCs w:val="24"/>
                <w:lang w:val="hy-AM"/>
              </w:rPr>
              <w:t>Ի կատարումն ՀՀ վարչապետի 10.08.2021թ. N 02/16.5/31184-2021 հանձնարարականի՝ «Հայաստանի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ու լրա</w:t>
              <w:softHyphen/>
              <w:t>ցումներ կատարելու մասին» ՀՀ կառավարության որոշման նախագծի (այսուհետ՝ Նախագիծ) վերաբերյալ հայտնում ենք հետևյալը.</w:t>
            </w:r>
          </w:p>
          <w:p>
            <w:pPr>
              <w:pStyle w:val="Normal"/>
              <w:spacing w:lineRule="auto" w:line="360" w:before="0" w:after="0"/>
              <w:ind w:firstLine="578"/>
              <w:jc w:val="both"/>
              <w:rPr>
                <w:rFonts w:ascii="GHEA Grapalat" w:hAnsi="GHEA Grapalat"/>
                <w:sz w:val="24"/>
                <w:szCs w:val="24"/>
                <w:lang w:val="hy-AM"/>
              </w:rPr>
            </w:pPr>
            <w:r>
              <w:rPr>
                <w:rFonts w:ascii="GHEA Grapalat" w:hAnsi="GHEA Grapalat"/>
                <w:sz w:val="24"/>
                <w:szCs w:val="24"/>
                <w:lang w:val="hy-AM"/>
              </w:rPr>
              <w:t>Նախագծով առ</w:t>
            </w:r>
            <w:r>
              <w:rPr>
                <w:rFonts w:ascii="GHEA Grapalat" w:hAnsi="GHEA Grapalat"/>
                <w:sz w:val="24"/>
                <w:szCs w:val="24"/>
                <w:lang w:val="af-ZA"/>
              </w:rPr>
              <w:t xml:space="preserve">աջարկվում է </w:t>
            </w:r>
            <w:r>
              <w:rPr>
                <w:rFonts w:ascii="GHEA Grapalat" w:hAnsi="GHEA Grapalat"/>
                <w:sz w:val="24"/>
                <w:szCs w:val="24"/>
                <w:lang w:val="hy-AM"/>
              </w:rPr>
              <w:t>1043 «Բարձր տեխնոլոգիական արդյունաբերության էկոհամակարգի և շուկայի զարգացման ծրագրի» 11005 ««Գաղափարից մինչև բիզնես» դրամաշնորհներ» միջոցառումից 106.0 մլն դրամը և 11006 «</w:t>
            </w:r>
            <w:r>
              <w:rPr>
                <w:rFonts w:eastAsia="Times New Roman" w:ascii="GHEA Grapalat" w:hAnsi="GHEA Grapalat"/>
                <w:sz w:val="24"/>
                <w:szCs w:val="24"/>
                <w:lang w:val="hy-AM"/>
              </w:rPr>
              <w:t>Հայկական վիրտուալ կամուրջ</w:t>
            </w:r>
            <w:r>
              <w:rPr>
                <w:rFonts w:ascii="GHEA Grapalat" w:hAnsi="GHEA Grapalat"/>
                <w:sz w:val="24"/>
                <w:szCs w:val="24"/>
                <w:lang w:val="hy-AM"/>
              </w:rPr>
              <w:t xml:space="preserve">» միջոցառումից 105.0 մլն դրամը նվազեցնել (համավարակով պայմանավորված սփյուռքահայ երիտասարդների Ներուժ միջոցառման իրականացման ռիսկայնությամբ պայմանավորված) և ուղղել ՀՀ կառավարության պահուստային ֆոնդ: Իսկ  11005 ««Գաղափարից մինչև բիզնես» դրամաշնորհներ» միջոցառման շրջանակներում 4.0 մլն դրամն ուղղել ս.թ. օգոստոսի 29-ից սեպտեմբերի 1-ը կայացած ՀՀ Տիեզերակական գործունեության ամառային դպրոց-ճամբարի կազմակերպմանը և 8.1 մլն դրամը՝ </w:t>
            </w:r>
            <w:r>
              <w:rPr>
                <w:rFonts w:cs="Sylfaen" w:ascii="GHEA Grapalat" w:hAnsi="GHEA Grapalat"/>
                <w:color w:val="000000"/>
                <w:sz w:val="24"/>
                <w:szCs w:val="24"/>
                <w:lang w:val="af-ZA"/>
              </w:rPr>
              <w:t>Կարեն Վարդանյանի անվան առաջին ԱԹՍ մրցույթ</w:t>
            </w:r>
            <w:r>
              <w:rPr>
                <w:rFonts w:cs="Sylfaen" w:ascii="GHEA Grapalat" w:hAnsi="GHEA Grapalat"/>
                <w:color w:val="000000"/>
                <w:sz w:val="24"/>
                <w:szCs w:val="24"/>
                <w:lang w:val="hy-AM"/>
              </w:rPr>
              <w:t>ի կազմակերպմանը, որոնց կապակցությամբ առարկություններ չունենք</w:t>
            </w:r>
            <w:r>
              <w:rPr>
                <w:rFonts w:ascii="GHEA Grapalat" w:hAnsi="GHEA Grapalat"/>
                <w:sz w:val="24"/>
                <w:szCs w:val="24"/>
                <w:lang w:val="hy-AM"/>
              </w:rPr>
              <w:t xml:space="preserve">: </w:t>
            </w:r>
          </w:p>
          <w:p>
            <w:pPr>
              <w:pStyle w:val="Normal"/>
              <w:spacing w:lineRule="auto" w:line="360" w:before="0" w:after="0"/>
              <w:ind w:firstLine="578"/>
              <w:jc w:val="both"/>
              <w:rPr>
                <w:rFonts w:ascii="GHEA Grapalat" w:hAnsi="GHEA Grapalat"/>
                <w:sz w:val="24"/>
                <w:szCs w:val="24"/>
                <w:lang w:val="hy-AM"/>
              </w:rPr>
            </w:pPr>
            <w:r>
              <w:rPr>
                <w:rFonts w:ascii="GHEA Grapalat" w:hAnsi="GHEA Grapalat"/>
                <w:sz w:val="24"/>
                <w:szCs w:val="24"/>
                <w:lang w:val="hy-AM"/>
              </w:rPr>
              <w:t>Միաժամանակ խմբագրական առումով առաջարկում ենք Նախագծի 1-ին, 2-րդ, 4-րդ և 5-րդ հավելվածներում վերանայել 11006 «Հայկական վիրտուալ կամուրջ» միջոցառումից նվազեցվող գումարի եռամսյակային բաշխումը (վերաբաշխվող ամբողջ գումարը նախատեսել ինն ամսում), քանի որ ՀՀ կառավարության 30.12.2021թ. N2215-Ն որոշմամբ հաստատված եռամսյակային համամասնություններով 2021 թվականի 4-րդ եռամսյակում գումար նախատեսված չէ:</w:t>
            </w:r>
          </w:p>
          <w:p>
            <w:pPr>
              <w:pStyle w:val="Normal"/>
              <w:spacing w:lineRule="auto" w:line="360" w:before="0" w:after="0"/>
              <w:ind w:firstLine="578"/>
              <w:jc w:val="both"/>
              <w:rPr>
                <w:rFonts w:ascii="GHEA Grapalat" w:hAnsi="GHEA Grapalat"/>
                <w:color w:val="000000"/>
                <w:sz w:val="24"/>
                <w:szCs w:val="24"/>
                <w:lang w:val="hy-AM"/>
              </w:rPr>
            </w:pPr>
            <w:r>
              <w:rPr>
                <w:rFonts w:ascii="GHEA Grapalat" w:hAnsi="GHEA Grapalat"/>
                <w:sz w:val="24"/>
                <w:szCs w:val="24"/>
                <w:lang w:val="hy-AM"/>
              </w:rPr>
              <w:t xml:space="preserve">Ինչ վերաբերում է նախագծի ամփոփաթերթի այն մոտեցմանը, որ </w:t>
            </w:r>
            <w:r>
              <w:rPr>
                <w:rFonts w:ascii="GHEA Grapalat" w:hAnsi="GHEA Grapalat"/>
                <w:color w:val="000000"/>
                <w:sz w:val="24"/>
                <w:szCs w:val="24"/>
                <w:lang w:val="hy-AM"/>
              </w:rPr>
              <w:t>1043 ծրագրի «Հայկական վիրտուալ կամուրջ» միջոցառման համար նախատեսված գումարից 105.0 մլն դրամը ՀՀ կառավարության պահուստային ֆոնդ ուղղվում է պայմանով, որ 2022 թ ՀՀ պետական բյուջեով նշված գումարի չափով միջոցներ կնախատեսվեն «</w:t>
            </w:r>
            <w:r>
              <w:rPr>
                <w:rFonts w:cs="Arial" w:ascii="GHEA Grapalat" w:hAnsi="GHEA Grapalat"/>
                <w:color w:val="000000"/>
                <w:sz w:val="24"/>
                <w:szCs w:val="24"/>
                <w:lang w:val="hy-AM"/>
              </w:rPr>
              <w:t>Թվայնացման</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պահանջների</w:t>
            </w:r>
            <w:r>
              <w:rPr>
                <w:rFonts w:ascii="GHEA Grapalat" w:hAnsi="GHEA Grapalat"/>
                <w:color w:val="000000"/>
                <w:sz w:val="24"/>
                <w:szCs w:val="24"/>
                <w:lang w:val="hy-AM"/>
              </w:rPr>
              <w:t>/</w:t>
            </w:r>
            <w:r>
              <w:rPr>
                <w:rFonts w:cs="Arial" w:ascii="GHEA Grapalat" w:hAnsi="GHEA Grapalat"/>
                <w:color w:val="000000"/>
                <w:sz w:val="24"/>
                <w:szCs w:val="24"/>
                <w:lang w:val="hy-AM"/>
              </w:rPr>
              <w:t>ստանդարտների</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մշակում</w:t>
            </w:r>
            <w:r>
              <w:rPr>
                <w:rFonts w:ascii="GHEA Grapalat" w:hAnsi="GHEA Grapalat"/>
                <w:color w:val="000000"/>
                <w:sz w:val="24"/>
                <w:szCs w:val="24"/>
                <w:lang w:val="hy-AM"/>
              </w:rPr>
              <w:t xml:space="preserve">» </w:t>
            </w:r>
            <w:r>
              <w:rPr>
                <w:rFonts w:cs="Arial" w:ascii="GHEA Grapalat" w:hAnsi="GHEA Grapalat"/>
                <w:color w:val="000000"/>
                <w:sz w:val="24"/>
                <w:szCs w:val="24"/>
                <w:lang w:val="hy-AM"/>
              </w:rPr>
              <w:t>և</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Պետական</w:t>
            </w:r>
            <w:r>
              <w:rPr>
                <w:rFonts w:ascii="GHEA Grapalat" w:hAnsi="GHEA Grapalat"/>
                <w:color w:val="000000"/>
                <w:sz w:val="24"/>
                <w:szCs w:val="24"/>
                <w:lang w:val="hy-AM"/>
              </w:rPr>
              <w:t xml:space="preserve"> </w:t>
            </w:r>
            <w:r>
              <w:rPr>
                <w:rFonts w:cs="Arial" w:ascii="GHEA Grapalat" w:hAnsi="GHEA Grapalat"/>
                <w:color w:val="000000"/>
                <w:sz w:val="24"/>
                <w:szCs w:val="24"/>
                <w:lang w:val="hy-AM"/>
              </w:rPr>
              <w:t>ամպային</w:t>
            </w:r>
            <w:r>
              <w:rPr>
                <w:rFonts w:ascii="GHEA Grapalat" w:hAnsi="GHEA Grapalat"/>
                <w:color w:val="000000"/>
                <w:sz w:val="24"/>
                <w:szCs w:val="24"/>
                <w:lang w:val="hy-AM"/>
              </w:rPr>
              <w:t xml:space="preserve"> ենթակառուցվածքային պահանջների/ստանդարտների մշակում» միջոցառման համար, ապա նշենք, որ առաջիկա տարվա բյուջեում ներառվող միջոցառումների նպատակահարմարությունն ու ֆինանսավորման չափը քննարկվում և նախատեսվում է համապատասխան բյուջետային գործընթացի շրջանակներում:</w:t>
            </w:r>
            <w:r>
              <w:rPr>
                <w:rFonts w:cs="Arial" w:ascii="GHEA Grapalat" w:hAnsi="GHEA Grapalat"/>
                <w:color w:val="000000"/>
                <w:sz w:val="24"/>
                <w:szCs w:val="24"/>
                <w:lang w:val="hy-AM"/>
              </w:rPr>
              <w:t xml:space="preserve"> </w:t>
            </w:r>
          </w:p>
        </w:tc>
        <w:tc>
          <w:tcPr>
            <w:tcW w:w="48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before="0" w:after="0"/>
              <w:rPr>
                <w:rFonts w:ascii="GHEA Grapalat" w:hAnsi="GHEA Grapalat"/>
                <w:color w:val="000000"/>
                <w:sz w:val="24"/>
                <w:szCs w:val="24"/>
                <w:lang w:val="hy-AM"/>
              </w:rPr>
            </w:pPr>
            <w:r>
              <w:rPr/>
            </w:r>
          </w:p>
          <w:p>
            <w:pPr>
              <w:pStyle w:val="Normal"/>
              <w:spacing w:lineRule="auto" w:line="360" w:before="0" w:after="0"/>
              <w:rPr>
                <w:rFonts w:ascii="GHEA Grapalat" w:hAnsi="GHEA Grapalat"/>
                <w:color w:val="000000"/>
                <w:sz w:val="24"/>
                <w:szCs w:val="24"/>
                <w:lang w:val="hy-AM"/>
              </w:rPr>
            </w:pPr>
            <w:r>
              <w:rPr/>
            </w:r>
          </w:p>
          <w:p>
            <w:pPr>
              <w:pStyle w:val="Normal"/>
              <w:spacing w:lineRule="auto" w:line="360" w:before="0" w:after="0"/>
              <w:rPr>
                <w:rFonts w:ascii="GHEA Grapalat" w:hAnsi="GHEA Grapalat" w:eastAsia="Calibri" w:cs="DejaVu Sans"/>
                <w:color w:val="auto"/>
                <w:kern w:val="0"/>
                <w:sz w:val="24"/>
                <w:szCs w:val="24"/>
                <w:lang w:val="hy-AM" w:eastAsia="en-US" w:bidi="ar-SA"/>
              </w:rPr>
            </w:pPr>
            <w:r>
              <w:rPr>
                <w:rFonts w:eastAsia="Calibri" w:cs="DejaVu Sans" w:ascii="GHEA Grapalat" w:hAnsi="GHEA Grapalat"/>
                <w:color w:val="auto"/>
                <w:kern w:val="0"/>
                <w:sz w:val="24"/>
                <w:szCs w:val="24"/>
                <w:lang w:val="hy-AM" w:eastAsia="en-US" w:bidi="ar-SA"/>
              </w:rPr>
            </w:r>
          </w:p>
          <w:p>
            <w:pPr>
              <w:pStyle w:val="Normal"/>
              <w:spacing w:lineRule="auto" w:line="360" w:before="0" w:after="0"/>
              <w:rPr>
                <w:rFonts w:ascii="GHEA Grapalat" w:hAnsi="GHEA Grapalat" w:eastAsia="Calibri" w:cs="DejaVu Sans"/>
                <w:color w:val="auto"/>
                <w:kern w:val="0"/>
                <w:sz w:val="24"/>
                <w:szCs w:val="24"/>
                <w:lang w:val="hy-AM" w:eastAsia="en-US" w:bidi="ar-SA"/>
              </w:rPr>
            </w:pPr>
            <w:r>
              <w:rPr>
                <w:rFonts w:eastAsia="Calibri" w:cs="DejaVu Sans" w:ascii="GHEA Grapalat" w:hAnsi="GHEA Grapalat"/>
                <w:color w:val="auto"/>
                <w:kern w:val="0"/>
                <w:sz w:val="24"/>
                <w:szCs w:val="24"/>
                <w:lang w:val="hy-AM" w:eastAsia="en-US" w:bidi="ar-SA"/>
              </w:rPr>
              <w:t xml:space="preserve">Խմբագրական առումով ներկայացված առաջարկը ընդունվել է և կատարվել է համապատասխան փոփոխություն։ </w:t>
            </w:r>
          </w:p>
        </w:tc>
      </w:tr>
    </w:tbl>
    <w:p>
      <w:pPr>
        <w:pStyle w:val="Normal"/>
        <w:spacing w:before="0" w:after="160"/>
        <w:rPr/>
      </w:pPr>
      <w:r>
        <w:rPr/>
      </w:r>
    </w:p>
    <w:sectPr>
      <w:type w:val="nextPage"/>
      <w:pgSz w:orient="landscape" w:w="15840" w:h="12240"/>
      <w:pgMar w:left="1134" w:right="1134" w:header="0" w:top="540"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Arial Armenian">
    <w:charset w:val="01"/>
    <w:family w:val="roman"/>
    <w:pitch w:val="variable"/>
  </w:font>
  <w:font w:name="Liberation Sans">
    <w:altName w:val="Arial"/>
    <w:charset w:val="01"/>
    <w:family w:val="roman"/>
    <w:pitch w:val="variable"/>
  </w:font>
  <w:font w:name="GHEA Grapalat">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75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
    <w:lvl w:ilvl="0">
      <w:start w:val="1"/>
      <w:numFmt w:val="decimal"/>
      <w:lvlText w:val="%1"/>
      <w:lvlJc w:val="left"/>
      <w:pPr>
        <w:tabs>
          <w:tab w:val="num" w:pos="0"/>
        </w:tabs>
        <w:ind w:left="3735" w:hanging="360"/>
      </w:pPr>
    </w:lvl>
    <w:lvl w:ilvl="1">
      <w:start w:val="1"/>
      <w:numFmt w:val="lowerLetter"/>
      <w:lvlText w:val="%1.%2"/>
      <w:lvlJc w:val="left"/>
      <w:pPr>
        <w:tabs>
          <w:tab w:val="num" w:pos="0"/>
        </w:tabs>
        <w:ind w:left="4455" w:hanging="360"/>
      </w:pPr>
    </w:lvl>
    <w:lvl w:ilvl="2">
      <w:start w:val="1"/>
      <w:numFmt w:val="lowerRoman"/>
      <w:lvlText w:val="%2.%3"/>
      <w:lvlJc w:val="right"/>
      <w:pPr>
        <w:tabs>
          <w:tab w:val="num" w:pos="0"/>
        </w:tabs>
        <w:ind w:left="5175" w:hanging="180"/>
      </w:pPr>
    </w:lvl>
    <w:lvl w:ilvl="3">
      <w:start w:val="1"/>
      <w:numFmt w:val="decimal"/>
      <w:lvlText w:val="%3.%4"/>
      <w:lvlJc w:val="left"/>
      <w:pPr>
        <w:tabs>
          <w:tab w:val="num" w:pos="0"/>
        </w:tabs>
        <w:ind w:left="5895" w:hanging="360"/>
      </w:pPr>
    </w:lvl>
    <w:lvl w:ilvl="4">
      <w:start w:val="1"/>
      <w:numFmt w:val="lowerLetter"/>
      <w:lvlText w:val="%4.%5"/>
      <w:lvlJc w:val="left"/>
      <w:pPr>
        <w:tabs>
          <w:tab w:val="num" w:pos="0"/>
        </w:tabs>
        <w:ind w:left="6615" w:hanging="360"/>
      </w:pPr>
    </w:lvl>
    <w:lvl w:ilvl="5">
      <w:start w:val="1"/>
      <w:numFmt w:val="lowerRoman"/>
      <w:lvlText w:val="%5.%6"/>
      <w:lvlJc w:val="right"/>
      <w:pPr>
        <w:tabs>
          <w:tab w:val="num" w:pos="0"/>
        </w:tabs>
        <w:ind w:left="7335" w:hanging="180"/>
      </w:pPr>
    </w:lvl>
    <w:lvl w:ilvl="6">
      <w:start w:val="1"/>
      <w:numFmt w:val="decimal"/>
      <w:lvlText w:val="%6.%7"/>
      <w:lvlJc w:val="left"/>
      <w:pPr>
        <w:tabs>
          <w:tab w:val="num" w:pos="0"/>
        </w:tabs>
        <w:ind w:left="8055" w:hanging="360"/>
      </w:pPr>
    </w:lvl>
    <w:lvl w:ilvl="7">
      <w:start w:val="1"/>
      <w:numFmt w:val="lowerLetter"/>
      <w:lvlText w:val="%7.%8"/>
      <w:lvlJc w:val="left"/>
      <w:pPr>
        <w:tabs>
          <w:tab w:val="num" w:pos="0"/>
        </w:tabs>
        <w:ind w:left="8775" w:hanging="360"/>
      </w:pPr>
    </w:lvl>
    <w:lvl w:ilvl="8">
      <w:start w:val="1"/>
      <w:numFmt w:val="lowerRoman"/>
      <w:lvlText w:val="%8.%9"/>
      <w:lvlJc w:val="right"/>
      <w:pPr>
        <w:tabs>
          <w:tab w:val="num" w:pos="0"/>
        </w:tabs>
        <w:ind w:left="949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 w:val="20"/>
        <w:szCs w:val="22"/>
        <w:lang w:val="en-US"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59" w:before="0" w:after="160"/>
      <w:jc w:val="left"/>
    </w:pPr>
    <w:rPr>
      <w:rFonts w:ascii="Calibri" w:hAnsi="Calibri" w:eastAsia="Calibri" w:cs="DejaVu Sans"/>
      <w:color w:val="auto"/>
      <w:kern w:val="0"/>
      <w:sz w:val="22"/>
      <w:szCs w:val="22"/>
      <w:lang w:val="en-US" w:eastAsia="en-US" w:bidi="ar-SA"/>
    </w:rPr>
  </w:style>
  <w:style w:type="character" w:styleId="DefaultParagraphFont">
    <w:name w:val="Default Paragraph Font"/>
    <w:qFormat/>
    <w:rPr/>
  </w:style>
  <w:style w:type="character" w:styleId="Strong">
    <w:name w:val="Strong"/>
    <w:basedOn w:val="DefaultParagraphFont"/>
    <w:qFormat/>
    <w:rPr>
      <w:b/>
      <w:bCs/>
    </w:rPr>
  </w:style>
  <w:style w:type="character" w:styleId="BodyTextChar">
    <w:name w:val="Body Text Char"/>
    <w:basedOn w:val="DefaultParagraphFont"/>
    <w:qFormat/>
    <w:rPr>
      <w:rFonts w:ascii="Times New Roman" w:hAnsi="Times New Roman" w:eastAsia="Times New Roman" w:cs="Times New Roman"/>
      <w:sz w:val="24"/>
      <w:szCs w:val="24"/>
      <w:lang w:val="x-none" w:eastAsia="x-none"/>
    </w:rPr>
  </w:style>
  <w:style w:type="character" w:styleId="NormalWebChar">
    <w:name w:val="Normal (Web) Char"/>
    <w:qFormat/>
    <w:rPr>
      <w:rFonts w:ascii="Times New Roman" w:hAnsi="Times New Roman" w:eastAsia="Times New Roman" w:cs="Times New Roman"/>
      <w:sz w:val="24"/>
      <w:szCs w:val="24"/>
    </w:rPr>
  </w:style>
  <w:style w:type="character" w:styleId="MechtexChar">
    <w:name w:val="mechtex Char"/>
    <w:qFormat/>
    <w:rPr>
      <w:rFonts w:ascii="Arial Armenian" w:hAnsi="Arial Armenian" w:eastAsia="Times New Roman" w:cs="Times New Roman"/>
      <w:lang w:eastAsia="ru-RU"/>
    </w:rPr>
  </w:style>
  <w:style w:type="character" w:styleId="HeaderChar">
    <w:name w:val="Header Char"/>
    <w:basedOn w:val="DefaultParagraphFont"/>
    <w:qFormat/>
    <w:rPr/>
  </w:style>
  <w:style w:type="character" w:styleId="FooterChar">
    <w:name w:val="Footer Char"/>
    <w:basedOn w:val="DefaultParagraphFont"/>
    <w:qFormat/>
    <w:rPr/>
  </w:style>
  <w:style w:type="character" w:styleId="NormChar">
    <w:name w:val="norm Char"/>
    <w:qFormat/>
    <w:rPr>
      <w:rFonts w:ascii="Arial Armenian" w:hAnsi="Arial Armenian" w:eastAsia="Times New Roman" w:cs="Times New Roman"/>
      <w:szCs w:val="20"/>
      <w:lang w:eastAsia="ru-RU"/>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40" w:before="0" w:after="120"/>
    </w:pPr>
    <w:rPr>
      <w:rFonts w:ascii="Times New Roman" w:hAnsi="Times New Roman" w:eastAsia="Times New Roman" w:cs="Times New Roman"/>
      <w:sz w:val="24"/>
      <w:szCs w:val="24"/>
      <w:lang w:val="x-none" w:eastAsia="x-none"/>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ListParagraph">
    <w:name w:val="List Paragraph"/>
    <w:basedOn w:val="Normal"/>
    <w:qFormat/>
    <w:pPr>
      <w:spacing w:before="0" w:after="160"/>
      <w:ind w:left="720" w:right="0" w:hanging="0"/>
      <w:contextualSpacing/>
    </w:pPr>
    <w:rPr/>
  </w:style>
  <w:style w:type="paragraph" w:styleId="Mechtex">
    <w:name w:val="mechtex"/>
    <w:basedOn w:val="Normal"/>
    <w:qFormat/>
    <w:pPr>
      <w:spacing w:lineRule="auto" w:line="240" w:before="0" w:after="0"/>
      <w:jc w:val="center"/>
    </w:pPr>
    <w:rPr>
      <w:rFonts w:ascii="Arial Armenian" w:hAnsi="Arial Armenian" w:eastAsia="Times New Roman" w:cs="Times New Roman"/>
      <w:lang w:eastAsia="ru-RU"/>
    </w:rPr>
  </w:style>
  <w:style w:type="paragraph" w:styleId="HeaderandFooter">
    <w:name w:val="Header and Footer"/>
    <w:basedOn w:val="Normal"/>
    <w:qFormat/>
    <w:pPr/>
    <w:rPr/>
  </w:style>
  <w:style w:type="paragraph" w:styleId="Header">
    <w:name w:val="Header"/>
    <w:basedOn w:val="Normal"/>
    <w:pPr>
      <w:tabs>
        <w:tab w:val="clear" w:pos="720"/>
        <w:tab w:val="center" w:pos="4680" w:leader="none"/>
        <w:tab w:val="right" w:pos="9360" w:leader="none"/>
      </w:tabs>
      <w:spacing w:lineRule="auto" w:line="240" w:before="0" w:after="0"/>
    </w:pPr>
    <w:rPr/>
  </w:style>
  <w:style w:type="paragraph" w:styleId="Footer">
    <w:name w:val="Footer"/>
    <w:basedOn w:val="Normal"/>
    <w:pPr>
      <w:tabs>
        <w:tab w:val="clear" w:pos="720"/>
        <w:tab w:val="center" w:pos="4680" w:leader="none"/>
        <w:tab w:val="right" w:pos="9360" w:leader="none"/>
      </w:tabs>
      <w:spacing w:lineRule="auto" w:line="240" w:before="0" w:after="0"/>
    </w:pPr>
    <w:rPr/>
  </w:style>
  <w:style w:type="paragraph" w:styleId="Norm">
    <w:name w:val="norm"/>
    <w:basedOn w:val="Normal"/>
    <w:qFormat/>
    <w:pPr>
      <w:spacing w:lineRule="auto" w:line="480" w:before="0" w:after="0"/>
      <w:ind w:left="0" w:right="0" w:firstLine="709"/>
      <w:jc w:val="both"/>
    </w:pPr>
    <w:rPr>
      <w:rFonts w:ascii="Arial Armenian" w:hAnsi="Arial Armenian" w:eastAsia="Times New Roman" w:cs="Times New Roman"/>
      <w:szCs w:val="20"/>
      <w:lang w:eastAsia="ru-RU"/>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469</TotalTime>
  <Application>LibreOffice/6.4.7.2$Linux_X86_64 LibreOffice_project/40$Build-2</Application>
  <Pages>9</Pages>
  <Words>1211</Words>
  <Characters>9434</Characters>
  <CharactersWithSpaces>10639</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2021-04-05T11:25:00Z</dcterms:created>
  <dc:creator>Lusine Melkonyan</dc:creator>
  <dc:description/>
  <dc:language>en-US</dc:language>
  <cp:lastModifiedBy/>
  <dcterms:modified xsi:type="dcterms:W3CDTF">2021-09-14T15:44:02Z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