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33" w:rsidRPr="00A81BB2" w:rsidRDefault="00F75933" w:rsidP="00F75933">
      <w:pPr>
        <w:spacing w:line="360" w:lineRule="auto"/>
        <w:ind w:firstLine="720"/>
        <w:jc w:val="center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</w:rPr>
        <w:t>ՀԻՄՆԱՎՈՐՈՒՄ</w:t>
      </w:r>
    </w:p>
    <w:p w:rsidR="00F75933" w:rsidRPr="00A81BB2" w:rsidRDefault="00F75933" w:rsidP="00F75933">
      <w:pPr>
        <w:spacing w:line="360" w:lineRule="auto"/>
        <w:ind w:firstLine="720"/>
        <w:jc w:val="center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  <w:shd w:val="clear" w:color="auto" w:fill="FFFFFF"/>
        </w:rPr>
        <w:t>«Քաղաքացիական</w:t>
      </w:r>
      <w:r w:rsidRPr="00A81BB2">
        <w:rPr>
          <w:rFonts w:ascii="GHEA Grapalat" w:hAnsi="GHEA Grapalat" w:cs="Arial"/>
          <w:b/>
          <w:bCs/>
          <w:color w:val="000000"/>
          <w:shd w:val="clear" w:color="auto" w:fill="FFFFFF"/>
        </w:rPr>
        <w:t xml:space="preserve"> </w:t>
      </w:r>
      <w:r w:rsidRPr="00A81BB2">
        <w:rPr>
          <w:rFonts w:ascii="GHEA Grapalat" w:hAnsi="GHEA Grapalat"/>
          <w:b/>
          <w:bCs/>
          <w:color w:val="000000"/>
          <w:shd w:val="clear" w:color="auto" w:fill="FFFFFF"/>
        </w:rPr>
        <w:t>կացության</w:t>
      </w:r>
      <w:r w:rsidRPr="00A81BB2">
        <w:rPr>
          <w:rFonts w:ascii="GHEA Grapalat" w:hAnsi="GHEA Grapalat" w:cs="Arial"/>
          <w:b/>
          <w:bCs/>
          <w:color w:val="000000"/>
          <w:shd w:val="clear" w:color="auto" w:fill="FFFFFF"/>
        </w:rPr>
        <w:t xml:space="preserve"> </w:t>
      </w:r>
      <w:r w:rsidRPr="00A81BB2">
        <w:rPr>
          <w:rFonts w:ascii="GHEA Grapalat" w:hAnsi="GHEA Grapalat"/>
          <w:b/>
          <w:bCs/>
          <w:color w:val="000000"/>
          <w:shd w:val="clear" w:color="auto" w:fill="FFFFFF"/>
        </w:rPr>
        <w:t xml:space="preserve">ակտերի գրանցման հետ կապված գործառույթների կատարման համար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տեղական ինքնակառավարման մարմիններում </w:t>
      </w:r>
      <w:r w:rsidRPr="00A81BB2">
        <w:rPr>
          <w:rFonts w:ascii="GHEA Grapalat" w:hAnsi="GHEA Grapalat"/>
          <w:b/>
          <w:bCs/>
          <w:color w:val="000000"/>
          <w:shd w:val="clear" w:color="auto" w:fill="FFFFFF"/>
        </w:rPr>
        <w:t>ստեղծված</w:t>
      </w:r>
      <w:r w:rsidRPr="00A81BB2">
        <w:rPr>
          <w:rFonts w:ascii="GHEA Grapalat" w:hAnsi="GHEA Grapalat"/>
          <w:b/>
          <w:bCs/>
          <w:color w:val="000000"/>
        </w:rPr>
        <w:t xml:space="preserve"> սպասարկման կենտրոնների նստավայրերի ցանկը հաստատելու և Հայաստանի Հանրապետության կառավարության 2003 թվականի դեկտեմբերի 18-ի N 1699-Ն և 2021 թվականի փետրվարի 18-ի N 214-Ն որոշումներն ուժը կորցրած ճանաչելու մասին» Հայաստանի Հանրապետության կառավարության որոշման նախագծի ընդունման անհրաժեշտության</w:t>
      </w:r>
    </w:p>
    <w:p w:rsidR="00F75933" w:rsidRPr="00A81BB2" w:rsidRDefault="00F75933" w:rsidP="00F75933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F75933" w:rsidRPr="00A81BB2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</w:rPr>
        <w:t>1. Կարգավորման ենթակա ոլորտի կամ խնդրի սահմանումը.</w:t>
      </w:r>
    </w:p>
    <w:p w:rsidR="00F75933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A81BB2">
        <w:rPr>
          <w:rFonts w:ascii="GHEA Grapalat" w:hAnsi="GHEA Grapalat"/>
          <w:color w:val="000000"/>
        </w:rPr>
        <w:t xml:space="preserve">2021 թվականի հունվարի 19-ին ընդունվել է «Քաղաքացիական կացության ակտերի գրանցման մասին» օրենքը (այսուհետ՝ Օրենք), որով քաղաքացիական կացության ակտերի գրանցման տարածքային </w:t>
      </w:r>
      <w:r>
        <w:rPr>
          <w:rFonts w:ascii="GHEA Grapalat" w:hAnsi="GHEA Grapalat"/>
          <w:color w:val="000000"/>
        </w:rPr>
        <w:t>մարմինները</w:t>
      </w:r>
      <w:r w:rsidRPr="00A81BB2">
        <w:rPr>
          <w:rFonts w:ascii="GHEA Grapalat" w:hAnsi="GHEA Grapalat"/>
          <w:color w:val="000000"/>
        </w:rPr>
        <w:t xml:space="preserve"> վերացվել են: </w:t>
      </w:r>
    </w:p>
    <w:p w:rsidR="00F75933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7D29CF">
        <w:rPr>
          <w:rFonts w:ascii="GHEA Grapalat" w:hAnsi="GHEA Grapalat"/>
          <w:color w:val="000000"/>
        </w:rPr>
        <w:t>Օրենքի 3-րդ հոդվածի 1-ին մասի 12-րդ կետի</w:t>
      </w:r>
      <w:r>
        <w:rPr>
          <w:rFonts w:ascii="GHEA Grapalat" w:hAnsi="GHEA Grapalat"/>
          <w:color w:val="000000"/>
        </w:rPr>
        <w:t xml:space="preserve"> համաձայն՝ </w:t>
      </w:r>
      <w:r w:rsidRPr="007D29CF">
        <w:rPr>
          <w:rFonts w:ascii="GHEA Grapalat" w:hAnsi="GHEA Grapalat"/>
          <w:bCs/>
          <w:color w:val="000000"/>
          <w:shd w:val="clear" w:color="auto" w:fill="FFFFFF"/>
        </w:rPr>
        <w:t>սպասարկման</w:t>
      </w:r>
      <w:r w:rsidRPr="007D29CF">
        <w:rPr>
          <w:rFonts w:ascii="Sylfaen" w:hAnsi="Sylfaen"/>
          <w:bCs/>
          <w:color w:val="000000"/>
          <w:shd w:val="clear" w:color="auto" w:fill="FFFFFF"/>
        </w:rPr>
        <w:t> </w:t>
      </w:r>
      <w:r w:rsidRPr="007D29CF">
        <w:rPr>
          <w:rFonts w:ascii="GHEA Grapalat" w:hAnsi="GHEA Grapalat"/>
          <w:bCs/>
          <w:color w:val="000000"/>
          <w:shd w:val="clear" w:color="auto" w:fill="FFFFFF"/>
        </w:rPr>
        <w:t>կենտրոնը քաղաքացիական կացության ակտերի գրանցման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7D29CF">
        <w:rPr>
          <w:rFonts w:ascii="Sylfaen" w:hAnsi="Sylfaen"/>
          <w:color w:val="000000"/>
          <w:shd w:val="clear" w:color="auto" w:fill="FFFFFF"/>
        </w:rPr>
        <w:t> </w:t>
      </w:r>
      <w:r w:rsidRPr="007D29CF">
        <w:rPr>
          <w:rFonts w:ascii="GHEA Grapalat" w:hAnsi="GHEA Grapalat"/>
          <w:color w:val="000000"/>
          <w:shd w:val="clear" w:color="auto" w:fill="FFFFFF"/>
        </w:rPr>
        <w:t>գործակալության բաժին կամ առանձին նստավայր</w:t>
      </w:r>
      <w:r>
        <w:rPr>
          <w:rFonts w:ascii="GHEA Grapalat" w:hAnsi="GHEA Grapalat"/>
          <w:color w:val="000000"/>
          <w:shd w:val="clear" w:color="auto" w:fill="FFFFFF"/>
        </w:rPr>
        <w:t xml:space="preserve"> է,</w:t>
      </w:r>
      <w:r w:rsidRPr="007D29CF">
        <w:rPr>
          <w:rFonts w:ascii="GHEA Grapalat" w:hAnsi="GHEA Grapalat"/>
          <w:color w:val="000000"/>
          <w:shd w:val="clear" w:color="auto" w:fill="FFFFFF"/>
        </w:rPr>
        <w:t xml:space="preserve"> որն իրականացնում է օրենքով սահմանված կարգով քաղաքացիական կացության ակտերի գրանցման հետ կապված գործառույթների կատարման համար անհրաժեշտ խորհրդատվության տրամադրումը, դիմումների ընդունումը և այդ գործառույթների արդյունքում կազմված փաստաթղթերի </w:t>
      </w:r>
      <w:r>
        <w:rPr>
          <w:rFonts w:ascii="GHEA Grapalat" w:hAnsi="GHEA Grapalat"/>
          <w:color w:val="000000"/>
          <w:shd w:val="clear" w:color="auto" w:fill="FFFFFF"/>
        </w:rPr>
        <w:t xml:space="preserve">տրամադրումը: Նույն Օրենքի 17-րդ հոդվածի 6-րդ մասի համաձայն՝ </w:t>
      </w:r>
    </w:p>
    <w:p w:rsidR="00F75933" w:rsidRPr="0065781D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7D29CF">
        <w:rPr>
          <w:rFonts w:ascii="GHEA Grapalat" w:hAnsi="GHEA Grapalat"/>
          <w:color w:val="000000"/>
          <w:shd w:val="clear" w:color="auto" w:fill="FFFFFF"/>
        </w:rPr>
        <w:t>«Սպասարկման կենտրոնի գործառույթները կարող են իրականացնել պետական կառավարման կամ տեղական ինքնակառավարման մարմինը, հանրային ծառայությունների միասնական գրասենյակների և Կառավարության լիազորած օպերատորները, ինչպես նաև քաղաքացիների սպասարկման ոլորտում գործառույթներ իրականացնող այլ սուբյեկտներ, որոնց ցանկը և նստավայրերը հաստատում է Կառավարությունը»:</w:t>
      </w:r>
    </w:p>
    <w:p w:rsidR="00F75933" w:rsidRPr="00895726" w:rsidRDefault="00F75933" w:rsidP="00F75933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color w:val="000000"/>
        </w:rPr>
        <w:lastRenderedPageBreak/>
        <w:t>Հիմք ընդունելով օրեն</w:t>
      </w:r>
      <w:r>
        <w:rPr>
          <w:rFonts w:ascii="GHEA Grapalat" w:hAnsi="GHEA Grapalat"/>
          <w:color w:val="000000"/>
          <w:lang w:val="en-US"/>
        </w:rPr>
        <w:t>ս</w:t>
      </w:r>
      <w:r>
        <w:rPr>
          <w:rFonts w:ascii="GHEA Grapalat" w:hAnsi="GHEA Grapalat"/>
          <w:color w:val="000000"/>
        </w:rPr>
        <w:t xml:space="preserve">դրական փոփոխությունները </w:t>
      </w:r>
      <w:r w:rsidRPr="007D29CF">
        <w:rPr>
          <w:rFonts w:ascii="GHEA Grapalat" w:hAnsi="GHEA Grapalat"/>
          <w:color w:val="000000"/>
        </w:rPr>
        <w:t>անհրաժեշտություն է առաջացել ուժը կորցրած ճանաչել Կառավարության 2003 թվականի դեկտեմբերի 18-ի թիվ 1699 որոշումը և հիմք ընդունելով «Տեղական ինքնակառավարման մասին» օրենքի 36-րդ հոդվածի 2-րդ մասի 4-րդ կետը և «</w:t>
      </w:r>
      <w:r w:rsidRPr="007D29CF">
        <w:rPr>
          <w:rFonts w:ascii="GHEA Grapalat" w:hAnsi="GHEA Grapalat"/>
          <w:color w:val="000000"/>
          <w:shd w:val="clear" w:color="auto" w:fill="FFFFFF"/>
        </w:rPr>
        <w:t xml:space="preserve">Երևան քաղաքում տեղական </w:t>
      </w:r>
      <w:r>
        <w:rPr>
          <w:rFonts w:ascii="GHEA Grapalat" w:hAnsi="GHEA Grapalat"/>
          <w:color w:val="000000"/>
          <w:shd w:val="clear" w:color="auto" w:fill="FFFFFF"/>
        </w:rPr>
        <w:t>ինքնակառավարման</w:t>
      </w:r>
      <w:r w:rsidRPr="007D29CF">
        <w:rPr>
          <w:rFonts w:ascii="GHEA Grapalat" w:hAnsi="GHEA Grapalat"/>
          <w:color w:val="000000"/>
          <w:shd w:val="clear" w:color="auto" w:fill="FFFFFF"/>
        </w:rPr>
        <w:t xml:space="preserve"> մասին</w:t>
      </w:r>
      <w:r w:rsidRPr="007D29CF">
        <w:rPr>
          <w:rFonts w:ascii="GHEA Grapalat" w:hAnsi="GHEA Grapalat"/>
          <w:color w:val="000000"/>
        </w:rPr>
        <w:t>»</w:t>
      </w:r>
      <w:r w:rsidRPr="007D29CF">
        <w:rPr>
          <w:rFonts w:ascii="GHEA Grapalat" w:hAnsi="GHEA Grapalat"/>
          <w:b/>
          <w:bCs/>
          <w:color w:val="000000"/>
        </w:rPr>
        <w:t xml:space="preserve"> </w:t>
      </w:r>
      <w:r w:rsidRPr="007D29CF">
        <w:rPr>
          <w:rFonts w:ascii="GHEA Grapalat" w:hAnsi="GHEA Grapalat"/>
          <w:color w:val="000000"/>
        </w:rPr>
        <w:t xml:space="preserve">օրենքի 92-րդ հոդվածի 1-ին մասի 4-րդ կետը և Օրենքի 17-րդ հոդվածի 6-րդ մասը հաստատել քաղաքացիական կացության ակտերի գրանցումն ապահովելու նպատակով ստեղծված </w:t>
      </w:r>
      <w:r>
        <w:rPr>
          <w:rFonts w:ascii="GHEA Grapalat" w:hAnsi="GHEA Grapalat"/>
          <w:color w:val="000000"/>
        </w:rPr>
        <w:t xml:space="preserve">տեղական ինքնակառավարման մարմինների </w:t>
      </w:r>
      <w:r w:rsidRPr="007D29CF">
        <w:rPr>
          <w:rFonts w:ascii="GHEA Grapalat" w:hAnsi="GHEA Grapalat"/>
          <w:color w:val="000000"/>
        </w:rPr>
        <w:t>սպասարկման կենտրոնների ցանկը</w:t>
      </w:r>
      <w:r w:rsidRPr="007D29CF">
        <w:rPr>
          <w:rFonts w:ascii="GHEA Grapalat" w:hAnsi="GHEA Grapalat"/>
          <w:color w:val="000000"/>
          <w:shd w:val="clear" w:color="auto" w:fill="FFFFFF"/>
        </w:rPr>
        <w:t>:</w:t>
      </w:r>
    </w:p>
    <w:p w:rsidR="00F75933" w:rsidRPr="00B81D71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2.Առկա իրավիճակը.</w:t>
      </w:r>
    </w:p>
    <w:p w:rsidR="00F75933" w:rsidRPr="00895726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B81D71">
        <w:rPr>
          <w:rFonts w:ascii="GHEA Grapalat" w:hAnsi="GHEA Grapalat"/>
          <w:color w:val="000000"/>
          <w:shd w:val="clear" w:color="auto" w:fill="FFFFFF"/>
        </w:rPr>
        <w:t xml:space="preserve">Հաշվի առնելով, որ Օրենքով այլևս նախատեսված չեն քաղաքացիական կացության ակտերի գրանցման տարածքային </w:t>
      </w:r>
      <w:r>
        <w:rPr>
          <w:rFonts w:ascii="GHEA Grapalat" w:hAnsi="GHEA Grapalat"/>
          <w:color w:val="000000"/>
          <w:shd w:val="clear" w:color="auto" w:fill="FFFFFF"/>
        </w:rPr>
        <w:t>մարմիններ</w:t>
      </w:r>
      <w:r w:rsidRPr="00B81D71">
        <w:rPr>
          <w:rFonts w:ascii="GHEA Grapalat" w:hAnsi="GHEA Grapalat"/>
          <w:color w:val="000000"/>
        </w:rPr>
        <w:t xml:space="preserve">, իսկ Կառավարության 2003 թվականի դեկտեմբերի 18-ի թիվ 1699-Ն որոշմամբ </w:t>
      </w:r>
      <w:r w:rsidRPr="00B81D71">
        <w:rPr>
          <w:rFonts w:ascii="GHEA Grapalat" w:hAnsi="GHEA Grapalat"/>
          <w:color w:val="000000"/>
          <w:shd w:val="clear" w:color="auto" w:fill="FFFFFF"/>
        </w:rPr>
        <w:t>Հայաստանի Հանրապետության արդարադատության նախարարության աշխատակազմի քաղաքացիական կացության ակտերի գրանցման գործակալության տարածքային բաժինները հանձնվել են համայնքների ենթակայությանը, Նախագծով առաջարկվում է ուժը կորցրած ճանաչել վերոնշյալ որոշումը:</w:t>
      </w:r>
      <w:r w:rsidRPr="00B81D71">
        <w:rPr>
          <w:rFonts w:ascii="GHEA Grapalat" w:hAnsi="GHEA Grapalat"/>
          <w:color w:val="000000"/>
        </w:rPr>
        <w:t xml:space="preserve"> Հաշվի առնելով Օրենքի 17-րդ հոդվածի 6-րդ մասը՝</w:t>
      </w:r>
      <w:r w:rsidRPr="00B81D71">
        <w:rPr>
          <w:rFonts w:ascii="GHEA Grapalat" w:hAnsi="GHEA Grapalat"/>
          <w:b/>
          <w:bCs/>
          <w:color w:val="000000"/>
        </w:rPr>
        <w:t xml:space="preserve"> </w:t>
      </w:r>
      <w:r w:rsidRPr="00B81D71">
        <w:rPr>
          <w:rFonts w:ascii="GHEA Grapalat" w:hAnsi="GHEA Grapalat"/>
          <w:color w:val="000000"/>
        </w:rPr>
        <w:t xml:space="preserve">Նախագծով նախատեսվում է նաև հաստատել </w:t>
      </w:r>
      <w:r w:rsidRPr="00B81D71">
        <w:rPr>
          <w:rFonts w:ascii="GHEA Grapalat" w:hAnsi="GHEA Grapalat"/>
          <w:color w:val="000000"/>
          <w:shd w:val="clear" w:color="auto" w:fill="FFFFFF"/>
        </w:rPr>
        <w:t>քաղաքացիական կացության ակտերի գրանցման հետ կապված գործառույթների կատարման համար</w:t>
      </w:r>
      <w:r w:rsidRPr="00B81D71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en-US"/>
        </w:rPr>
        <w:t xml:space="preserve">տեղական ինքնակառավարման մարմիններում </w:t>
      </w:r>
      <w:r w:rsidRPr="00B81D71">
        <w:rPr>
          <w:rFonts w:ascii="GHEA Grapalat" w:hAnsi="GHEA Grapalat"/>
          <w:color w:val="000000"/>
        </w:rPr>
        <w:t>ստեղծված սպասարկման կենտրոնների նստավայրերի ցանկը</w:t>
      </w:r>
      <w:r w:rsidRPr="00B81D71">
        <w:rPr>
          <w:rFonts w:ascii="GHEA Grapalat" w:hAnsi="GHEA Grapalat"/>
          <w:color w:val="000000"/>
          <w:shd w:val="clear" w:color="auto" w:fill="FFFFFF"/>
        </w:rPr>
        <w:t>:</w:t>
      </w:r>
      <w:r w:rsidRPr="00B81D71">
        <w:rPr>
          <w:rFonts w:ascii="GHEA Grapalat" w:hAnsi="GHEA Grapalat"/>
          <w:color w:val="000000"/>
        </w:rPr>
        <w:t xml:space="preserve"> Բացի վերոնշյալը՝ Նախագծով նաև սահմանվում է </w:t>
      </w:r>
      <w:r w:rsidRPr="00B81D71">
        <w:rPr>
          <w:rFonts w:ascii="GHEA Grapalat" w:hAnsi="GHEA Grapalat"/>
          <w:color w:val="000000"/>
          <w:shd w:val="clear" w:color="auto" w:fill="FFFFFF"/>
        </w:rPr>
        <w:t>քաղաքացիական կացության ակտերի գրանցման հետ կապված գործառույթների կատարման համար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տեղական ինքնակառավարման մարմիններում</w:t>
      </w:r>
      <w:r w:rsidRPr="00B81D71">
        <w:rPr>
          <w:rFonts w:ascii="GHEA Grapalat" w:hAnsi="GHEA Grapalat"/>
          <w:color w:val="000000"/>
        </w:rPr>
        <w:t xml:space="preserve"> ստեղծված ս</w:t>
      </w:r>
      <w:r>
        <w:rPr>
          <w:rFonts w:ascii="GHEA Grapalat" w:hAnsi="GHEA Grapalat"/>
          <w:color w:val="000000"/>
        </w:rPr>
        <w:t>պասարկման կենտրոնների հաստիք</w:t>
      </w:r>
      <w:r>
        <w:rPr>
          <w:rFonts w:ascii="GHEA Grapalat" w:hAnsi="GHEA Grapalat"/>
          <w:color w:val="000000"/>
          <w:lang w:val="en-US"/>
        </w:rPr>
        <w:t>ային միավորների ցանկը</w:t>
      </w:r>
      <w:r w:rsidRPr="00B81D71">
        <w:rPr>
          <w:rFonts w:ascii="GHEA Grapalat" w:hAnsi="GHEA Grapalat"/>
          <w:color w:val="000000"/>
        </w:rPr>
        <w:t xml:space="preserve"> և </w:t>
      </w:r>
      <w:r>
        <w:rPr>
          <w:rFonts w:ascii="GHEA Grapalat" w:hAnsi="GHEA Grapalat"/>
          <w:color w:val="000000"/>
          <w:lang w:val="en-US"/>
        </w:rPr>
        <w:t>սպասարկման կենտրոնների</w:t>
      </w:r>
      <w:r w:rsidRPr="00B81D71">
        <w:rPr>
          <w:rFonts w:ascii="GHEA Grapalat" w:hAnsi="GHEA Grapalat"/>
          <w:color w:val="000000"/>
        </w:rPr>
        <w:t xml:space="preserve"> համար նախատեսվող ֆինանսավորման չափը: Նշվածի արդյունքում առաջարկվում է նաև ուժը կորցրած է ճանաչել</w:t>
      </w:r>
      <w:r w:rsidRPr="00B81D7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B81D71">
        <w:rPr>
          <w:rFonts w:ascii="GHEA Grapalat" w:hAnsi="GHEA Grapalat"/>
          <w:color w:val="000000"/>
        </w:rPr>
        <w:t xml:space="preserve">Հայաստանի Հանրապետության կառավարության </w:t>
      </w:r>
      <w:r w:rsidRPr="00B81D71">
        <w:rPr>
          <w:rFonts w:ascii="GHEA Grapalat" w:hAnsi="GHEA Grapalat"/>
          <w:color w:val="000000"/>
          <w:shd w:val="clear" w:color="auto" w:fill="FFFFFF"/>
        </w:rPr>
        <w:t xml:space="preserve">2021 թվականի փետրվարի 18-ի «Քաղաքացիական կացության ակտերի գրանցման ծառայության գործունեության </w:t>
      </w:r>
      <w:r w:rsidRPr="00B81D71">
        <w:rPr>
          <w:rFonts w:ascii="GHEA Grapalat" w:hAnsi="GHEA Grapalat"/>
          <w:color w:val="000000"/>
          <w:shd w:val="clear" w:color="auto" w:fill="FFFFFF"/>
        </w:rPr>
        <w:lastRenderedPageBreak/>
        <w:t>կազմակերպման բնագավառում պետության կողմից համայնքների ղեկավարներին պատվիրակված լիազորությունների իրականացման ծախսերի կատարման նորմատիվները սահմանելու մասին»</w:t>
      </w:r>
      <w:r w:rsidRPr="00B81D71">
        <w:rPr>
          <w:rFonts w:ascii="GHEA Grapalat" w:hAnsi="GHEA Grapalat"/>
          <w:color w:val="000000"/>
        </w:rPr>
        <w:t xml:space="preserve"> N 214-Ն որոշումը:</w:t>
      </w:r>
    </w:p>
    <w:p w:rsidR="00F75933" w:rsidRPr="00B81D71" w:rsidRDefault="00F75933" w:rsidP="00F75933">
      <w:pPr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3. Կարգավորման նպատակները, ակնկալվող արդյունքը.</w:t>
      </w:r>
      <w:r w:rsidRPr="00B81D71">
        <w:rPr>
          <w:rFonts w:ascii="Courier New" w:hAnsi="Courier New" w:cs="Courier New"/>
          <w:b/>
          <w:bCs/>
          <w:color w:val="000000"/>
        </w:rPr>
        <w:t> </w:t>
      </w:r>
    </w:p>
    <w:p w:rsidR="00F75933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B81D71">
        <w:rPr>
          <w:rFonts w:ascii="GHEA Grapalat" w:hAnsi="GHEA Grapalat"/>
          <w:color w:val="000000"/>
        </w:rPr>
        <w:t>Նախագծի հիմնական նպատակն է գործող իրավակարգավորումները համապատասխանեցնել Օրենքով սահմանված դրույթներին: Նախագծի ընդունմամբ կապահովվի Օրենքով սահմանված համապատասխան դրույթների կատարումը:</w:t>
      </w:r>
    </w:p>
    <w:p w:rsidR="00F75933" w:rsidRPr="00026278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</w:rPr>
        <w:t>Միաժամանակ</w:t>
      </w:r>
      <w:r>
        <w:rPr>
          <w:rFonts w:ascii="GHEA Grapalat" w:hAnsi="GHEA Grapalat"/>
          <w:color w:val="000000"/>
          <w:lang w:val="en-US"/>
        </w:rPr>
        <w:t>,</w:t>
      </w:r>
      <w:r>
        <w:rPr>
          <w:rFonts w:ascii="GHEA Grapalat" w:hAnsi="GHEA Grapalat"/>
          <w:color w:val="000000"/>
        </w:rPr>
        <w:t xml:space="preserve"> հիմք ընդունելով Օրենքի 17-րդ հոդվածի 1-ին մասը, Արդարադատության նախարարության կողմից կատարվել է գործող քաղաքացիական կացության ակտերի գրանցման տարածքային մարմինների գործառույթների իրականացման վերլուծություն, որի հիման վրա որոշվել է տարեկան կտրվածքով մինչև 2.000 գրանցումներ կատարող սպասարկման կենտրոնի համար նախատեսել 1 հաստիք, 2.000-4.000 գրանցումներ կատարողի դեպքում՝ 2 հաստիք, իսկ 4.000 բարձր գրանցումներ կատարող տարածքներում՝ 3 հաստիք: Տվյալ պարագայում յուրաքանչյուր աշխատակցի կողմից կընդունվի 7-8 քաղաքացիական կացության ակտերի գրանցման կամ դրանց հետ առընչվող դիմումներ, իսկ աշխատանքային մնացած ժամանակը կտրամադրվի խորհրդատվությանը, ակտային գրանցումների թվայնացմանը և այլ անրաժեշտ գործառույթների կատարմանը:</w:t>
      </w:r>
    </w:p>
    <w:p w:rsidR="00F75933" w:rsidRPr="00B81D71" w:rsidRDefault="00F75933" w:rsidP="00F75933">
      <w:pPr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75933" w:rsidRPr="00895726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B81D71">
        <w:rPr>
          <w:rFonts w:ascii="GHEA Grapalat" w:hAnsi="GHEA Grapalat"/>
          <w:color w:val="000000"/>
        </w:rPr>
        <w:t>Նախագիծը մշակվել է Արդարադատության նախարարության կողմից:</w:t>
      </w:r>
    </w:p>
    <w:p w:rsidR="00F75933" w:rsidRPr="00B81D71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5. Նախագծի ընդունման կապակցությամբ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պետական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բյուջեում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կամ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տեղական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ինքնակառավարման մարմինների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բյուջեներում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ծախսերի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և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եկամուտների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էական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ավելացումների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կամ նվազեցումների մասին.</w:t>
      </w:r>
    </w:p>
    <w:p w:rsidR="00F75933" w:rsidRPr="00676D09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B81D71">
        <w:rPr>
          <w:rFonts w:ascii="GHEA Grapalat" w:hAnsi="GHEA Grapalat"/>
          <w:color w:val="000000"/>
        </w:rPr>
        <w:lastRenderedPageBreak/>
        <w:t>«</w:t>
      </w:r>
      <w:r w:rsidRPr="00B81D71">
        <w:rPr>
          <w:rFonts w:ascii="GHEA Grapalat" w:hAnsi="GHEA Grapalat"/>
          <w:color w:val="000000"/>
          <w:shd w:val="clear" w:color="auto" w:fill="FFFFFF"/>
        </w:rPr>
        <w:t>Քաղաքացիական</w:t>
      </w:r>
      <w:r w:rsidRPr="00B81D7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B81D71">
        <w:rPr>
          <w:rFonts w:ascii="GHEA Grapalat" w:hAnsi="GHEA Grapalat"/>
          <w:color w:val="000000"/>
          <w:shd w:val="clear" w:color="auto" w:fill="FFFFFF"/>
        </w:rPr>
        <w:t>կացության</w:t>
      </w:r>
      <w:r w:rsidRPr="00B81D7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B81D71">
        <w:rPr>
          <w:rFonts w:ascii="GHEA Grapalat" w:hAnsi="GHEA Grapalat"/>
          <w:color w:val="000000"/>
          <w:shd w:val="clear" w:color="auto" w:fill="FFFFFF"/>
        </w:rPr>
        <w:t xml:space="preserve">ակտերի գրանցման հետ կապված գործառույթների կատարման համար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տեղական ինքնակառավարման մարմիններում </w:t>
      </w:r>
      <w:r w:rsidRPr="00B81D71">
        <w:rPr>
          <w:rFonts w:ascii="GHEA Grapalat" w:hAnsi="GHEA Grapalat"/>
          <w:color w:val="000000"/>
          <w:shd w:val="clear" w:color="auto" w:fill="FFFFFF"/>
        </w:rPr>
        <w:t>ստեղծված</w:t>
      </w:r>
      <w:r w:rsidRPr="00B81D71">
        <w:rPr>
          <w:rFonts w:ascii="GHEA Grapalat" w:hAnsi="GHEA Grapalat"/>
          <w:color w:val="000000"/>
        </w:rPr>
        <w:t xml:space="preserve"> սպասարկման կենտրոնների նստավայրերի ցանկը հաստատելու և Հայաստանի Հանրապետության կառավարության 2003 թվականի դեկտեմբերի 18-ի N 1699-Ն և 2021 թվականի փետրվարի 18-ի N 214-Ն որոշումներն ուժը կորցրած ճանաչելու մասին»</w:t>
      </w:r>
      <w:r w:rsidRPr="00B81D71">
        <w:rPr>
          <w:rFonts w:ascii="GHEA Grapalat" w:hAnsi="GHEA Grapalat"/>
          <w:b/>
          <w:bCs/>
          <w:color w:val="000000"/>
        </w:rPr>
        <w:t xml:space="preserve"> </w:t>
      </w:r>
      <w:r w:rsidRPr="00B81D71">
        <w:rPr>
          <w:rFonts w:ascii="GHEA Grapalat" w:hAnsi="GHEA Grapalat"/>
          <w:color w:val="000000"/>
        </w:rPr>
        <w:t>Հայաստանի Հանրապետության կառավարության որոշման նախագծի ընդունման կապակցությամբ Հայաստանի Հանրապետության պետական բյուջեում կլինի ծախսերի նվազեցում, եկամուտների ավելացում չի նախատեսվում:</w:t>
      </w:r>
    </w:p>
    <w:p w:rsidR="00F75933" w:rsidRPr="00B00AAD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  <w:r w:rsidRPr="00B00AAD">
        <w:rPr>
          <w:rFonts w:ascii="GHEA Grapalat" w:eastAsia="GHEA Grapalat" w:hAnsi="GHEA Grapalat" w:cs="GHEA Grapalat"/>
          <w:b/>
          <w:lang w:val="en-US"/>
        </w:rPr>
        <w:t>6.</w:t>
      </w:r>
      <w:r w:rsidRPr="00B00AAD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00AAD">
        <w:rPr>
          <w:rFonts w:ascii="GHEA Grapalat" w:hAnsi="GHEA Grapalat"/>
          <w:b/>
          <w:lang w:val="en-US"/>
        </w:rPr>
        <w:t>:</w:t>
      </w:r>
    </w:p>
    <w:p w:rsidR="00F75933" w:rsidRPr="00B00AAD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E738C9">
        <w:rPr>
          <w:rFonts w:ascii="GHEA Grapalat" w:eastAsia="GHEA Grapalat" w:hAnsi="GHEA Grapalat" w:cs="GHEA Grapalat"/>
        </w:rPr>
        <w:t>«</w:t>
      </w:r>
      <w:r w:rsidRPr="00B81D71">
        <w:rPr>
          <w:rFonts w:ascii="GHEA Grapalat" w:hAnsi="GHEA Grapalat"/>
          <w:color w:val="000000"/>
          <w:shd w:val="clear" w:color="auto" w:fill="FFFFFF"/>
        </w:rPr>
        <w:t>Քաղաքացիական</w:t>
      </w:r>
      <w:r w:rsidRPr="00B81D7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B81D71">
        <w:rPr>
          <w:rFonts w:ascii="GHEA Grapalat" w:hAnsi="GHEA Grapalat"/>
          <w:color w:val="000000"/>
          <w:shd w:val="clear" w:color="auto" w:fill="FFFFFF"/>
        </w:rPr>
        <w:t>կացության</w:t>
      </w:r>
      <w:r w:rsidRPr="00B81D7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Pr="00B81D71">
        <w:rPr>
          <w:rFonts w:ascii="GHEA Grapalat" w:hAnsi="GHEA Grapalat"/>
          <w:color w:val="000000"/>
          <w:shd w:val="clear" w:color="auto" w:fill="FFFFFF"/>
        </w:rPr>
        <w:t xml:space="preserve">ակտերի գրանցման հետ կապված գործառույթների կատարման համար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տեղական ինքնակառավարման մարմիններում </w:t>
      </w:r>
      <w:r w:rsidRPr="00B81D71">
        <w:rPr>
          <w:rFonts w:ascii="GHEA Grapalat" w:hAnsi="GHEA Grapalat"/>
          <w:color w:val="000000"/>
          <w:shd w:val="clear" w:color="auto" w:fill="FFFFFF"/>
        </w:rPr>
        <w:t>ստեղծված</w:t>
      </w:r>
      <w:r w:rsidRPr="00B81D71">
        <w:rPr>
          <w:rFonts w:ascii="GHEA Grapalat" w:hAnsi="GHEA Grapalat"/>
          <w:color w:val="000000"/>
        </w:rPr>
        <w:t xml:space="preserve"> սպասարկման կենտրոնների նստավայրերի ցանկը հաստատելու և Հայաստանի Հանրապետության կառավարության 2003 թվականի դեկտեմբերի 18-ի N 1699-Ն և 2021 թվականի փետրվարի 18-ի N 214-Ն որոշումներն ուժը կորցրած ճանաչելու մասին»</w:t>
      </w:r>
      <w:r w:rsidRPr="00B81D71">
        <w:rPr>
          <w:rFonts w:ascii="GHEA Grapalat" w:hAnsi="GHEA Grapalat"/>
          <w:b/>
          <w:bCs/>
          <w:color w:val="000000"/>
        </w:rPr>
        <w:t xml:space="preserve"> </w:t>
      </w:r>
      <w:r w:rsidRPr="00B81D71">
        <w:rPr>
          <w:rFonts w:ascii="GHEA Grapalat" w:hAnsi="GHEA Grapalat"/>
          <w:color w:val="000000"/>
        </w:rPr>
        <w:t>Հայաստանի Հանրապետության կառավարության որոշման նախագ</w:t>
      </w:r>
      <w:r>
        <w:rPr>
          <w:rFonts w:ascii="GHEA Grapalat" w:hAnsi="GHEA Grapalat"/>
          <w:color w:val="000000"/>
          <w:lang w:val="en-US"/>
        </w:rPr>
        <w:t>իծ</w:t>
      </w:r>
      <w:r>
        <w:rPr>
          <w:rFonts w:ascii="GHEA Grapalat" w:eastAsia="GHEA Grapalat" w:hAnsi="GHEA Grapalat" w:cs="GHEA Grapalat"/>
          <w:lang w:val="en-US"/>
        </w:rPr>
        <w:t>ը չի բխում համապատասխան ռազմավարական փաստաթղթերից:</w:t>
      </w:r>
    </w:p>
    <w:p w:rsidR="00F75933" w:rsidRPr="00676D09" w:rsidRDefault="00F75933" w:rsidP="00F75933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F75933" w:rsidRPr="00B87DB1" w:rsidRDefault="00F75933" w:rsidP="00F75933">
      <w:pPr>
        <w:rPr>
          <w:rFonts w:eastAsia="GHEA Grapalat"/>
        </w:rPr>
      </w:pPr>
    </w:p>
    <w:p w:rsidR="00142C5E" w:rsidRPr="00F75933" w:rsidRDefault="00142C5E" w:rsidP="00F75933"/>
    <w:sectPr w:rsidR="00142C5E" w:rsidRPr="00F75933" w:rsidSect="00D71163">
      <w:headerReference w:type="default" r:id="rId4"/>
      <w:footerReference w:type="even" r:id="rId5"/>
      <w:footerReference w:type="default" r:id="rId6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F759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F759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F75933"/>
  <w:p w:rsidR="00D71163" w:rsidRDefault="00F75933"/>
  <w:tbl>
    <w:tblPr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D71163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D71163" w:rsidRDefault="00F7593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D71163" w:rsidRDefault="00F75933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D71163" w:rsidRDefault="00F75933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D71163" w:rsidRDefault="00F759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F75933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EndPr/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71163" w:rsidRDefault="00F75933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</w:t>
    </w:r>
    <w:r>
      <w:rPr>
        <w:rFonts w:ascii="Art" w:eastAsia="Art" w:hAnsi="Art" w:cs="Art"/>
        <w:color w:val="000000"/>
        <w:sz w:val="18"/>
        <w:szCs w:val="18"/>
      </w:rPr>
      <w:t xml:space="preserve">      </w:t>
    </w:r>
  </w:p>
  <w:p w:rsidR="00D71163" w:rsidRDefault="00F75933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D71163" w:rsidRDefault="00F759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D71163" w:rsidRDefault="00F75933">
    <w:pPr>
      <w:tabs>
        <w:tab w:val="left" w:pos="183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82DA0"/>
    <w:rsid w:val="00071E29"/>
    <w:rsid w:val="00081BD7"/>
    <w:rsid w:val="00082DA0"/>
    <w:rsid w:val="000A3691"/>
    <w:rsid w:val="000A6177"/>
    <w:rsid w:val="00142C5E"/>
    <w:rsid w:val="00146316"/>
    <w:rsid w:val="001C1E53"/>
    <w:rsid w:val="001C39DC"/>
    <w:rsid w:val="00234208"/>
    <w:rsid w:val="00243F34"/>
    <w:rsid w:val="002678FE"/>
    <w:rsid w:val="002C20C2"/>
    <w:rsid w:val="002D4F17"/>
    <w:rsid w:val="002F1EDD"/>
    <w:rsid w:val="00330C88"/>
    <w:rsid w:val="0035293A"/>
    <w:rsid w:val="00376977"/>
    <w:rsid w:val="00390B85"/>
    <w:rsid w:val="00426512"/>
    <w:rsid w:val="00436C9C"/>
    <w:rsid w:val="0046166D"/>
    <w:rsid w:val="00473E15"/>
    <w:rsid w:val="004D3D99"/>
    <w:rsid w:val="004E7D42"/>
    <w:rsid w:val="005B68CF"/>
    <w:rsid w:val="005D2872"/>
    <w:rsid w:val="006223BC"/>
    <w:rsid w:val="00651B2A"/>
    <w:rsid w:val="0066722B"/>
    <w:rsid w:val="00737418"/>
    <w:rsid w:val="007A6E89"/>
    <w:rsid w:val="00813CA0"/>
    <w:rsid w:val="00830C04"/>
    <w:rsid w:val="00857DBE"/>
    <w:rsid w:val="008859D8"/>
    <w:rsid w:val="0089387A"/>
    <w:rsid w:val="008B5B45"/>
    <w:rsid w:val="008C5D3A"/>
    <w:rsid w:val="008D09FE"/>
    <w:rsid w:val="009C3428"/>
    <w:rsid w:val="009F4FAA"/>
    <w:rsid w:val="00A31D5F"/>
    <w:rsid w:val="00AA2697"/>
    <w:rsid w:val="00AA755C"/>
    <w:rsid w:val="00AC54B9"/>
    <w:rsid w:val="00B019E7"/>
    <w:rsid w:val="00B03F25"/>
    <w:rsid w:val="00B12858"/>
    <w:rsid w:val="00B16AA4"/>
    <w:rsid w:val="00B24B5A"/>
    <w:rsid w:val="00B60337"/>
    <w:rsid w:val="00B63005"/>
    <w:rsid w:val="00BA79CD"/>
    <w:rsid w:val="00BD1B37"/>
    <w:rsid w:val="00C20A46"/>
    <w:rsid w:val="00CA10E1"/>
    <w:rsid w:val="00CD69B7"/>
    <w:rsid w:val="00CE4DFD"/>
    <w:rsid w:val="00CE6E59"/>
    <w:rsid w:val="00D0176A"/>
    <w:rsid w:val="00D0279F"/>
    <w:rsid w:val="00D43470"/>
    <w:rsid w:val="00D63F28"/>
    <w:rsid w:val="00E1317C"/>
    <w:rsid w:val="00E85C47"/>
    <w:rsid w:val="00EB49BE"/>
    <w:rsid w:val="00EC2B7C"/>
    <w:rsid w:val="00EE1438"/>
    <w:rsid w:val="00F20AAE"/>
    <w:rsid w:val="00F75933"/>
    <w:rsid w:val="00F846CF"/>
    <w:rsid w:val="00F95BB1"/>
    <w:rsid w:val="00FB00A4"/>
    <w:rsid w:val="00FC722F"/>
    <w:rsid w:val="00FF4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082DA0"/>
    <w:rPr>
      <w:sz w:val="24"/>
      <w:szCs w:val="24"/>
      <w:lang w:val="ru-RU" w:eastAsia="zh-C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082DA0"/>
    <w:pPr>
      <w:suppressAutoHyphens/>
      <w:spacing w:before="280" w:after="280"/>
    </w:pPr>
    <w:rPr>
      <w:rFonts w:asciiTheme="minorHAnsi" w:eastAsiaTheme="minorHAnsi" w:hAnsiTheme="minorHAnsi" w:cstheme="minorBidi"/>
      <w:lang w:val="ru-RU" w:eastAsia="zh-CN"/>
    </w:rPr>
  </w:style>
  <w:style w:type="paragraph" w:styleId="ListParagraph">
    <w:name w:val="List Paragraph"/>
    <w:basedOn w:val="Normal"/>
    <w:uiPriority w:val="34"/>
    <w:qFormat/>
    <w:rsid w:val="00082D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9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9D8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846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A-Antonyan</dc:creator>
  <cp:lastModifiedBy>A-Sukiasyan</cp:lastModifiedBy>
  <cp:revision>2</cp:revision>
  <cp:lastPrinted>2021-09-13T12:51:00Z</cp:lastPrinted>
  <dcterms:created xsi:type="dcterms:W3CDTF">2021-09-15T07:36:00Z</dcterms:created>
  <dcterms:modified xsi:type="dcterms:W3CDTF">2021-09-15T07:36:00Z</dcterms:modified>
  <cp:keywords>https://mul2.gov.am/tasks/493047/oneclick/himnavorum.docx?token=ec71387ff576734bf38ef2dc7bd72ecf</cp:keywords>
</cp:coreProperties>
</file>