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BC6" w:rsidRPr="0043590B" w:rsidRDefault="00724D94" w:rsidP="004E2950">
      <w:pPr>
        <w:spacing w:after="0" w:line="360" w:lineRule="auto"/>
        <w:jc w:val="center"/>
        <w:rPr>
          <w:rFonts w:ascii="GHEA Grapalat" w:hAnsi="GHEA Grapalat" w:cs="Times New Roman"/>
          <w:b/>
          <w:noProof/>
          <w:sz w:val="24"/>
          <w:szCs w:val="24"/>
          <w:lang w:val="hy-AM"/>
        </w:rPr>
      </w:pPr>
      <w:r w:rsidRPr="0043590B">
        <w:rPr>
          <w:rFonts w:ascii="GHEA Grapalat" w:hAnsi="GHEA Grapalat" w:cs="Times New Roman"/>
          <w:b/>
          <w:noProof/>
          <w:sz w:val="24"/>
          <w:szCs w:val="24"/>
          <w:lang w:val="hy-AM"/>
        </w:rPr>
        <w:t>ԱՄՓՈՓԱԹԵՐԹ</w:t>
      </w:r>
    </w:p>
    <w:p w:rsidR="00724D94" w:rsidRPr="0043590B" w:rsidRDefault="00724D94" w:rsidP="004E2950">
      <w:pPr>
        <w:spacing w:after="0" w:line="360" w:lineRule="auto"/>
        <w:jc w:val="center"/>
        <w:rPr>
          <w:rFonts w:ascii="GHEA Grapalat" w:eastAsia="Calibri" w:hAnsi="GHEA Grapalat" w:cs="Sylfaen"/>
          <w:b/>
          <w:color w:val="000000" w:themeColor="text1"/>
          <w:sz w:val="24"/>
          <w:szCs w:val="24"/>
          <w:lang w:val="hy-AM"/>
        </w:rPr>
      </w:pPr>
    </w:p>
    <w:p w:rsidR="00903F27" w:rsidRPr="0043590B" w:rsidRDefault="005367D8" w:rsidP="00903F27">
      <w:pPr>
        <w:spacing w:after="0" w:line="360" w:lineRule="auto"/>
        <w:jc w:val="center"/>
        <w:rPr>
          <w:rFonts w:ascii="GHEA Grapalat" w:eastAsia="Calibri" w:hAnsi="GHEA Grapalat" w:cs="Times New Roman"/>
          <w:b/>
          <w:sz w:val="24"/>
          <w:szCs w:val="24"/>
          <w:lang w:val="hy-AM"/>
        </w:rPr>
      </w:pPr>
      <w:bookmarkStart w:id="0" w:name="_GoBack"/>
      <w:bookmarkEnd w:id="0"/>
      <w:r w:rsidRPr="0043590B">
        <w:rPr>
          <w:rFonts w:ascii="GHEA Grapalat" w:hAnsi="GHEA Grapalat" w:cs="Times Armenian"/>
          <w:b/>
          <w:sz w:val="24"/>
          <w:szCs w:val="24"/>
          <w:lang w:val="hy-AM"/>
        </w:rPr>
        <w:t>«</w:t>
      </w:r>
      <w:r w:rsidRPr="0043590B">
        <w:rPr>
          <w:rFonts w:ascii="GHEA Grapalat" w:hAnsi="GHEA Grapalat"/>
          <w:b/>
          <w:sz w:val="24"/>
          <w:szCs w:val="24"/>
          <w:lang w:val="hy-AM"/>
        </w:rPr>
        <w:t xml:space="preserve">ՀԱՅԱՍՏԱՆԻ ՀԱՆՐԱՊԵՏՈՒԹՅԱՆ ԵՎ ՉԵԽԻԱՅԻ ՀԱՆՐԱՊԵՏՈՒԹՅԱՆ ՄԻՋԵՎ՝ </w:t>
      </w:r>
      <w:r w:rsidRPr="0043590B">
        <w:rPr>
          <w:rFonts w:ascii="GHEA Grapalat" w:hAnsi="GHEA Grapalat" w:cs="Times Armenian"/>
          <w:b/>
          <w:sz w:val="24"/>
          <w:szCs w:val="24"/>
          <w:lang w:val="hy-AM"/>
        </w:rPr>
        <w:t>«</w:t>
      </w:r>
      <w:r w:rsidRPr="0043590B">
        <w:rPr>
          <w:rFonts w:ascii="GHEA Grapalat" w:hAnsi="GHEA Grapalat"/>
          <w:b/>
          <w:sz w:val="24"/>
          <w:szCs w:val="24"/>
          <w:lang w:val="hy-AM"/>
        </w:rPr>
        <w:t>ՀԱՆՁՆՄԱՆ ՄԱՍԻՆ</w:t>
      </w:r>
      <w:r w:rsidRPr="0043590B">
        <w:rPr>
          <w:rFonts w:ascii="GHEA Grapalat" w:hAnsi="GHEA Grapalat" w:cs="Times Armenian"/>
          <w:b/>
          <w:sz w:val="24"/>
          <w:szCs w:val="24"/>
          <w:lang w:val="hy-AM"/>
        </w:rPr>
        <w:t>»</w:t>
      </w:r>
      <w:r w:rsidRPr="0043590B">
        <w:rPr>
          <w:rFonts w:ascii="GHEA Grapalat" w:hAnsi="GHEA Grapalat"/>
          <w:b/>
          <w:sz w:val="24"/>
          <w:szCs w:val="24"/>
          <w:lang w:val="hy-AM"/>
        </w:rPr>
        <w:t xml:space="preserve"> 1957 ԹՎԱԿԱՆԻ ԴԵԿՏԵՄԲԵՐԻ 13-Ի ԵՎՐՈՊԱԿԱՆ ԿՈՆՎԵՆՑԻԱՅԻ ԿԻՐԱՌՈՒՄԸ ԴՅՈՒՐԱՑՆԵԼՈՒՆ ՈՒՂՂՎԱԾ</w:t>
      </w:r>
      <w:r w:rsidRPr="0043590B">
        <w:rPr>
          <w:rFonts w:ascii="GHEA Grapalat" w:hAnsi="GHEA Grapalat" w:cs="Times Armenian"/>
          <w:b/>
          <w:sz w:val="24"/>
          <w:szCs w:val="24"/>
          <w:lang w:val="hy-AM"/>
        </w:rPr>
        <w:t>»</w:t>
      </w:r>
      <w:r w:rsidRPr="0043590B">
        <w:rPr>
          <w:rFonts w:ascii="GHEA Grapalat" w:hAnsi="GHEA Grapalat"/>
          <w:b/>
          <w:sz w:val="24"/>
          <w:szCs w:val="24"/>
          <w:lang w:val="hy-AM"/>
        </w:rPr>
        <w:t xml:space="preserve"> ՀԱՄԱՁԱՅՆԱԳՐԻ</w:t>
      </w:r>
      <w:r w:rsidRPr="0043590B">
        <w:rPr>
          <w:rFonts w:ascii="GHEA Mariam" w:hAnsi="GHEA Mariam"/>
          <w:b/>
          <w:sz w:val="24"/>
          <w:szCs w:val="24"/>
          <w:lang w:val="hy-AM"/>
        </w:rPr>
        <w:t xml:space="preserve"> </w:t>
      </w:r>
      <w:r w:rsidR="00903F27" w:rsidRPr="0043590B">
        <w:rPr>
          <w:rFonts w:ascii="GHEA Grapalat" w:eastAsia="Calibri" w:hAnsi="GHEA Grapalat" w:cs="Times New Roman"/>
          <w:b/>
          <w:sz w:val="24"/>
          <w:szCs w:val="24"/>
          <w:lang w:val="hy-AM"/>
        </w:rPr>
        <w:t>ՎԵՐԱԲԵՐՅԱԼ ՀԱՅԱՍՏԱՆԻ ՀԱՆՐԱՊԵՏՈՒԹՅԱՆ ԻՐԱՎԱՍՈՒ ԵՎ ՇԱՀԱԳՐԳԻՌ ՄԱՐՄԻՆՆԵՐԻ ԿՈՂՄԻՑ ՆԵՐԿԱՅԱՑՎԱԾ ԿԱՐԾԻՔՆԵՐԻ ՎԵՐԱԲԵՐՅԱԼ</w:t>
      </w:r>
    </w:p>
    <w:p w:rsidR="00724D94" w:rsidRPr="0043590B" w:rsidRDefault="00724D94" w:rsidP="00903F27">
      <w:pPr>
        <w:spacing w:after="0" w:line="360" w:lineRule="auto"/>
        <w:jc w:val="center"/>
        <w:rPr>
          <w:rFonts w:ascii="GHEA Grapalat" w:hAnsi="GHEA Grapalat" w:cs="Times New Roman"/>
          <w:noProof/>
          <w:sz w:val="24"/>
          <w:szCs w:val="24"/>
          <w:lang w:val="hy-AM"/>
        </w:rPr>
      </w:pPr>
    </w:p>
    <w:tbl>
      <w:tblPr>
        <w:tblStyle w:val="TableGrid"/>
        <w:tblW w:w="0" w:type="auto"/>
        <w:tblLook w:val="04A0" w:firstRow="1" w:lastRow="0" w:firstColumn="1" w:lastColumn="0" w:noHBand="0" w:noVBand="1"/>
      </w:tblPr>
      <w:tblGrid>
        <w:gridCol w:w="4968"/>
        <w:gridCol w:w="2890"/>
        <w:gridCol w:w="80"/>
        <w:gridCol w:w="2817"/>
      </w:tblGrid>
      <w:tr w:rsidR="00D2721D" w:rsidRPr="0043590B" w:rsidTr="00487EEE">
        <w:trPr>
          <w:trHeight w:val="338"/>
        </w:trPr>
        <w:tc>
          <w:tcPr>
            <w:tcW w:w="7858" w:type="dxa"/>
            <w:gridSpan w:val="2"/>
            <w:vMerge w:val="restart"/>
            <w:shd w:val="clear" w:color="auto" w:fill="BFBFBF" w:themeFill="background1" w:themeFillShade="BF"/>
          </w:tcPr>
          <w:p w:rsidR="00D2721D" w:rsidRPr="0043590B" w:rsidRDefault="00D2721D" w:rsidP="00D2721D">
            <w:pPr>
              <w:spacing w:line="360" w:lineRule="auto"/>
              <w:rPr>
                <w:rFonts w:ascii="GHEA Grapalat" w:hAnsi="GHEA Grapalat" w:cs="Times New Roman"/>
                <w:b/>
                <w:noProof/>
                <w:sz w:val="24"/>
                <w:szCs w:val="24"/>
                <w:lang w:val="hy-AM"/>
              </w:rPr>
            </w:pPr>
          </w:p>
          <w:p w:rsidR="00D2721D" w:rsidRPr="0043590B" w:rsidRDefault="005367D8" w:rsidP="00D2721D">
            <w:pPr>
              <w:pStyle w:val="ListParagraph"/>
              <w:numPr>
                <w:ilvl w:val="0"/>
                <w:numId w:val="1"/>
              </w:numPr>
              <w:spacing w:line="360" w:lineRule="auto"/>
              <w:jc w:val="center"/>
              <w:rPr>
                <w:rFonts w:ascii="GHEA Grapalat" w:hAnsi="GHEA Grapalat" w:cs="Times New Roman"/>
                <w:b/>
                <w:noProof/>
                <w:sz w:val="24"/>
                <w:szCs w:val="24"/>
                <w:lang w:val="hy-AM"/>
              </w:rPr>
            </w:pPr>
            <w:r w:rsidRPr="0043590B">
              <w:rPr>
                <w:rFonts w:ascii="GHEA Grapalat" w:hAnsi="GHEA Grapalat" w:cs="Times New Roman"/>
                <w:b/>
                <w:noProof/>
                <w:sz w:val="24"/>
                <w:szCs w:val="24"/>
                <w:lang w:val="hy-AM"/>
              </w:rPr>
              <w:t>Արտաքին գործերի նախարարություն</w:t>
            </w:r>
          </w:p>
          <w:p w:rsidR="005367D8" w:rsidRPr="0043590B" w:rsidRDefault="005367D8" w:rsidP="00D2721D">
            <w:pPr>
              <w:spacing w:line="360" w:lineRule="auto"/>
              <w:rPr>
                <w:rFonts w:ascii="GHEA Grapalat" w:hAnsi="GHEA Grapalat"/>
                <w:noProof/>
                <w:color w:val="000000"/>
                <w:sz w:val="24"/>
                <w:szCs w:val="24"/>
                <w:highlight w:val="lightGray"/>
                <w:shd w:val="clear" w:color="auto" w:fill="FFFFFF"/>
                <w:lang w:val="hy-AM"/>
              </w:rPr>
            </w:pPr>
          </w:p>
        </w:tc>
        <w:tc>
          <w:tcPr>
            <w:tcW w:w="2897" w:type="dxa"/>
            <w:gridSpan w:val="2"/>
            <w:shd w:val="clear" w:color="auto" w:fill="BFBFBF" w:themeFill="background1" w:themeFillShade="BF"/>
          </w:tcPr>
          <w:p w:rsidR="00D2721D" w:rsidRPr="0043590B" w:rsidRDefault="005367D8" w:rsidP="005367D8">
            <w:pPr>
              <w:spacing w:line="360" w:lineRule="auto"/>
              <w:jc w:val="center"/>
              <w:rPr>
                <w:rFonts w:ascii="GHEA Grapalat" w:hAnsi="GHEA Grapalat" w:cs="Times New Roman"/>
                <w:noProof/>
                <w:sz w:val="24"/>
                <w:szCs w:val="24"/>
                <w:lang w:val="hy-AM"/>
              </w:rPr>
            </w:pPr>
            <w:r w:rsidRPr="0043590B">
              <w:rPr>
                <w:rFonts w:ascii="GHEA Grapalat" w:hAnsi="GHEA Grapalat" w:cs="Times New Roman"/>
                <w:noProof/>
                <w:sz w:val="24"/>
                <w:szCs w:val="24"/>
                <w:lang w:val="hy-AM"/>
              </w:rPr>
              <w:t>13</w:t>
            </w:r>
            <w:r w:rsidR="00903F27" w:rsidRPr="0043590B">
              <w:rPr>
                <w:rFonts w:ascii="GHEA Grapalat" w:hAnsi="GHEA Grapalat" w:cs="Times New Roman"/>
                <w:noProof/>
                <w:sz w:val="24"/>
                <w:szCs w:val="24"/>
                <w:lang w:val="hy-AM"/>
              </w:rPr>
              <w:t>.0</w:t>
            </w:r>
            <w:r w:rsidRPr="0043590B">
              <w:rPr>
                <w:rFonts w:ascii="GHEA Grapalat" w:hAnsi="GHEA Grapalat" w:cs="Times New Roman"/>
                <w:noProof/>
                <w:sz w:val="24"/>
                <w:szCs w:val="24"/>
                <w:lang w:val="hy-AM"/>
              </w:rPr>
              <w:t>7</w:t>
            </w:r>
            <w:r w:rsidR="00903F27" w:rsidRPr="0043590B">
              <w:rPr>
                <w:rFonts w:ascii="GHEA Grapalat" w:hAnsi="GHEA Grapalat" w:cs="Times New Roman"/>
                <w:noProof/>
                <w:sz w:val="24"/>
                <w:szCs w:val="24"/>
                <w:lang w:val="hy-AM"/>
              </w:rPr>
              <w:t>.202</w:t>
            </w:r>
            <w:r w:rsidRPr="0043590B">
              <w:rPr>
                <w:rFonts w:ascii="GHEA Grapalat" w:hAnsi="GHEA Grapalat" w:cs="Times New Roman"/>
                <w:noProof/>
                <w:sz w:val="24"/>
                <w:szCs w:val="24"/>
                <w:lang w:val="hy-AM"/>
              </w:rPr>
              <w:t>1</w:t>
            </w:r>
          </w:p>
        </w:tc>
      </w:tr>
      <w:tr w:rsidR="00D2721D" w:rsidRPr="0043590B" w:rsidTr="00487EEE">
        <w:trPr>
          <w:trHeight w:val="338"/>
        </w:trPr>
        <w:tc>
          <w:tcPr>
            <w:tcW w:w="7858" w:type="dxa"/>
            <w:gridSpan w:val="2"/>
            <w:vMerge/>
            <w:shd w:val="clear" w:color="auto" w:fill="BFBFBF" w:themeFill="background1" w:themeFillShade="BF"/>
          </w:tcPr>
          <w:p w:rsidR="00D2721D" w:rsidRPr="0043590B" w:rsidRDefault="00D2721D" w:rsidP="004E2950">
            <w:pPr>
              <w:spacing w:line="360" w:lineRule="auto"/>
              <w:jc w:val="center"/>
              <w:rPr>
                <w:rFonts w:ascii="GHEA Grapalat" w:hAnsi="GHEA Grapalat"/>
                <w:noProof/>
                <w:color w:val="000000"/>
                <w:sz w:val="24"/>
                <w:szCs w:val="24"/>
                <w:highlight w:val="lightGray"/>
                <w:shd w:val="clear" w:color="auto" w:fill="FFFFFF"/>
                <w:lang w:val="hy-AM"/>
              </w:rPr>
            </w:pPr>
          </w:p>
        </w:tc>
        <w:tc>
          <w:tcPr>
            <w:tcW w:w="2897" w:type="dxa"/>
            <w:gridSpan w:val="2"/>
            <w:shd w:val="clear" w:color="auto" w:fill="BFBFBF" w:themeFill="background1" w:themeFillShade="BF"/>
          </w:tcPr>
          <w:p w:rsidR="00D2721D" w:rsidRPr="0043590B" w:rsidRDefault="00F813BE" w:rsidP="005367D8">
            <w:pPr>
              <w:spacing w:line="360" w:lineRule="auto"/>
              <w:jc w:val="center"/>
              <w:rPr>
                <w:rFonts w:ascii="GHEA Grapalat" w:hAnsi="GHEA Grapalat" w:cs="Times New Roman"/>
                <w:noProof/>
                <w:sz w:val="24"/>
                <w:szCs w:val="24"/>
                <w:lang w:val="hy-AM"/>
              </w:rPr>
            </w:pPr>
            <w:r w:rsidRPr="0043590B">
              <w:rPr>
                <w:rFonts w:ascii="GHEA Grapalat" w:eastAsia="Calibri" w:hAnsi="GHEA Grapalat" w:cs="Sylfaen"/>
                <w:color w:val="000000" w:themeColor="text1"/>
                <w:sz w:val="24"/>
                <w:szCs w:val="24"/>
                <w:lang w:val="hy-AM"/>
              </w:rPr>
              <w:t>N</w:t>
            </w:r>
            <w:r w:rsidR="005367D8" w:rsidRPr="0043590B">
              <w:rPr>
                <w:rFonts w:ascii="GHEA Grapalat" w:eastAsia="Calibri" w:hAnsi="GHEA Grapalat" w:cs="Sylfaen"/>
                <w:color w:val="000000" w:themeColor="text1"/>
                <w:sz w:val="24"/>
                <w:szCs w:val="24"/>
                <w:lang w:val="hy-AM"/>
              </w:rPr>
              <w:t>1111/28542-21</w:t>
            </w:r>
          </w:p>
        </w:tc>
      </w:tr>
      <w:tr w:rsidR="00D2721D" w:rsidRPr="0043590B" w:rsidTr="00827E76">
        <w:trPr>
          <w:trHeight w:val="2748"/>
        </w:trPr>
        <w:tc>
          <w:tcPr>
            <w:tcW w:w="7858" w:type="dxa"/>
            <w:gridSpan w:val="2"/>
          </w:tcPr>
          <w:p w:rsidR="005367D8" w:rsidRPr="0043590B" w:rsidRDefault="005367D8" w:rsidP="005367D8">
            <w:pPr>
              <w:spacing w:line="276" w:lineRule="auto"/>
              <w:ind w:firstLine="567"/>
              <w:jc w:val="both"/>
              <w:rPr>
                <w:rFonts w:ascii="GHEA Grapalat" w:hAnsi="GHEA Grapalat" w:cs="Times Armenian"/>
                <w:bCs/>
                <w:sz w:val="24"/>
                <w:szCs w:val="24"/>
                <w:lang w:val="hy-AM"/>
              </w:rPr>
            </w:pPr>
          </w:p>
          <w:p w:rsidR="005367D8" w:rsidRPr="0043590B" w:rsidRDefault="005367D8" w:rsidP="005367D8">
            <w:pPr>
              <w:spacing w:line="276" w:lineRule="auto"/>
              <w:ind w:firstLine="567"/>
              <w:jc w:val="both"/>
              <w:rPr>
                <w:rFonts w:ascii="GHEA Grapalat" w:hAnsi="GHEA Grapalat" w:cs="Times Armenian"/>
                <w:bCs/>
                <w:sz w:val="24"/>
                <w:szCs w:val="24"/>
                <w:lang w:val="hy-AM"/>
              </w:rPr>
            </w:pPr>
            <w:r w:rsidRPr="0043590B">
              <w:rPr>
                <w:rFonts w:ascii="GHEA Grapalat" w:hAnsi="GHEA Grapalat" w:cs="Times Armenian"/>
                <w:bCs/>
                <w:sz w:val="24"/>
                <w:szCs w:val="24"/>
                <w:lang w:val="hy-AM"/>
              </w:rPr>
              <w:t>Հայ-չեխական հարաբերությունները հիմնված են երկու ժողովուրդների միջև բարեկա</w:t>
            </w:r>
            <w:r w:rsidRPr="0043590B">
              <w:rPr>
                <w:rFonts w:ascii="GHEA Grapalat" w:hAnsi="GHEA Grapalat" w:cs="Times Armenian"/>
                <w:bCs/>
                <w:sz w:val="24"/>
                <w:szCs w:val="24"/>
                <w:lang w:val="hy-AM"/>
              </w:rPr>
              <w:softHyphen/>
              <w:t>մու</w:t>
            </w:r>
            <w:r w:rsidRPr="0043590B">
              <w:rPr>
                <w:rFonts w:ascii="GHEA Grapalat" w:hAnsi="GHEA Grapalat" w:cs="Times Armenian"/>
                <w:bCs/>
                <w:sz w:val="24"/>
                <w:szCs w:val="24"/>
                <w:lang w:val="hy-AM"/>
              </w:rPr>
              <w:softHyphen/>
              <w:t xml:space="preserve">թյան և բազմաթիվ մշակութային առնչությունների վրա, </w:t>
            </w:r>
            <w:r w:rsidRPr="0043590B">
              <w:rPr>
                <w:rFonts w:ascii="GHEA Grapalat" w:hAnsi="GHEA Grapalat" w:cs="Sylfaen"/>
                <w:sz w:val="24"/>
                <w:szCs w:val="24"/>
                <w:lang w:val="hy-AM"/>
              </w:rPr>
              <w:t>ինչը լավ հիմք է ստեղ</w:t>
            </w:r>
            <w:r w:rsidRPr="0043590B">
              <w:rPr>
                <w:rFonts w:ascii="GHEA Grapalat" w:hAnsi="GHEA Grapalat" w:cs="Sylfaen"/>
                <w:sz w:val="24"/>
                <w:szCs w:val="24"/>
                <w:lang w:val="hy-AM"/>
              </w:rPr>
              <w:softHyphen/>
              <w:t>ծում</w:t>
            </w:r>
            <w:r w:rsidRPr="0043590B">
              <w:rPr>
                <w:rFonts w:ascii="GHEA Grapalat" w:hAnsi="GHEA Grapalat"/>
                <w:sz w:val="24"/>
                <w:szCs w:val="24"/>
                <w:lang w:val="hy-AM"/>
              </w:rPr>
              <w:t xml:space="preserve"> այսօրվա միջպետական հարաբերությունների </w:t>
            </w:r>
            <w:r w:rsidRPr="0043590B">
              <w:rPr>
                <w:rFonts w:ascii="GHEA Grapalat" w:hAnsi="GHEA Grapalat" w:cs="Sylfaen"/>
                <w:sz w:val="24"/>
                <w:szCs w:val="24"/>
                <w:lang w:val="hy-AM"/>
              </w:rPr>
              <w:t>համապարփակ զարգացման համար</w:t>
            </w:r>
            <w:r w:rsidRPr="0043590B">
              <w:rPr>
                <w:rFonts w:ascii="GHEA Grapalat" w:hAnsi="GHEA Grapalat"/>
                <w:sz w:val="24"/>
                <w:szCs w:val="24"/>
                <w:lang w:val="hy-AM"/>
              </w:rPr>
              <w:t xml:space="preserve">: </w:t>
            </w:r>
            <w:r w:rsidRPr="0043590B">
              <w:rPr>
                <w:rFonts w:ascii="GHEA Grapalat" w:hAnsi="GHEA Grapalat" w:cs="Times Armenian"/>
                <w:bCs/>
                <w:sz w:val="24"/>
                <w:szCs w:val="24"/>
                <w:lang w:val="hy-AM"/>
              </w:rPr>
              <w:t>Ավանդական գործընկերային համագործակցություն է ընթանում երկու երկրների կառա</w:t>
            </w:r>
            <w:r w:rsidRPr="0043590B">
              <w:rPr>
                <w:rFonts w:ascii="GHEA Grapalat" w:hAnsi="GHEA Grapalat" w:cs="Times Armenian"/>
                <w:bCs/>
                <w:sz w:val="24"/>
                <w:szCs w:val="24"/>
                <w:lang w:val="hy-AM"/>
              </w:rPr>
              <w:softHyphen/>
              <w:t>վա</w:t>
            </w:r>
            <w:r w:rsidRPr="0043590B">
              <w:rPr>
                <w:rFonts w:ascii="GHEA Grapalat" w:hAnsi="GHEA Grapalat" w:cs="Times Armenian"/>
                <w:bCs/>
                <w:sz w:val="24"/>
                <w:szCs w:val="24"/>
                <w:lang w:val="hy-AM"/>
              </w:rPr>
              <w:softHyphen/>
              <w:t>րու</w:t>
            </w:r>
            <w:r w:rsidRPr="0043590B">
              <w:rPr>
                <w:rFonts w:ascii="GHEA Grapalat" w:hAnsi="GHEA Grapalat" w:cs="Times Armenian"/>
                <w:bCs/>
                <w:sz w:val="24"/>
                <w:szCs w:val="24"/>
                <w:lang w:val="hy-AM"/>
              </w:rPr>
              <w:softHyphen/>
              <w:t>թյունների միջև:</w:t>
            </w:r>
          </w:p>
          <w:p w:rsidR="005367D8" w:rsidRPr="0043590B" w:rsidRDefault="005367D8" w:rsidP="005367D8">
            <w:pPr>
              <w:spacing w:line="276" w:lineRule="auto"/>
              <w:ind w:firstLine="567"/>
              <w:jc w:val="both"/>
              <w:rPr>
                <w:rFonts w:ascii="GHEA Grapalat" w:hAnsi="GHEA Grapalat" w:cs="Sylfaen"/>
                <w:bCs/>
                <w:sz w:val="24"/>
                <w:szCs w:val="24"/>
                <w:lang w:val="hy-AM"/>
              </w:rPr>
            </w:pPr>
            <w:r w:rsidRPr="0043590B">
              <w:rPr>
                <w:rFonts w:ascii="GHEA Grapalat" w:hAnsi="GHEA Grapalat" w:cs="Arial"/>
                <w:sz w:val="24"/>
                <w:szCs w:val="24"/>
                <w:lang w:val="hy-AM"/>
              </w:rPr>
              <w:t>Հայաստանի Հանրապետության</w:t>
            </w:r>
            <w:r w:rsidRPr="0043590B">
              <w:rPr>
                <w:rFonts w:ascii="GHEA Grapalat" w:hAnsi="GHEA Grapalat" w:cs="Courier New"/>
                <w:sz w:val="24"/>
                <w:szCs w:val="24"/>
                <w:lang w:val="hy-AM"/>
              </w:rPr>
              <w:t xml:space="preserve"> </w:t>
            </w:r>
            <w:r w:rsidRPr="0043590B">
              <w:rPr>
                <w:rFonts w:ascii="GHEA Grapalat" w:hAnsi="GHEA Grapalat" w:cs="Arial"/>
                <w:sz w:val="24"/>
                <w:szCs w:val="24"/>
                <w:lang w:val="hy-AM"/>
              </w:rPr>
              <w:t>և</w:t>
            </w:r>
            <w:r w:rsidRPr="0043590B">
              <w:rPr>
                <w:rFonts w:ascii="GHEA Grapalat" w:hAnsi="GHEA Grapalat" w:cs="Courier New"/>
                <w:sz w:val="24"/>
                <w:szCs w:val="24"/>
                <w:lang w:val="hy-AM"/>
              </w:rPr>
              <w:t xml:space="preserve"> </w:t>
            </w:r>
            <w:r w:rsidRPr="0043590B">
              <w:rPr>
                <w:rFonts w:ascii="GHEA Grapalat" w:hAnsi="GHEA Grapalat" w:cs="Arial"/>
                <w:sz w:val="24"/>
                <w:szCs w:val="24"/>
                <w:lang w:val="hy-AM"/>
              </w:rPr>
              <w:t>Չեխիայի Հանրապետության</w:t>
            </w:r>
            <w:r w:rsidRPr="0043590B">
              <w:rPr>
                <w:rFonts w:ascii="GHEA Grapalat" w:hAnsi="GHEA Grapalat" w:cs="Courier New"/>
                <w:sz w:val="24"/>
                <w:szCs w:val="24"/>
                <w:lang w:val="hy-AM"/>
              </w:rPr>
              <w:t xml:space="preserve"> </w:t>
            </w:r>
            <w:r w:rsidRPr="0043590B">
              <w:rPr>
                <w:rFonts w:ascii="GHEA Grapalat" w:hAnsi="GHEA Grapalat" w:cs="Arial"/>
                <w:sz w:val="24"/>
                <w:szCs w:val="24"/>
                <w:lang w:val="hy-AM"/>
              </w:rPr>
              <w:t>միջև</w:t>
            </w:r>
            <w:r w:rsidRPr="0043590B">
              <w:rPr>
                <w:rFonts w:ascii="GHEA Grapalat" w:hAnsi="GHEA Grapalat" w:cs="Courier New"/>
                <w:sz w:val="24"/>
                <w:szCs w:val="24"/>
                <w:lang w:val="hy-AM"/>
              </w:rPr>
              <w:t xml:space="preserve"> </w:t>
            </w:r>
            <w:r w:rsidRPr="0043590B">
              <w:rPr>
                <w:rFonts w:ascii="GHEA Grapalat" w:hAnsi="GHEA Grapalat" w:cs="Arial"/>
                <w:sz w:val="24"/>
                <w:szCs w:val="24"/>
                <w:lang w:val="hy-AM"/>
              </w:rPr>
              <w:t>երկկողմ</w:t>
            </w:r>
            <w:r w:rsidRPr="0043590B">
              <w:rPr>
                <w:rFonts w:ascii="GHEA Grapalat" w:hAnsi="GHEA Grapalat" w:cs="Courier New"/>
                <w:sz w:val="24"/>
                <w:szCs w:val="24"/>
                <w:lang w:val="hy-AM"/>
              </w:rPr>
              <w:t xml:space="preserve"> </w:t>
            </w:r>
            <w:r w:rsidRPr="0043590B">
              <w:rPr>
                <w:rFonts w:ascii="GHEA Grapalat" w:hAnsi="GHEA Grapalat" w:cs="Arial"/>
                <w:sz w:val="24"/>
                <w:szCs w:val="24"/>
                <w:lang w:val="hy-AM"/>
              </w:rPr>
              <w:t>հարաբերություններն</w:t>
            </w:r>
            <w:r w:rsidRPr="0043590B">
              <w:rPr>
                <w:rFonts w:ascii="GHEA Grapalat" w:hAnsi="GHEA Grapalat" w:cs="Courier New"/>
                <w:sz w:val="24"/>
                <w:szCs w:val="24"/>
                <w:lang w:val="hy-AM"/>
              </w:rPr>
              <w:t xml:space="preserve"> արդյունավետ </w:t>
            </w:r>
            <w:r w:rsidRPr="0043590B">
              <w:rPr>
                <w:rFonts w:ascii="GHEA Grapalat" w:hAnsi="GHEA Grapalat" w:cs="Arial"/>
                <w:sz w:val="24"/>
                <w:szCs w:val="24"/>
                <w:lang w:val="hy-AM"/>
              </w:rPr>
              <w:t>զարգանում են</w:t>
            </w:r>
            <w:r w:rsidRPr="0043590B">
              <w:rPr>
                <w:rFonts w:ascii="GHEA Grapalat" w:hAnsi="GHEA Grapalat" w:cs="Times Armenian"/>
                <w:bCs/>
                <w:sz w:val="24"/>
                <w:szCs w:val="24"/>
                <w:lang w:val="hy-AM"/>
              </w:rPr>
              <w:t xml:space="preserve"> Հայաստանի Հանրապետության անկախությունից ի վեր: </w:t>
            </w:r>
            <w:r w:rsidRPr="0043590B">
              <w:rPr>
                <w:rFonts w:ascii="GHEA Grapalat" w:hAnsi="GHEA Grapalat"/>
                <w:sz w:val="24"/>
                <w:szCs w:val="24"/>
                <w:lang w:val="hy-AM"/>
              </w:rPr>
              <w:t xml:space="preserve"> Հայաստանը </w:t>
            </w:r>
            <w:r w:rsidRPr="0043590B">
              <w:rPr>
                <w:rFonts w:ascii="GHEA Grapalat" w:hAnsi="GHEA Grapalat" w:cs="Sylfaen"/>
                <w:bCs/>
                <w:sz w:val="24"/>
                <w:szCs w:val="24"/>
                <w:lang w:val="hy-AM"/>
              </w:rPr>
              <w:t>շահագրգռված է ընդլայնելու և խորաց</w:t>
            </w:r>
            <w:r w:rsidRPr="0043590B">
              <w:rPr>
                <w:rFonts w:ascii="GHEA Grapalat" w:hAnsi="GHEA Grapalat" w:cs="Sylfaen"/>
                <w:bCs/>
                <w:sz w:val="24"/>
                <w:szCs w:val="24"/>
                <w:lang w:val="hy-AM"/>
              </w:rPr>
              <w:softHyphen/>
              <w:t>նե</w:t>
            </w:r>
            <w:r w:rsidRPr="0043590B">
              <w:rPr>
                <w:rFonts w:ascii="GHEA Grapalat" w:hAnsi="GHEA Grapalat" w:cs="Sylfaen"/>
                <w:bCs/>
                <w:sz w:val="24"/>
                <w:szCs w:val="24"/>
                <w:lang w:val="hy-AM"/>
              </w:rPr>
              <w:softHyphen/>
              <w:t xml:space="preserve">լու </w:t>
            </w:r>
            <w:r w:rsidRPr="0043590B">
              <w:rPr>
                <w:rFonts w:ascii="GHEA Grapalat" w:hAnsi="GHEA Grapalat" w:cs="Arial"/>
                <w:sz w:val="24"/>
                <w:szCs w:val="24"/>
                <w:lang w:val="hy-AM"/>
              </w:rPr>
              <w:t>Չեխիայի</w:t>
            </w:r>
            <w:r w:rsidRPr="0043590B">
              <w:rPr>
                <w:rFonts w:ascii="GHEA Grapalat" w:hAnsi="GHEA Grapalat" w:cs="Courier New"/>
                <w:sz w:val="24"/>
                <w:szCs w:val="24"/>
                <w:lang w:val="hy-AM"/>
              </w:rPr>
              <w:t xml:space="preserve"> </w:t>
            </w:r>
            <w:r w:rsidRPr="0043590B">
              <w:rPr>
                <w:rFonts w:ascii="GHEA Grapalat" w:hAnsi="GHEA Grapalat" w:cs="Sylfaen"/>
                <w:bCs/>
                <w:sz w:val="24"/>
                <w:szCs w:val="24"/>
                <w:lang w:val="hy-AM"/>
              </w:rPr>
              <w:t>հետ համագործակցությունը քաղաքական, առևտրատնտեսա</w:t>
            </w:r>
            <w:r w:rsidRPr="0043590B">
              <w:rPr>
                <w:rFonts w:ascii="GHEA Grapalat" w:hAnsi="GHEA Grapalat" w:cs="Sylfaen"/>
                <w:bCs/>
                <w:sz w:val="24"/>
                <w:szCs w:val="24"/>
                <w:lang w:val="hy-AM"/>
              </w:rPr>
              <w:softHyphen/>
              <w:t xml:space="preserve">կան, գիտակրթական,  մշակութային և փոխադարձ հետաքրքրություն ներկայացնող բոլոր այլ բնագավառներում, ինչպես երկկողմ, այնպես էլ բազմակողմ ձևաչափով: </w:t>
            </w:r>
          </w:p>
          <w:p w:rsidR="005367D8" w:rsidRPr="0043590B" w:rsidRDefault="005367D8" w:rsidP="005367D8">
            <w:pPr>
              <w:spacing w:line="276" w:lineRule="auto"/>
              <w:ind w:firstLine="567"/>
              <w:jc w:val="both"/>
              <w:rPr>
                <w:rFonts w:ascii="GHEA Grapalat" w:eastAsia="Times New Roman" w:hAnsi="GHEA Grapalat"/>
                <w:sz w:val="24"/>
                <w:szCs w:val="24"/>
                <w:lang w:val="hy-AM" w:eastAsia="ru-RU"/>
              </w:rPr>
            </w:pPr>
            <w:r w:rsidRPr="0043590B">
              <w:rPr>
                <w:rFonts w:ascii="GHEA Grapalat" w:eastAsia="Times New Roman" w:hAnsi="GHEA Grapalat"/>
                <w:sz w:val="24"/>
                <w:szCs w:val="24"/>
                <w:lang w:val="hy-AM" w:eastAsia="ru-RU"/>
              </w:rPr>
              <w:t xml:space="preserve">Ակտիվացել են քաղաքական երկխոսությունը, միջխորհրդարանական հարաբերությունները, ապակենտրոնացված համագործակցությունը, համագործակցությունը միջազգային կառույցների շրջանակներում: </w:t>
            </w:r>
          </w:p>
          <w:p w:rsidR="005367D8" w:rsidRPr="0043590B" w:rsidRDefault="005367D8" w:rsidP="005367D8">
            <w:pPr>
              <w:spacing w:line="276" w:lineRule="auto"/>
              <w:ind w:firstLine="567"/>
              <w:jc w:val="both"/>
              <w:rPr>
                <w:rFonts w:ascii="GHEA Grapalat" w:hAnsi="GHEA Grapalat"/>
                <w:sz w:val="24"/>
                <w:szCs w:val="24"/>
                <w:lang w:val="hy-AM"/>
              </w:rPr>
            </w:pPr>
            <w:r w:rsidRPr="0043590B">
              <w:rPr>
                <w:rFonts w:ascii="GHEA Grapalat" w:hAnsi="GHEA Grapalat"/>
                <w:sz w:val="24"/>
                <w:szCs w:val="24"/>
                <w:lang w:val="hy-AM"/>
              </w:rPr>
              <w:t xml:space="preserve">Հայ-չեխական համագործակցությունն արդյունավետ զարգացման ներուժ ունի նաև ՀՀ–ԵՄ Համապարփակ և ընդլայնված գործընկերության համաձայնագրի և Արևելյան գործընկերության շրջանակներում: Չեխիան սատարում է Հայաստանում ընթացող </w:t>
            </w:r>
            <w:r w:rsidRPr="0043590B">
              <w:rPr>
                <w:rFonts w:ascii="GHEA Grapalat" w:hAnsi="GHEA Grapalat"/>
                <w:sz w:val="24"/>
                <w:szCs w:val="24"/>
                <w:lang w:val="hy-AM"/>
              </w:rPr>
              <w:lastRenderedPageBreak/>
              <w:t>ներքին բարեփոխումները:</w:t>
            </w:r>
          </w:p>
          <w:p w:rsidR="005367D8" w:rsidRPr="0043590B" w:rsidRDefault="005367D8" w:rsidP="005367D8">
            <w:pPr>
              <w:tabs>
                <w:tab w:val="left" w:pos="284"/>
              </w:tabs>
              <w:spacing w:line="276" w:lineRule="auto"/>
              <w:ind w:firstLine="567"/>
              <w:jc w:val="both"/>
              <w:rPr>
                <w:rFonts w:ascii="GHEA Grapalat" w:hAnsi="GHEA Grapalat"/>
                <w:sz w:val="24"/>
                <w:szCs w:val="24"/>
                <w:lang w:val="hy-AM"/>
              </w:rPr>
            </w:pPr>
            <w:r w:rsidRPr="0043590B">
              <w:rPr>
                <w:rFonts w:ascii="GHEA Grapalat" w:hAnsi="GHEA Grapalat" w:cs="Times Armenian"/>
                <w:sz w:val="24"/>
                <w:szCs w:val="24"/>
                <w:lang w:val="hy-AM"/>
              </w:rPr>
              <w:t>«</w:t>
            </w:r>
            <w:r w:rsidRPr="0043590B">
              <w:rPr>
                <w:rFonts w:ascii="GHEA Grapalat" w:hAnsi="GHEA Grapalat"/>
                <w:sz w:val="24"/>
                <w:szCs w:val="24"/>
                <w:lang w:val="hy-AM"/>
              </w:rPr>
              <w:t xml:space="preserve">Հայաստանի Հանրապետության և Չեխիայի Հանրապետության միջև՝ </w:t>
            </w:r>
            <w:r w:rsidRPr="0043590B">
              <w:rPr>
                <w:rFonts w:ascii="GHEA Grapalat" w:hAnsi="GHEA Grapalat" w:cs="Times Armenian"/>
                <w:sz w:val="24"/>
                <w:szCs w:val="24"/>
                <w:lang w:val="hy-AM"/>
              </w:rPr>
              <w:t>«</w:t>
            </w:r>
            <w:r w:rsidRPr="0043590B">
              <w:rPr>
                <w:rFonts w:ascii="GHEA Grapalat" w:hAnsi="GHEA Grapalat"/>
                <w:sz w:val="24"/>
                <w:szCs w:val="24"/>
                <w:lang w:val="hy-AM"/>
              </w:rPr>
              <w:t>Հանձնման մասին</w:t>
            </w:r>
            <w:r w:rsidRPr="0043590B">
              <w:rPr>
                <w:rFonts w:ascii="GHEA Grapalat" w:hAnsi="GHEA Grapalat" w:cs="Times Armenian"/>
                <w:sz w:val="24"/>
                <w:szCs w:val="24"/>
                <w:lang w:val="hy-AM"/>
              </w:rPr>
              <w:t>»</w:t>
            </w:r>
            <w:r w:rsidRPr="0043590B">
              <w:rPr>
                <w:rFonts w:ascii="GHEA Grapalat" w:hAnsi="GHEA Grapalat"/>
                <w:sz w:val="24"/>
                <w:szCs w:val="24"/>
                <w:lang w:val="hy-AM"/>
              </w:rPr>
              <w:t xml:space="preserve"> 1957թ. դեկտեմբերի 13-ի եվրոպական կոնվենցիայի կիրառումը դյուրացնելուն ուղղված</w:t>
            </w:r>
            <w:r w:rsidRPr="0043590B">
              <w:rPr>
                <w:rFonts w:ascii="GHEA Grapalat" w:hAnsi="GHEA Grapalat" w:cs="Times Armenian"/>
                <w:sz w:val="24"/>
                <w:szCs w:val="24"/>
                <w:lang w:val="hy-AM"/>
              </w:rPr>
              <w:t>»</w:t>
            </w:r>
            <w:r w:rsidRPr="0043590B">
              <w:rPr>
                <w:rFonts w:ascii="GHEA Grapalat" w:hAnsi="GHEA Grapalat"/>
                <w:sz w:val="24"/>
                <w:szCs w:val="24"/>
                <w:lang w:val="hy-AM"/>
              </w:rPr>
              <w:t xml:space="preserve"> համաձայնագրի վավերացումը/հաստատումը կդյուրացնի «Հանձնման մասին» 1957 թվականի դեկտեմբերի 13-ի եվրոպական կոնվենցիայով երկու պետությունների ստանձնած պարտավորությունների կատարումը՝ հնարավորություն ստեղծելով ճանաչել և կատարել մյուս կողմի դատարանների կողմից իրենց քաղաքացիների վերաբերյալ կայացրած վերջնական դատավճիռները:</w:t>
            </w:r>
          </w:p>
          <w:p w:rsidR="005367D8" w:rsidRPr="0043590B" w:rsidRDefault="005367D8" w:rsidP="00EE2BFC">
            <w:pPr>
              <w:pStyle w:val="BodyText"/>
              <w:tabs>
                <w:tab w:val="left" w:pos="709"/>
              </w:tabs>
              <w:spacing w:after="0" w:line="276" w:lineRule="auto"/>
              <w:jc w:val="both"/>
              <w:rPr>
                <w:rFonts w:ascii="GHEA Grapalat" w:hAnsi="GHEA Grapalat"/>
                <w:noProof/>
                <w:color w:val="000000"/>
                <w:lang w:val="hy-AM"/>
              </w:rPr>
            </w:pPr>
            <w:r w:rsidRPr="0043590B">
              <w:rPr>
                <w:rFonts w:ascii="GHEA Grapalat" w:hAnsi="GHEA Grapalat"/>
                <w:lang w:val="hy-AM"/>
              </w:rPr>
              <w:t xml:space="preserve">  </w:t>
            </w:r>
            <w:r w:rsidRPr="0043590B">
              <w:rPr>
                <w:rFonts w:ascii="GHEA Grapalat" w:hAnsi="GHEA Grapalat"/>
                <w:lang w:val="hy-AM"/>
              </w:rPr>
              <w:tab/>
              <w:t>Ելնելով վերոգրյալից՝ 2021 թվականի հունիսի 9-ին ստորագրված</w:t>
            </w:r>
            <w:r w:rsidRPr="0043590B">
              <w:rPr>
                <w:rFonts w:ascii="GHEA Grapalat" w:hAnsi="GHEA Grapalat"/>
                <w:lang w:val="hy-AM" w:eastAsia="ru-RU"/>
              </w:rPr>
              <w:t xml:space="preserve"> </w:t>
            </w:r>
            <w:r w:rsidRPr="0043590B">
              <w:rPr>
                <w:rFonts w:ascii="GHEA Grapalat" w:hAnsi="GHEA Grapalat" w:cs="Times Armenian"/>
                <w:lang w:val="hy-AM"/>
              </w:rPr>
              <w:t>«</w:t>
            </w:r>
            <w:r w:rsidRPr="0043590B">
              <w:rPr>
                <w:rFonts w:ascii="GHEA Grapalat" w:hAnsi="GHEA Grapalat"/>
                <w:lang w:val="hy-AM"/>
              </w:rPr>
              <w:t xml:space="preserve">Հայաստանի Հանրապետության և Չեխիայի Հանրապետության միջև՝ </w:t>
            </w:r>
            <w:r w:rsidRPr="0043590B">
              <w:rPr>
                <w:rFonts w:ascii="GHEA Grapalat" w:hAnsi="GHEA Grapalat" w:cs="Times Armenian"/>
                <w:lang w:val="hy-AM"/>
              </w:rPr>
              <w:t>«</w:t>
            </w:r>
            <w:r w:rsidRPr="0043590B">
              <w:rPr>
                <w:rFonts w:ascii="GHEA Grapalat" w:hAnsi="GHEA Grapalat"/>
                <w:lang w:val="hy-AM"/>
              </w:rPr>
              <w:t>Հանձնման մասին</w:t>
            </w:r>
            <w:r w:rsidRPr="0043590B">
              <w:rPr>
                <w:rFonts w:ascii="GHEA Grapalat" w:hAnsi="GHEA Grapalat" w:cs="Times Armenian"/>
                <w:lang w:val="hy-AM"/>
              </w:rPr>
              <w:t>»</w:t>
            </w:r>
            <w:r w:rsidRPr="0043590B">
              <w:rPr>
                <w:rFonts w:ascii="GHEA Grapalat" w:hAnsi="GHEA Grapalat"/>
                <w:lang w:val="hy-AM"/>
              </w:rPr>
              <w:t xml:space="preserve"> 1957թ. դեկտեմբերի 13-ի եվրոպական կոնվենցիայի կիրառումը դյուրացնելուն ուղղված</w:t>
            </w:r>
            <w:r w:rsidRPr="0043590B">
              <w:rPr>
                <w:rFonts w:ascii="GHEA Grapalat" w:hAnsi="GHEA Grapalat" w:cs="Times Armenian"/>
                <w:lang w:val="hy-AM"/>
              </w:rPr>
              <w:t>»</w:t>
            </w:r>
            <w:r w:rsidRPr="0043590B">
              <w:rPr>
                <w:rFonts w:ascii="GHEA Grapalat" w:hAnsi="GHEA Grapalat"/>
                <w:lang w:val="hy-AM"/>
              </w:rPr>
              <w:t xml:space="preserve"> համաձայնագրի</w:t>
            </w:r>
            <w:r w:rsidRPr="0043590B">
              <w:rPr>
                <w:rFonts w:ascii="GHEA Grapalat" w:hAnsi="GHEA Grapalat" w:cs="Sylfaen"/>
                <w:lang w:val="hy-AM" w:eastAsia="ru-RU"/>
              </w:rPr>
              <w:t xml:space="preserve"> վավերացումը կամ հաստատումը </w:t>
            </w:r>
            <w:r w:rsidRPr="0043590B">
              <w:rPr>
                <w:rFonts w:ascii="GHEA Grapalat" w:hAnsi="GHEA Grapalat"/>
                <w:lang w:val="hy-AM"/>
              </w:rPr>
              <w:t>Հայաստանի Հանրապետության վարած արտաքին քաղաքականության առումով նպատակահարմար է։</w:t>
            </w:r>
          </w:p>
        </w:tc>
        <w:tc>
          <w:tcPr>
            <w:tcW w:w="2897" w:type="dxa"/>
            <w:gridSpan w:val="2"/>
          </w:tcPr>
          <w:p w:rsidR="005367D8" w:rsidRPr="0043590B" w:rsidRDefault="005367D8" w:rsidP="00D2721D">
            <w:pPr>
              <w:spacing w:line="360" w:lineRule="auto"/>
              <w:jc w:val="center"/>
              <w:rPr>
                <w:rFonts w:ascii="GHEA Grapalat" w:hAnsi="GHEA Grapalat" w:cs="Times New Roman"/>
                <w:b/>
                <w:noProof/>
                <w:sz w:val="24"/>
                <w:szCs w:val="24"/>
                <w:lang w:val="hy-AM"/>
              </w:rPr>
            </w:pPr>
          </w:p>
          <w:p w:rsidR="00D2721D" w:rsidRPr="0043590B" w:rsidRDefault="00D2721D" w:rsidP="00D2721D">
            <w:pPr>
              <w:spacing w:line="360" w:lineRule="auto"/>
              <w:jc w:val="center"/>
              <w:rPr>
                <w:rFonts w:ascii="GHEA Grapalat" w:hAnsi="GHEA Grapalat" w:cs="Times New Roman"/>
                <w:b/>
                <w:noProof/>
                <w:sz w:val="24"/>
                <w:szCs w:val="24"/>
                <w:lang w:val="hy-AM"/>
              </w:rPr>
            </w:pPr>
            <w:r w:rsidRPr="0043590B">
              <w:rPr>
                <w:rFonts w:ascii="GHEA Grapalat" w:hAnsi="GHEA Grapalat" w:cs="Times New Roman"/>
                <w:b/>
                <w:noProof/>
                <w:sz w:val="24"/>
                <w:szCs w:val="24"/>
                <w:lang w:val="hy-AM"/>
              </w:rPr>
              <w:t>Ընդունվել է</w:t>
            </w:r>
          </w:p>
          <w:p w:rsidR="00D2721D" w:rsidRPr="0043590B" w:rsidRDefault="00D2721D" w:rsidP="00E51670">
            <w:pPr>
              <w:spacing w:line="360" w:lineRule="auto"/>
              <w:jc w:val="both"/>
              <w:rPr>
                <w:rFonts w:ascii="GHEA Grapalat" w:hAnsi="GHEA Grapalat" w:cs="Times New Roman"/>
                <w:noProof/>
                <w:sz w:val="24"/>
                <w:szCs w:val="24"/>
                <w:lang w:val="hy-AM"/>
              </w:rPr>
            </w:pPr>
          </w:p>
        </w:tc>
      </w:tr>
      <w:tr w:rsidR="00470F74" w:rsidRPr="0043590B" w:rsidTr="00470F74">
        <w:trPr>
          <w:trHeight w:val="132"/>
        </w:trPr>
        <w:tc>
          <w:tcPr>
            <w:tcW w:w="7858" w:type="dxa"/>
            <w:gridSpan w:val="2"/>
            <w:vMerge w:val="restart"/>
            <w:shd w:val="clear" w:color="auto" w:fill="BFBFBF" w:themeFill="background1" w:themeFillShade="BF"/>
          </w:tcPr>
          <w:p w:rsidR="00470F74" w:rsidRPr="0043590B" w:rsidRDefault="00470F74" w:rsidP="004E2950">
            <w:pPr>
              <w:spacing w:line="360" w:lineRule="auto"/>
              <w:jc w:val="center"/>
              <w:rPr>
                <w:rFonts w:ascii="GHEA Grapalat" w:hAnsi="GHEA Grapalat" w:cs="Times New Roman"/>
                <w:noProof/>
                <w:sz w:val="24"/>
                <w:szCs w:val="24"/>
                <w:lang w:val="hy-AM"/>
              </w:rPr>
            </w:pPr>
          </w:p>
          <w:p w:rsidR="00470F74" w:rsidRPr="0043590B" w:rsidRDefault="00470F74" w:rsidP="004E2950">
            <w:pPr>
              <w:spacing w:line="360" w:lineRule="auto"/>
              <w:jc w:val="center"/>
              <w:rPr>
                <w:rFonts w:ascii="GHEA Grapalat" w:hAnsi="GHEA Grapalat"/>
                <w:b/>
                <w:noProof/>
                <w:color w:val="000000"/>
                <w:sz w:val="24"/>
                <w:szCs w:val="24"/>
                <w:lang w:val="hy-AM"/>
              </w:rPr>
            </w:pPr>
            <w:r w:rsidRPr="0043590B">
              <w:rPr>
                <w:rFonts w:ascii="GHEA Grapalat" w:hAnsi="GHEA Grapalat" w:cs="Times New Roman"/>
                <w:b/>
                <w:noProof/>
                <w:sz w:val="24"/>
                <w:szCs w:val="24"/>
                <w:lang w:val="hy-AM"/>
              </w:rPr>
              <w:t xml:space="preserve">2. </w:t>
            </w:r>
            <w:r w:rsidR="005367D8" w:rsidRPr="0043590B">
              <w:rPr>
                <w:rFonts w:ascii="GHEA Grapalat" w:hAnsi="GHEA Grapalat"/>
                <w:b/>
                <w:noProof/>
                <w:color w:val="000000"/>
                <w:sz w:val="24"/>
                <w:szCs w:val="24"/>
                <w:lang w:val="hy-AM"/>
              </w:rPr>
              <w:t>Բարձրագույն դատական խորհուրդ</w:t>
            </w:r>
          </w:p>
          <w:p w:rsidR="00470F74" w:rsidRPr="0043590B" w:rsidRDefault="00470F74" w:rsidP="00470F74">
            <w:pPr>
              <w:spacing w:line="360" w:lineRule="auto"/>
              <w:rPr>
                <w:rFonts w:ascii="GHEA Grapalat" w:hAnsi="GHEA Grapalat" w:cs="Times New Roman"/>
                <w:noProof/>
                <w:sz w:val="24"/>
                <w:szCs w:val="24"/>
                <w:lang w:val="hy-AM"/>
              </w:rPr>
            </w:pPr>
            <w:r w:rsidRPr="0043590B">
              <w:rPr>
                <w:rFonts w:ascii="GHEA Grapalat" w:hAnsi="GHEA Grapalat"/>
                <w:noProof/>
                <w:color w:val="000000"/>
                <w:sz w:val="24"/>
                <w:szCs w:val="24"/>
                <w:highlight w:val="lightGray"/>
                <w:shd w:val="clear" w:color="auto" w:fill="FFFFFF"/>
                <w:lang w:val="hy-AM"/>
              </w:rPr>
              <w:t xml:space="preserve">                                             </w:t>
            </w:r>
          </w:p>
        </w:tc>
        <w:tc>
          <w:tcPr>
            <w:tcW w:w="2897" w:type="dxa"/>
            <w:gridSpan w:val="2"/>
            <w:shd w:val="clear" w:color="auto" w:fill="BFBFBF" w:themeFill="background1" w:themeFillShade="BF"/>
          </w:tcPr>
          <w:p w:rsidR="00470F74" w:rsidRPr="0043590B" w:rsidRDefault="005367D8" w:rsidP="005367D8">
            <w:pPr>
              <w:spacing w:line="360" w:lineRule="auto"/>
              <w:jc w:val="center"/>
              <w:rPr>
                <w:rFonts w:ascii="GHEA Grapalat" w:hAnsi="GHEA Grapalat" w:cs="Times New Roman"/>
                <w:noProof/>
                <w:sz w:val="24"/>
                <w:szCs w:val="24"/>
                <w:lang w:val="hy-AM"/>
              </w:rPr>
            </w:pPr>
            <w:r w:rsidRPr="0043590B">
              <w:rPr>
                <w:rFonts w:ascii="GHEA Grapalat" w:hAnsi="GHEA Grapalat" w:cs="Times New Roman"/>
                <w:noProof/>
                <w:sz w:val="24"/>
                <w:szCs w:val="24"/>
                <w:lang w:val="hy-AM"/>
              </w:rPr>
              <w:t>05</w:t>
            </w:r>
            <w:r w:rsidR="008431D2" w:rsidRPr="0043590B">
              <w:rPr>
                <w:rFonts w:ascii="GHEA Grapalat" w:hAnsi="GHEA Grapalat" w:cs="Times New Roman"/>
                <w:noProof/>
                <w:sz w:val="24"/>
                <w:szCs w:val="24"/>
                <w:lang w:val="hy-AM"/>
              </w:rPr>
              <w:t>.0</w:t>
            </w:r>
            <w:r w:rsidRPr="0043590B">
              <w:rPr>
                <w:rFonts w:ascii="GHEA Grapalat" w:hAnsi="GHEA Grapalat" w:cs="Times New Roman"/>
                <w:noProof/>
                <w:sz w:val="24"/>
                <w:szCs w:val="24"/>
                <w:lang w:val="hy-AM"/>
              </w:rPr>
              <w:t>8</w:t>
            </w:r>
            <w:r w:rsidR="008431D2" w:rsidRPr="0043590B">
              <w:rPr>
                <w:rFonts w:ascii="GHEA Grapalat" w:hAnsi="GHEA Grapalat" w:cs="Times New Roman"/>
                <w:noProof/>
                <w:sz w:val="24"/>
                <w:szCs w:val="24"/>
                <w:lang w:val="hy-AM"/>
              </w:rPr>
              <w:t>.2021</w:t>
            </w:r>
          </w:p>
        </w:tc>
      </w:tr>
      <w:tr w:rsidR="00470F74" w:rsidRPr="0043590B" w:rsidTr="00470F74">
        <w:trPr>
          <w:trHeight w:val="131"/>
        </w:trPr>
        <w:tc>
          <w:tcPr>
            <w:tcW w:w="7858" w:type="dxa"/>
            <w:gridSpan w:val="2"/>
            <w:vMerge/>
            <w:shd w:val="clear" w:color="auto" w:fill="BFBFBF" w:themeFill="background1" w:themeFillShade="BF"/>
          </w:tcPr>
          <w:p w:rsidR="00470F74" w:rsidRPr="0043590B" w:rsidRDefault="00470F74" w:rsidP="00470F74">
            <w:pPr>
              <w:spacing w:line="360" w:lineRule="auto"/>
              <w:rPr>
                <w:rFonts w:ascii="GHEA Grapalat" w:hAnsi="GHEA Grapalat" w:cs="Times New Roman"/>
                <w:noProof/>
                <w:sz w:val="24"/>
                <w:szCs w:val="24"/>
                <w:lang w:val="hy-AM"/>
              </w:rPr>
            </w:pPr>
          </w:p>
        </w:tc>
        <w:tc>
          <w:tcPr>
            <w:tcW w:w="2897" w:type="dxa"/>
            <w:gridSpan w:val="2"/>
            <w:shd w:val="clear" w:color="auto" w:fill="BFBFBF" w:themeFill="background1" w:themeFillShade="BF"/>
          </w:tcPr>
          <w:p w:rsidR="00470F74" w:rsidRPr="0043590B" w:rsidRDefault="00470F74" w:rsidP="005367D8">
            <w:pPr>
              <w:pStyle w:val="BodyText"/>
              <w:spacing w:after="0" w:line="360" w:lineRule="auto"/>
              <w:jc w:val="center"/>
              <w:rPr>
                <w:rFonts w:ascii="GHEA Grapalat" w:hAnsi="GHEA Grapalat" w:cs="Times New Roman"/>
                <w:noProof/>
                <w:lang w:val="hy-AM"/>
              </w:rPr>
            </w:pPr>
            <w:r w:rsidRPr="0043590B">
              <w:rPr>
                <w:rFonts w:ascii="GHEA Grapalat" w:hAnsi="GHEA Grapalat" w:cs="Sylfaen"/>
                <w:iCs/>
                <w:lang w:val="hy-AM"/>
              </w:rPr>
              <w:t>N</w:t>
            </w:r>
            <w:r w:rsidR="005367D8" w:rsidRPr="0043590B">
              <w:rPr>
                <w:rFonts w:ascii="GHEA Grapalat" w:hAnsi="GHEA Grapalat" w:cs="Sylfaen"/>
                <w:iCs/>
                <w:lang w:val="hy-AM"/>
              </w:rPr>
              <w:t xml:space="preserve"> Ե-6261</w:t>
            </w:r>
          </w:p>
        </w:tc>
      </w:tr>
      <w:tr w:rsidR="00D2721D" w:rsidRPr="00BA7357" w:rsidTr="00827E76">
        <w:trPr>
          <w:trHeight w:val="4755"/>
        </w:trPr>
        <w:tc>
          <w:tcPr>
            <w:tcW w:w="4968" w:type="dxa"/>
          </w:tcPr>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Հայաստանի Հանրապետության և Չեխիայի Հանրապետության միջև Հանձնման մասին 1957 թվականի դեկտեբերի 13-ի եվրոպական կոնվենցիայի կիրառումը դյուրացնելուն ուղղված 09.06.2021թ.  ստորագրված համաձայնագրի այսուհետ' Համաձայնագիր վավերացման վերաբերյալ առաջարկություններ չկան:</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 xml:space="preserve">Միաժամանակ հարկ է նշել, որ Համաձայնագրին կից ներկայացված հիմնավորմամբ նշվել է այն մասին, որ եվրոպական երկրներից շատերը իրենց ներպետական օրենսդրությամբ նախատեսում են անձի բացակայությամբ մեղադրական դատավճիռներ կայացնելու պրակտիկան, ուստի շատ հաճախ հանցագործություն կատարած անձանց հանձնումը քաղաքացիության հիմքով </w:t>
            </w:r>
            <w:r w:rsidRPr="0043590B">
              <w:rPr>
                <w:rFonts w:ascii="GHEA Grapalat" w:hAnsi="GHEA Grapalat"/>
                <w:sz w:val="24"/>
                <w:szCs w:val="24"/>
                <w:lang w:val="hy-AM"/>
              </w:rPr>
              <w:lastRenderedPageBreak/>
              <w:t xml:space="preserve">մերժելու դեպքում ինքնաբերաբար բացառվում է նաև վերջիններիս նկատմամբ հարուցված քրեական գործերը եվրոպական մեկ այլ միջազգային պայմանագրի' </w:t>
            </w:r>
            <w:r w:rsidRPr="0043590B">
              <w:rPr>
                <w:rFonts w:ascii="GHEA Grapalat" w:hAnsi="GHEA Grapalat"/>
                <w:b/>
                <w:sz w:val="24"/>
                <w:szCs w:val="24"/>
                <w:lang w:val="hy-AM"/>
              </w:rPr>
              <w:t></w:t>
            </w:r>
            <w:r w:rsidRPr="0043590B">
              <w:rPr>
                <w:rFonts w:ascii="GHEA Grapalat" w:hAnsi="GHEA Grapalat"/>
                <w:sz w:val="24"/>
                <w:szCs w:val="24"/>
                <w:lang w:val="hy-AM"/>
              </w:rPr>
              <w:t>Քրեական գործերով վարույթների փոխանցման մասին</w:t>
            </w:r>
            <w:r w:rsidRPr="0043590B">
              <w:rPr>
                <w:rFonts w:ascii="GHEA Grapalat" w:hAnsi="GHEA Grapalat"/>
                <w:b/>
                <w:sz w:val="24"/>
                <w:szCs w:val="24"/>
                <w:lang w:val="hy-AM"/>
              </w:rPr>
              <w:t xml:space="preserve"> </w:t>
            </w:r>
            <w:r w:rsidRPr="0043590B">
              <w:rPr>
                <w:rFonts w:ascii="GHEA Grapalat" w:hAnsi="GHEA Grapalat"/>
                <w:sz w:val="24"/>
                <w:szCs w:val="24"/>
                <w:lang w:val="hy-AM"/>
              </w:rPr>
              <w:t>15.05.1972թ. ստորագրված եվրոպական կոնվենցիայի շրջանակներում հանձնումը մերժող երկրին փոխանցելու հնարավորությունը, ինչի պատճառով հանձնումը մերժելու պարագայում տվյալ անձինք մնում են անպատիժ:</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 xml:space="preserve">Նախ նշենք, որ </w:t>
            </w:r>
            <w:r w:rsidRPr="0043590B">
              <w:rPr>
                <w:rFonts w:ascii="GHEA Grapalat" w:hAnsi="GHEA Grapalat"/>
                <w:b/>
                <w:sz w:val="24"/>
                <w:szCs w:val="24"/>
                <w:lang w:val="hy-AM"/>
              </w:rPr>
              <w:t></w:t>
            </w:r>
            <w:r w:rsidRPr="0043590B">
              <w:rPr>
                <w:rFonts w:ascii="GHEA Grapalat" w:hAnsi="GHEA Grapalat"/>
                <w:sz w:val="24"/>
                <w:szCs w:val="24"/>
                <w:lang w:val="hy-AM"/>
              </w:rPr>
              <w:t>Քրեական գործերով վարույթների փոխանցման մասին</w:t>
            </w:r>
            <w:r w:rsidRPr="0043590B">
              <w:rPr>
                <w:rFonts w:ascii="GHEA Grapalat" w:hAnsi="GHEA Grapalat"/>
                <w:b/>
                <w:sz w:val="24"/>
                <w:szCs w:val="24"/>
                <w:lang w:val="hy-AM"/>
              </w:rPr>
              <w:t></w:t>
            </w:r>
            <w:r w:rsidRPr="0043590B">
              <w:rPr>
                <w:rFonts w:ascii="GHEA Grapalat" w:hAnsi="GHEA Grapalat"/>
                <w:sz w:val="24"/>
                <w:szCs w:val="24"/>
                <w:lang w:val="hy-AM"/>
              </w:rPr>
              <w:t xml:space="preserve"> 15.05.1972թ. եվրոպական կոնվենցիան (այսուհետ նաև` Կոնվենցիա) Հայաստանի Հանրապետությանը վավերացրել է 17.02.2004թ. </w:t>
            </w:r>
            <w:r w:rsidRPr="0043590B">
              <w:rPr>
                <w:rFonts w:ascii="GHEA Grapalat" w:hAnsi="GHEA Grapalat"/>
                <w:i/>
                <w:sz w:val="24"/>
                <w:szCs w:val="24"/>
                <w:lang w:val="hy-AM"/>
              </w:rPr>
              <w:t>(ուժի մեջ է մտել 18.03.2005թ.)</w:t>
            </w:r>
            <w:r w:rsidRPr="0043590B">
              <w:rPr>
                <w:rFonts w:ascii="GHEA Grapalat" w:hAnsi="GHEA Grapalat"/>
                <w:sz w:val="24"/>
                <w:szCs w:val="24"/>
                <w:lang w:val="hy-AM"/>
              </w:rPr>
              <w:t xml:space="preserve">, իսկ Չեխիայի Հանրապետությանը 15.04.2002թ. </w:t>
            </w:r>
            <w:r w:rsidRPr="0043590B">
              <w:rPr>
                <w:rFonts w:ascii="GHEA Grapalat" w:hAnsi="GHEA Grapalat"/>
                <w:i/>
                <w:sz w:val="24"/>
                <w:szCs w:val="24"/>
                <w:lang w:val="hy-AM"/>
              </w:rPr>
              <w:t>(ուժի մեջ է մտել 01.01.1993թ.)</w:t>
            </w:r>
            <w:r w:rsidRPr="0043590B">
              <w:rPr>
                <w:rFonts w:ascii="GHEA Grapalat" w:hAnsi="GHEA Grapalat"/>
                <w:sz w:val="24"/>
                <w:szCs w:val="24"/>
                <w:lang w:val="hy-AM"/>
              </w:rPr>
              <w:t>:</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Կոնվենցիայի 8-րդ հոդվածի 1-ի մասի համաձայն' պայմանավորվող պետությունը կարող է դիմել մեկ այլ Պայմանավորվող պետության, որպեսզի վերջինս վարույթ իրականացնի հետևյալ մեկ կամ մի քանի դեպքերում.</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 xml:space="preserve">ա. Եթե կասկածող անձը մշտապես բնակվում է հայցվող Պետությունում, </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բ. Եթե կասկածվող ան</w:t>
            </w:r>
            <w:r w:rsidR="00EE2BFC">
              <w:rPr>
                <w:rFonts w:ascii="GHEA Grapalat" w:hAnsi="GHEA Grapalat"/>
                <w:sz w:val="24"/>
                <w:szCs w:val="24"/>
                <w:lang w:val="hy-AM"/>
              </w:rPr>
              <w:t>ձ</w:t>
            </w:r>
            <w:r w:rsidRPr="0043590B">
              <w:rPr>
                <w:rFonts w:ascii="GHEA Grapalat" w:hAnsi="GHEA Grapalat"/>
                <w:sz w:val="24"/>
                <w:szCs w:val="24"/>
                <w:lang w:val="hy-AM"/>
              </w:rPr>
              <w:t>ը հայցվող Պետության քաղաքացի է, կամ ծագումով հայցվող Պետությունից է. (…)</w:t>
            </w:r>
          </w:p>
          <w:p w:rsidR="005367D8" w:rsidRPr="0043590B" w:rsidRDefault="005367D8" w:rsidP="005367D8">
            <w:pPr>
              <w:ind w:firstLine="720"/>
              <w:jc w:val="both"/>
              <w:rPr>
                <w:rFonts w:ascii="GHEA Grapalat" w:hAnsi="GHEA Grapalat"/>
                <w:b/>
                <w:sz w:val="24"/>
                <w:szCs w:val="24"/>
                <w:lang w:val="hy-AM"/>
              </w:rPr>
            </w:pPr>
            <w:r w:rsidRPr="0043590B">
              <w:rPr>
                <w:rFonts w:ascii="GHEA Grapalat" w:hAnsi="GHEA Grapalat"/>
                <w:sz w:val="24"/>
                <w:szCs w:val="24"/>
                <w:lang w:val="hy-AM"/>
              </w:rPr>
              <w:t xml:space="preserve">Կոնվենցիայի 8-րդ հոդվածի 2-րդ մասի համաձայն` եթե Պայմանավորվող պետությունում կասկածվող անձը վերջնականորեն դատապարտվել է, ապա տվյալ Պետությունը կարող է դիմել' սույն հոդվածի 1-ին կետում նախատեսված մեկ կամ մի քանի դեպքերում վարույթը փոխանցելու համար, եթե միայն ինքը չի կարող ի կատար ածել դատավճիռը, նույնիսկ հանձնման մասին խնդրանք ներկայացնելու դեպքում, և եթե մյուս Պայմանավորվող պետությունը չի </w:t>
            </w:r>
            <w:r w:rsidRPr="0043590B">
              <w:rPr>
                <w:rFonts w:ascii="GHEA Grapalat" w:hAnsi="GHEA Grapalat"/>
                <w:sz w:val="24"/>
                <w:szCs w:val="24"/>
                <w:lang w:val="hy-AM"/>
              </w:rPr>
              <w:lastRenderedPageBreak/>
              <w:t>ընդունում օտարերկրյա պետության դատավճիռն ի կատար ածելուց:</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Կոնվենցիայի հիշյալ դրույթի բովանդակությունից պարզ է դառնում, որ պայմանավորվող կողմերը` հայցող պետությունում կասկածվող անձի վերջնականորեն դատապարտման դեպքում, հնարավորություն ունեն դիմելու հայցվող պետությանը' վարույթը փոխանցելու խնդրանքով, միայն, եթե հայցող պետությունը չի կարող ի կատար ածել դատավճիռը' հանձնման ընթցակարգին դիմելու, ինչպես նաև, հայցվող պետության կողմից սկզբունքորեն մերժվում է օտարերկրյա պետությունների դատավճիռների կատարումը կամ տվյալ դատավճիռն ի կատար ածելուց հրաժարվելու դեպքերում:</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Տեղին է նշել, որ միջազհային քրեական իրավունքի հիմնարար սկզբունքներից' aut dedere aut judicare (կա´մ հանձնել, կամ պատժել) սկղբունքը իր վառ արտացոլումն է գտել վերը նշված կոնվենցիոն կանոնում:</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 xml:space="preserve">Կոնվենցիայի վերաբերյալ որևէ վերապահում և հայտարարություն չսահմանելու պայմաններում, կարող ենք </w:t>
            </w:r>
            <w:r w:rsidR="00EE2BFC">
              <w:rPr>
                <w:rFonts w:ascii="GHEA Grapalat" w:hAnsi="GHEA Grapalat"/>
                <w:sz w:val="24"/>
                <w:szCs w:val="24"/>
                <w:lang w:val="hy-AM"/>
              </w:rPr>
              <w:t>փ</w:t>
            </w:r>
            <w:r w:rsidRPr="0043590B">
              <w:rPr>
                <w:rFonts w:ascii="GHEA Grapalat" w:hAnsi="GHEA Grapalat"/>
                <w:sz w:val="24"/>
                <w:szCs w:val="24"/>
                <w:lang w:val="hy-AM"/>
              </w:rPr>
              <w:t>աստել, որ Հայաստանի Հանրապետությունն ընդունել է օտարերկրյա պետությունների դատավճիռների կատարման սկզբունքը, և ստանձնել է դրանից բխող բոլոր հետևանքների կրման պատասխանատվույթունը:</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 xml:space="preserve">Հանձնման մասին 1957 թվականի դեկտեմբերի 13-ի եվրոպական կոնվենցիայի 6-րդ հոդվածի կապակցությամբ Հայաստանի Հանրապետությունը հայտարարել է, որ չի հանձնի իր քաղաքացուն, սակայն դա դեռ չի նշանակում, որ անձի հանձնման բացառման դեպքում` պայմանավորվող կողմերը զրկվում են նրա վերաբերյալ վարույթը քննելու և վերջնական </w:t>
            </w:r>
            <w:r w:rsidRPr="0043590B">
              <w:rPr>
                <w:rFonts w:ascii="GHEA Grapalat" w:hAnsi="GHEA Grapalat"/>
                <w:sz w:val="24"/>
                <w:szCs w:val="24"/>
                <w:lang w:val="hy-AM"/>
              </w:rPr>
              <w:lastRenderedPageBreak/>
              <w:t>դատական ակտն ի կատար ածելու հնարավորությունից, որը նրանց ընձեռում է Կոնվենցիայի համապատասխան հոդվածները, ուստի այն պատճառաբանությունը, որ քաղաքացիության հիմքով հանձնումը մերժելու դեպքում ինքնաբերաբար բացառվում է տվյալ ան</w:t>
            </w:r>
            <w:r w:rsidR="00EE2BFC">
              <w:rPr>
                <w:rFonts w:ascii="GHEA Grapalat" w:hAnsi="GHEA Grapalat"/>
                <w:sz w:val="24"/>
                <w:szCs w:val="24"/>
                <w:lang w:val="hy-AM"/>
              </w:rPr>
              <w:t>ձ</w:t>
            </w:r>
            <w:r w:rsidRPr="0043590B">
              <w:rPr>
                <w:rFonts w:ascii="GHEA Grapalat" w:hAnsi="GHEA Grapalat"/>
                <w:sz w:val="24"/>
                <w:szCs w:val="24"/>
                <w:lang w:val="hy-AM"/>
              </w:rPr>
              <w:t>ի նկատմամբ հարուցված քրեական գործերը Կոնվենցիայի շրջանակներում հանձնումը մերժող երկրին փոխանցելու հնարավորությունը` մեր կարծիքով խնդրահարույց է: Ինչ վերաբերում է նշվածի պայմաններում անձի անպատիժ մնալուն, ապա, նշենք, որ Համաձայնագրի կարգավորումների իրացման պայմաններում անգամ` միանշանակ չի կարող երաշխավորվել օտարերկրյա դադավճռի ի կատար ածումը:</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Նշվածը հիմնավորվում է այն պատճառաբանությամբ, որ Համաձայնագրում ամրագրված` դատավճիռը ճանաչելու և ի կատար ածելու վերաբերյալ որոշ դրույթներ իրենց բովանդակությամբ նույնական են Կոնվենցիայով նախատեսված դրույթներին, իսկ որոշները հակասում են միմյանց: Նման իրավիճակը կարող է պայմանավորվող պետությունների դատարանների համար բարդություններ ստեղծել` դատավճիռների ճանաչման և կատարման վերաբերյալ վարույթների քննարկման ընթացքում: Համեմատական վերլուծության արդյունքում կարող ենք փաստել, որ Կոնվենցիայի 11-րդ հոդվածով նախատեսված` դատավճիռը ճանաչելու և կատարելու պահանջով հարցումը մերժելու հիմքերն առավել մանրամասն և սպառիչ են թվարկված, քան Համաձայնագրի 5-րդ հոդվածով նախատեսված հիմքերը:</w:t>
            </w:r>
          </w:p>
          <w:p w:rsidR="005367D8" w:rsidRPr="0043590B" w:rsidRDefault="005367D8" w:rsidP="005367D8">
            <w:pPr>
              <w:ind w:firstLine="720"/>
              <w:jc w:val="both"/>
              <w:rPr>
                <w:rFonts w:ascii="GHEA Grapalat" w:hAnsi="GHEA Grapalat"/>
                <w:sz w:val="24"/>
                <w:szCs w:val="24"/>
                <w:lang w:val="hy-AM"/>
              </w:rPr>
            </w:pPr>
            <w:r w:rsidRPr="0043590B">
              <w:rPr>
                <w:rFonts w:ascii="GHEA Grapalat" w:hAnsi="GHEA Grapalat"/>
                <w:sz w:val="24"/>
                <w:szCs w:val="24"/>
                <w:lang w:val="hy-AM"/>
              </w:rPr>
              <w:t xml:space="preserve">Ամփոփելով վերոգրյալը` առաջարկվում է քննարկել Համաձայնագրի 13-րդ Ուժի մեջ մտնելը վերտառությամբ հոդվածում այնպիսի </w:t>
            </w:r>
            <w:r w:rsidRPr="0043590B">
              <w:rPr>
                <w:rFonts w:ascii="GHEA Grapalat" w:hAnsi="GHEA Grapalat"/>
                <w:sz w:val="24"/>
                <w:szCs w:val="24"/>
                <w:lang w:val="hy-AM"/>
              </w:rPr>
              <w:lastRenderedPageBreak/>
              <w:t>դրույթի ներառման հարցը, որով կերաշխավորի Քրեական գործերով վարույթների փոխանցման մասին 15.05.1972թ. եվրոպական կոնվենցիայի կիրառումը պայմանավորվող պետությունների միջև իրավական փոխօգնության` Համաձայնագրով կանխորոշված իրավահարաբերությունների շրջանակներում:</w:t>
            </w:r>
          </w:p>
          <w:p w:rsidR="00D2721D" w:rsidRPr="0043590B" w:rsidRDefault="00D2721D" w:rsidP="00DA1A4D">
            <w:pPr>
              <w:spacing w:line="360" w:lineRule="auto"/>
              <w:rPr>
                <w:rFonts w:ascii="GHEA Grapalat" w:hAnsi="GHEA Grapalat" w:cs="Times New Roman"/>
                <w:noProof/>
                <w:sz w:val="24"/>
                <w:szCs w:val="24"/>
                <w:lang w:val="hy-AM"/>
              </w:rPr>
            </w:pPr>
          </w:p>
        </w:tc>
        <w:tc>
          <w:tcPr>
            <w:tcW w:w="5787" w:type="dxa"/>
            <w:gridSpan w:val="3"/>
          </w:tcPr>
          <w:p w:rsidR="00D2721D" w:rsidRPr="0043590B" w:rsidRDefault="005367D8" w:rsidP="00470F74">
            <w:pPr>
              <w:spacing w:line="360" w:lineRule="auto"/>
              <w:jc w:val="center"/>
              <w:rPr>
                <w:rFonts w:ascii="GHEA Grapalat" w:hAnsi="GHEA Grapalat" w:cs="Times New Roman"/>
                <w:b/>
                <w:noProof/>
                <w:sz w:val="24"/>
                <w:szCs w:val="24"/>
                <w:lang w:val="hy-AM"/>
              </w:rPr>
            </w:pPr>
            <w:r w:rsidRPr="0043590B">
              <w:rPr>
                <w:rFonts w:ascii="GHEA Grapalat" w:hAnsi="GHEA Grapalat" w:cs="Times New Roman"/>
                <w:b/>
                <w:noProof/>
                <w:sz w:val="24"/>
                <w:szCs w:val="24"/>
                <w:lang w:val="hy-AM"/>
              </w:rPr>
              <w:lastRenderedPageBreak/>
              <w:t xml:space="preserve">Չի ընդունվել </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Անդրադառնալով «Քրեական գործերով վարույթների փոխանցման մասին» 1972թ</w:t>
            </w:r>
            <w:r w:rsidRPr="0043590B">
              <w:rPr>
                <w:rFonts w:ascii="MS Mincho" w:eastAsia="MS Mincho" w:hAnsi="MS Mincho" w:cs="MS Mincho"/>
                <w:color w:val="000000"/>
                <w:sz w:val="24"/>
                <w:szCs w:val="24"/>
                <w:shd w:val="clear" w:color="auto" w:fill="FFFFFF"/>
                <w:lang w:val="hy-AM"/>
              </w:rPr>
              <w:t>․</w:t>
            </w:r>
            <w:r w:rsidRPr="0043590B">
              <w:rPr>
                <w:rFonts w:ascii="GHEA Grapalat" w:hAnsi="GHEA Grapalat"/>
                <w:color w:val="000000"/>
                <w:sz w:val="24"/>
                <w:szCs w:val="24"/>
                <w:shd w:val="clear" w:color="auto" w:fill="FFFFFF"/>
                <w:lang w:val="hy-AM"/>
              </w:rPr>
              <w:t xml:space="preserve"> եվրոպական կոնվենցիայի 8-րդ հոդվածի 2-րդ մասով նախատեսված հնարավորությանը՝ հանցագործություն կատարած անձի հանձնումը քաղաքացիության հիմքով մերժելու պարագայում տվյալ օտարերկրյա պետությունում  անգամ դատավճռի առկայությամբ  վարույթի փոխանցման հնարավորություն նախատեսելու հարցին, հարկ ենք համարում որպես բացասական վիճակագրություն արձանագրել այն փաստը, որ </w:t>
            </w:r>
            <w:r w:rsidRPr="0043590B">
              <w:rPr>
                <w:rFonts w:ascii="GHEA Grapalat" w:hAnsi="GHEA Grapalat"/>
                <w:b/>
                <w:color w:val="000000"/>
                <w:sz w:val="24"/>
                <w:szCs w:val="24"/>
                <w:shd w:val="clear" w:color="auto" w:fill="FFFFFF"/>
                <w:lang w:val="hy-AM"/>
              </w:rPr>
              <w:t>դատավճռի</w:t>
            </w:r>
            <w:r w:rsidRPr="0043590B">
              <w:rPr>
                <w:rFonts w:ascii="GHEA Grapalat" w:hAnsi="GHEA Grapalat"/>
                <w:color w:val="000000"/>
                <w:sz w:val="24"/>
                <w:szCs w:val="24"/>
                <w:shd w:val="clear" w:color="auto" w:fill="FFFFFF"/>
                <w:lang w:val="hy-AM"/>
              </w:rPr>
              <w:t xml:space="preserve"> (այդ թվում՝ մեղադրյալի բացակայությամբ կայացված դատավճռի) </w:t>
            </w:r>
            <w:r w:rsidRPr="0043590B">
              <w:rPr>
                <w:rFonts w:ascii="GHEA Grapalat" w:hAnsi="GHEA Grapalat"/>
                <w:b/>
                <w:color w:val="000000"/>
                <w:sz w:val="24"/>
                <w:szCs w:val="24"/>
                <w:shd w:val="clear" w:color="auto" w:fill="FFFFFF"/>
                <w:lang w:val="hy-AM"/>
              </w:rPr>
              <w:t>առկայության դեպքում</w:t>
            </w:r>
            <w:r w:rsidRPr="0043590B">
              <w:rPr>
                <w:rFonts w:ascii="GHEA Grapalat" w:hAnsi="GHEA Grapalat"/>
                <w:color w:val="000000"/>
                <w:sz w:val="24"/>
                <w:szCs w:val="24"/>
                <w:shd w:val="clear" w:color="auto" w:fill="FFFFFF"/>
                <w:lang w:val="hy-AM"/>
              </w:rPr>
              <w:t xml:space="preserve"> վերջին 10 տարիների ընթացքում երբևէ նշված կոնվենցիայի անդամ </w:t>
            </w:r>
            <w:r w:rsidRPr="0043590B">
              <w:rPr>
                <w:rFonts w:ascii="GHEA Grapalat" w:hAnsi="GHEA Grapalat"/>
                <w:color w:val="000000"/>
                <w:sz w:val="24"/>
                <w:szCs w:val="24"/>
                <w:shd w:val="clear" w:color="auto" w:fill="FFFFFF"/>
                <w:lang w:val="hy-AM"/>
              </w:rPr>
              <w:lastRenderedPageBreak/>
              <w:t xml:space="preserve">որևէ երկիր չի դիմել Հայաստանի Հանրապետության իրավասու մարմիններին՝ վարույթի փոխանցման խնդրանքով, նույնիսկ ՀՀ իրավասու մարմինների կողմից՝ կոնվենցիայի նշված հոդվածի առկայության մասին հղումով, նման առաջարկությամբ հանդես գալու պարագայում։ </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 xml:space="preserve">Այդուհանդերձ, հարկ է նշել, որ նույնիսկ մեղադրական դատավճռի բացակայության դեպքում քրեական գործերով վարույթների փոխանցման վիճակագրությունը մխիթարիչ ցուցանիշներ չի արձանագրել վերջին տարիների ընթացքում, քանի որ ԵԽ անդամ փոքրաթիվ երկրներից մեկի դեպքում, օրինակ, դատական գործով վարույթի փոխանցումը հանգեցրել է արդարացման դատավճռի, ինչը ԵԽ տվյալ անդամ պետության համար ցանկալի արդյունք չի համարվել, և տվյալ անձի հետախուզումը պետությունը չի դադարեցրել։  </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Պատճառը խորքային չէ, այլ կայանում է նրանում, որ դատավճռի առկայության դեպքում վարույթի փոխանցումը օտարերկրյա պետության դատական մարմիններին կարող է հանգեցնել օբյեկտիվ և սուբյեկտիվ բարդությունների՝ վկաներին արդեն իսկ դատավճիռը կայացրած օտարեկրյա պետությունից դատական նիստերին հրավիրելու, նրանց ներկայությունը ապահովելու, իսկ նրանց վարույթը փոխանցված երկիր չմեկնելու ցանկության դեպքում՝ դատական հանձնարարություններ կազմելիս՝ մեղադրող և պաշտպանական կողմերին վկաներին հարցեր ուղղելու և դրանց պատասխանները լսելու անհնարինության և բազմաթիվ այլ խնդրների։</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 xml:space="preserve">Նշված և այլ պատճառներով դատավճռի առկայության դեպքում վարույթի փոխանցումը օտարերկրյա պետության դատական մարմիններին կարող է հանգեցնել անձի նկատմամբ ոչ թե մեղադրական դատավճռի </w:t>
            </w:r>
            <w:r w:rsidRPr="0043590B">
              <w:rPr>
                <w:rFonts w:ascii="GHEA Grapalat" w:hAnsi="GHEA Grapalat"/>
                <w:color w:val="000000"/>
                <w:sz w:val="24"/>
                <w:szCs w:val="24"/>
                <w:shd w:val="clear" w:color="auto" w:fill="FFFFFF"/>
                <w:lang w:val="hy-AM"/>
              </w:rPr>
              <w:lastRenderedPageBreak/>
              <w:t xml:space="preserve">կայացման իր քաղաքացիության երկրում, այլ ընդհակառակը՝ վարույթի դադարեցման, անձի նկատմամբ արդարացման դատավճռի կայացման, ինչը չի նպաստում երկրների միջև իրավապահ և դատական մարմինների համագործակցությանը, այլ խորացնում է անվստահությունը օտարեկրյա պետության դատական համակարգի և արդարադատության նկատմամբ։  </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Բացի այդ, նշված կոնվենցիայի 8-րդ հոդվածի 2-րդ կետը, տալով հնարավորություն դատավճռի առկայության դեպքում վարույթի փոխանցման, նախատեսում է նաև բացառություն, սահմանելով այդ հնարավորությունը այն դեպքում, երբ կամ եթե «</w:t>
            </w:r>
            <w:r w:rsidRPr="0043590B">
              <w:rPr>
                <w:rFonts w:ascii="GHEA Grapalat" w:hAnsi="GHEA Grapalat"/>
                <w:b/>
                <w:color w:val="000000"/>
                <w:sz w:val="24"/>
                <w:szCs w:val="24"/>
                <w:shd w:val="clear" w:color="auto" w:fill="FFFFFF"/>
                <w:lang w:val="hy-AM"/>
              </w:rPr>
              <w:t>մյուս Պայմանավորվող պետությունը չի ընդունում օտարերկրյա պետության դատավճռի կատարման սկզբունքը կամ հրաժարվում է տվյալ դատավճիռն ի կատար ածելուց»</w:t>
            </w:r>
            <w:r w:rsidRPr="0043590B">
              <w:rPr>
                <w:rFonts w:ascii="GHEA Grapalat" w:hAnsi="GHEA Grapalat"/>
                <w:color w:val="000000"/>
                <w:sz w:val="24"/>
                <w:szCs w:val="24"/>
                <w:shd w:val="clear" w:color="auto" w:fill="FFFFFF"/>
                <w:lang w:val="hy-AM"/>
              </w:rPr>
              <w:t>:</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Հասկանալի պատճառներով մեղադրական դատավճռի առկայությունը ցանկացած պետության դատարանի կողմից կայացված այն ակտն է, որով տվյալ պետությունն արդեն իսկ իրականացրել է արդարադատություն և, հետևաբար, հարգելով սեփական դատարանի կողմից կայացրած  մեղադրական դատավճռի առկայությամբ այլ պետություն վարույթի փոխանցումը հաճախ դիտվում է՝ որպես դատարանի կայացրած դատավիճիռն անկատար, իսկ մեղադրյալին՝ անպատիժ թողնելու հնարավորություն։</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 xml:space="preserve"> Այդ իսկ պատճառով գործնականում դատավճիռների առկայության պարագայում իրավական փոխօգնության ոլորտը կարգավորող եվրոպական կոնվենցիաների անդամ երկրները կիրառում են մեկ այլ գործիք, որը «Քրեական դատավճիռների միջազգային ճանաչման մասին» 1970 թվականի եվրոպական կոնվենցիան է։ </w:t>
            </w:r>
            <w:r w:rsidRPr="0043590B">
              <w:rPr>
                <w:rFonts w:ascii="GHEA Grapalat" w:hAnsi="GHEA Grapalat"/>
                <w:color w:val="000000"/>
                <w:sz w:val="24"/>
                <w:szCs w:val="24"/>
                <w:shd w:val="clear" w:color="auto" w:fill="FFFFFF"/>
                <w:lang w:val="hy-AM"/>
              </w:rPr>
              <w:lastRenderedPageBreak/>
              <w:t xml:space="preserve">Ցավոք, ո՛չ Հայաստանի Հանրապետությունը, ո՛չ Չեխիայի Հանրապետությունը նշված կոնվենցիային չեն միացել։ </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Դատավճիռների ճանաչումը օտարերկրյա պետությունների դատական համակարգերի և արդարադատության մակարդակի նկատմամբ առանձնահատուկ հարգանքի, վստահության և իրավական փոխօգնության ոլորտում պետությունների միջև համագործակցային բարձր մակարդակի նշան է, իսկ նման դեպքերում բազմակողմ պայմանագրին միանալը թույլ չի տալիս պետություններին ընտրել այն երկրները, որոնց հետ տվյալ երկիրը պատրաստ է խորացնել համագործակցությունը և հավանաբար այդ է պատճառը, որ նշված կոնվենցիային երկար տարիների ընթացքում միացել են միայն ԵԽ 23 անդամ երկրներ։</w:t>
            </w:r>
          </w:p>
          <w:p w:rsidR="005367D8" w:rsidRPr="0043590B"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«Հայաստանի Հանրապետության և Չեխիայի Հանրապետության միջև «Հանձնման մասին» 1957 թվականի դեկտեմբերի 13-ի Եվրոպական կոնվենցիայի կիրառումը դյուրացնելուն ուղղված» Համաձայնագիրը կոչված է խորացնելու համագործակցությունը Համաձայնագրի վերնագրում նշված կոնվենցիայի շրջանակներում և վերաբերում է միայն դատավճիռների ճանաչմանը, ուստի վարույթների փոխանցումը մերժելու հիմքերը սահմանող «Քրեական գործերով վարույթների փոխանցման մասին» 1972թ</w:t>
            </w:r>
            <w:r w:rsidRPr="0043590B">
              <w:rPr>
                <w:rFonts w:ascii="MS Mincho" w:eastAsia="MS Mincho" w:hAnsi="MS Mincho" w:cs="MS Mincho"/>
                <w:color w:val="000000"/>
                <w:sz w:val="24"/>
                <w:szCs w:val="24"/>
                <w:shd w:val="clear" w:color="auto" w:fill="FFFFFF"/>
                <w:lang w:val="hy-AM"/>
              </w:rPr>
              <w:t>․</w:t>
            </w:r>
            <w:r w:rsidRPr="0043590B">
              <w:rPr>
                <w:rFonts w:ascii="GHEA Grapalat" w:hAnsi="GHEA Grapalat"/>
                <w:color w:val="000000"/>
                <w:sz w:val="24"/>
                <w:szCs w:val="24"/>
                <w:shd w:val="clear" w:color="auto" w:fill="FFFFFF"/>
                <w:lang w:val="hy-AM"/>
              </w:rPr>
              <w:t xml:space="preserve"> եվրոպական կոնվենցիայի 11-րդ հոդվածով հարցումները մերժելու հիմքերն առավել մանրամասն ու սպառիչ թվարկելու և Համաձայնագրի 5-րդ հոդվածով դատավճռի ճանաչման հարցումը մերժելու հիմքերի հետ համեմատականների անցկացումը տեղին չենք համարում։</w:t>
            </w:r>
          </w:p>
          <w:p w:rsidR="005367D8" w:rsidRPr="00EE2BFC" w:rsidRDefault="005367D8" w:rsidP="005367D8">
            <w:pPr>
              <w:spacing w:line="276" w:lineRule="auto"/>
              <w:ind w:firstLine="720"/>
              <w:jc w:val="both"/>
              <w:rPr>
                <w:rFonts w:ascii="GHEA Grapalat" w:hAnsi="GHEA Grapalat"/>
                <w:color w:val="000000"/>
                <w:sz w:val="24"/>
                <w:szCs w:val="24"/>
                <w:shd w:val="clear" w:color="auto" w:fill="FFFFFF"/>
                <w:lang w:val="hy-AM"/>
              </w:rPr>
            </w:pPr>
            <w:r w:rsidRPr="0043590B">
              <w:rPr>
                <w:rFonts w:ascii="GHEA Grapalat" w:hAnsi="GHEA Grapalat"/>
                <w:color w:val="000000"/>
                <w:sz w:val="24"/>
                <w:szCs w:val="24"/>
                <w:shd w:val="clear" w:color="auto" w:fill="FFFFFF"/>
                <w:lang w:val="hy-AM"/>
              </w:rPr>
              <w:t xml:space="preserve">Նկատի ունենալով վերոգրյալը և այն հանգամանքը, որ Համաձայնագիրը կոչված է լուծելու միանգամայն այլ խնդիրներ և </w:t>
            </w:r>
            <w:r w:rsidRPr="0043590B">
              <w:rPr>
                <w:rFonts w:ascii="GHEA Grapalat" w:hAnsi="GHEA Grapalat"/>
                <w:color w:val="000000"/>
                <w:sz w:val="24"/>
                <w:szCs w:val="24"/>
                <w:shd w:val="clear" w:color="auto" w:fill="FFFFFF"/>
                <w:lang w:val="hy-AM"/>
              </w:rPr>
              <w:lastRenderedPageBreak/>
              <w:t>հանդիսանալու է գործուն գործիք դատավճիռների ճանաչման և կատարման ոլորտում երկու երկրների համագործակցությունը սկսելու և ամրապնդելու ուղղությամբ, գտնում ենք, որ Համաձայնագրի 13-րդ եզրափակիչ դրույթները նախատեսող հոդվածում մեկ այլ կոնվենցիայի, տվյալ դեպքում՝ երկու կողմերի միջև արդեն իսկ գործող «Քրեական գործերով վարույթների փոխանցման մասին» 1972թ</w:t>
            </w:r>
            <w:r w:rsidRPr="0043590B">
              <w:rPr>
                <w:rFonts w:ascii="MS Mincho" w:eastAsia="MS Mincho" w:hAnsi="MS Mincho" w:cs="MS Mincho"/>
                <w:color w:val="000000"/>
                <w:sz w:val="24"/>
                <w:szCs w:val="24"/>
                <w:shd w:val="clear" w:color="auto" w:fill="FFFFFF"/>
                <w:lang w:val="hy-AM"/>
              </w:rPr>
              <w:t>․</w:t>
            </w:r>
            <w:r w:rsidRPr="0043590B">
              <w:rPr>
                <w:rFonts w:ascii="GHEA Grapalat" w:hAnsi="GHEA Grapalat"/>
                <w:color w:val="000000"/>
                <w:sz w:val="24"/>
                <w:szCs w:val="24"/>
                <w:shd w:val="clear" w:color="auto" w:fill="FFFFFF"/>
                <w:lang w:val="hy-AM"/>
              </w:rPr>
              <w:t xml:space="preserve"> եվրոպական կոնվենցիայի կիրառմանն առնչվող դրույթների ներառումը, հնարավոր չէ, այդ թվում՝ նաև «Միջազգային պայմանագրերի իրավունքի մասին» 1969թ</w:t>
            </w:r>
            <w:r w:rsidRPr="0043590B">
              <w:rPr>
                <w:rFonts w:ascii="MS Mincho" w:eastAsia="MS Mincho" w:hAnsi="MS Mincho" w:cs="MS Mincho"/>
                <w:color w:val="000000"/>
                <w:sz w:val="24"/>
                <w:szCs w:val="24"/>
                <w:shd w:val="clear" w:color="auto" w:fill="FFFFFF"/>
                <w:lang w:val="hy-AM"/>
              </w:rPr>
              <w:t>․</w:t>
            </w:r>
            <w:r w:rsidRPr="0043590B">
              <w:rPr>
                <w:rFonts w:ascii="GHEA Grapalat" w:hAnsi="GHEA Grapalat"/>
                <w:color w:val="000000"/>
                <w:sz w:val="24"/>
                <w:szCs w:val="24"/>
                <w:shd w:val="clear" w:color="auto" w:fill="FFFFFF"/>
                <w:lang w:val="hy-AM"/>
              </w:rPr>
              <w:t xml:space="preserve"> Վիեննայի կոնվենցիայի 23-րդ հոդվածի շրջանակներում։</w:t>
            </w:r>
          </w:p>
          <w:p w:rsidR="005367D8" w:rsidRPr="0043590B" w:rsidRDefault="005367D8" w:rsidP="00470F74">
            <w:pPr>
              <w:spacing w:line="360" w:lineRule="auto"/>
              <w:jc w:val="center"/>
              <w:rPr>
                <w:rFonts w:ascii="GHEA Grapalat" w:hAnsi="GHEA Grapalat" w:cs="Times New Roman"/>
                <w:b/>
                <w:noProof/>
                <w:sz w:val="24"/>
                <w:szCs w:val="24"/>
                <w:lang w:val="hy-AM"/>
              </w:rPr>
            </w:pPr>
          </w:p>
        </w:tc>
      </w:tr>
      <w:tr w:rsidR="00012393" w:rsidRPr="0043590B" w:rsidTr="0043590B">
        <w:trPr>
          <w:trHeight w:val="660"/>
        </w:trPr>
        <w:tc>
          <w:tcPr>
            <w:tcW w:w="7938" w:type="dxa"/>
            <w:gridSpan w:val="3"/>
            <w:vMerge w:val="restart"/>
            <w:shd w:val="clear" w:color="auto" w:fill="BFBFBF" w:themeFill="background1" w:themeFillShade="BF"/>
          </w:tcPr>
          <w:p w:rsidR="00012393" w:rsidRPr="0043590B" w:rsidRDefault="00012393" w:rsidP="00012393">
            <w:pPr>
              <w:pStyle w:val="ListParagraph"/>
              <w:spacing w:line="360" w:lineRule="auto"/>
              <w:ind w:left="921"/>
              <w:rPr>
                <w:rFonts w:ascii="GHEA Grapalat" w:hAnsi="GHEA Grapalat" w:cs="Times New Roman"/>
                <w:b/>
                <w:noProof/>
                <w:sz w:val="24"/>
                <w:szCs w:val="24"/>
                <w:lang w:val="hy-AM"/>
              </w:rPr>
            </w:pPr>
          </w:p>
          <w:p w:rsidR="00012393" w:rsidRPr="0043590B" w:rsidRDefault="0043590B" w:rsidP="0043590B">
            <w:pPr>
              <w:pStyle w:val="ListParagraph"/>
              <w:spacing w:line="360" w:lineRule="auto"/>
              <w:ind w:left="921"/>
              <w:jc w:val="center"/>
              <w:rPr>
                <w:rFonts w:ascii="GHEA Grapalat" w:hAnsi="GHEA Grapalat" w:cs="Times New Roman"/>
                <w:b/>
                <w:noProof/>
                <w:sz w:val="24"/>
                <w:szCs w:val="24"/>
                <w:lang w:val="hy-AM"/>
              </w:rPr>
            </w:pPr>
            <w:r>
              <w:rPr>
                <w:rFonts w:ascii="GHEA Grapalat" w:hAnsi="GHEA Grapalat" w:cs="Times New Roman"/>
                <w:b/>
                <w:noProof/>
                <w:sz w:val="24"/>
                <w:szCs w:val="24"/>
              </w:rPr>
              <w:t>3. Գլխավոր դատախազություն</w:t>
            </w:r>
          </w:p>
        </w:tc>
        <w:tc>
          <w:tcPr>
            <w:tcW w:w="2817" w:type="dxa"/>
            <w:shd w:val="clear" w:color="auto" w:fill="BFBFBF" w:themeFill="background1" w:themeFillShade="BF"/>
          </w:tcPr>
          <w:p w:rsidR="00012393" w:rsidRPr="0043590B" w:rsidRDefault="0043590B" w:rsidP="00470F74">
            <w:pPr>
              <w:spacing w:line="360" w:lineRule="auto"/>
              <w:jc w:val="center"/>
              <w:rPr>
                <w:rFonts w:ascii="GHEA Grapalat" w:hAnsi="GHEA Grapalat" w:cs="Times New Roman"/>
                <w:noProof/>
                <w:sz w:val="24"/>
                <w:szCs w:val="24"/>
              </w:rPr>
            </w:pPr>
            <w:r>
              <w:rPr>
                <w:rFonts w:ascii="GHEA Grapalat" w:hAnsi="GHEA Grapalat" w:cs="Times New Roman"/>
                <w:noProof/>
                <w:sz w:val="24"/>
                <w:szCs w:val="24"/>
              </w:rPr>
              <w:t>28</w:t>
            </w:r>
            <w:r>
              <w:rPr>
                <w:rFonts w:ascii="GHEA Grapalat" w:hAnsi="GHEA Grapalat" w:cs="Times New Roman"/>
                <w:noProof/>
                <w:sz w:val="24"/>
                <w:szCs w:val="24"/>
                <w:lang w:val="hy-AM"/>
              </w:rPr>
              <w:t>.0</w:t>
            </w:r>
            <w:r>
              <w:rPr>
                <w:rFonts w:ascii="GHEA Grapalat" w:hAnsi="GHEA Grapalat" w:cs="Times New Roman"/>
                <w:noProof/>
                <w:sz w:val="24"/>
                <w:szCs w:val="24"/>
              </w:rPr>
              <w:t>7</w:t>
            </w:r>
            <w:r w:rsidR="00012393" w:rsidRPr="0043590B">
              <w:rPr>
                <w:rFonts w:ascii="GHEA Grapalat" w:hAnsi="GHEA Grapalat" w:cs="Times New Roman"/>
                <w:noProof/>
                <w:sz w:val="24"/>
                <w:szCs w:val="24"/>
                <w:lang w:val="hy-AM"/>
              </w:rPr>
              <w:t>.202</w:t>
            </w:r>
            <w:r>
              <w:rPr>
                <w:rFonts w:ascii="GHEA Grapalat" w:hAnsi="GHEA Grapalat" w:cs="Times New Roman"/>
                <w:noProof/>
                <w:sz w:val="24"/>
                <w:szCs w:val="24"/>
              </w:rPr>
              <w:t>1</w:t>
            </w:r>
          </w:p>
        </w:tc>
      </w:tr>
      <w:tr w:rsidR="00012393" w:rsidRPr="0043590B" w:rsidTr="0043590B">
        <w:trPr>
          <w:trHeight w:val="660"/>
        </w:trPr>
        <w:tc>
          <w:tcPr>
            <w:tcW w:w="7938" w:type="dxa"/>
            <w:gridSpan w:val="3"/>
            <w:vMerge/>
            <w:shd w:val="clear" w:color="auto" w:fill="BFBFBF" w:themeFill="background1" w:themeFillShade="BF"/>
          </w:tcPr>
          <w:p w:rsidR="00012393" w:rsidRPr="0043590B" w:rsidRDefault="00012393" w:rsidP="00470F74">
            <w:pPr>
              <w:spacing w:line="360" w:lineRule="auto"/>
              <w:jc w:val="center"/>
              <w:rPr>
                <w:rFonts w:ascii="GHEA Grapalat" w:hAnsi="GHEA Grapalat" w:cs="Times New Roman"/>
                <w:noProof/>
                <w:sz w:val="24"/>
                <w:szCs w:val="24"/>
                <w:lang w:val="hy-AM"/>
              </w:rPr>
            </w:pPr>
          </w:p>
        </w:tc>
        <w:tc>
          <w:tcPr>
            <w:tcW w:w="2817" w:type="dxa"/>
            <w:shd w:val="clear" w:color="auto" w:fill="BFBFBF" w:themeFill="background1" w:themeFillShade="BF"/>
          </w:tcPr>
          <w:p w:rsidR="00012393" w:rsidRPr="0043590B" w:rsidRDefault="00012393" w:rsidP="0043590B">
            <w:pPr>
              <w:spacing w:line="360" w:lineRule="auto"/>
              <w:jc w:val="center"/>
              <w:rPr>
                <w:rFonts w:ascii="GHEA Grapalat" w:hAnsi="GHEA Grapalat" w:cs="Times New Roman"/>
                <w:noProof/>
                <w:sz w:val="24"/>
                <w:szCs w:val="24"/>
              </w:rPr>
            </w:pPr>
            <w:r w:rsidRPr="0043590B">
              <w:rPr>
                <w:rFonts w:ascii="GHEA Grapalat" w:hAnsi="GHEA Grapalat" w:cs="Times New Roman"/>
                <w:noProof/>
                <w:sz w:val="24"/>
                <w:szCs w:val="24"/>
                <w:lang w:val="hy-AM"/>
              </w:rPr>
              <w:t>N</w:t>
            </w:r>
            <w:r w:rsidR="0043590B" w:rsidRPr="0043590B">
              <w:rPr>
                <w:rFonts w:ascii="GHEA Grapalat" w:hAnsi="GHEA Grapalat" w:cs="Times New Roman"/>
                <w:noProof/>
                <w:sz w:val="24"/>
                <w:szCs w:val="24"/>
                <w:lang w:val="hy-AM"/>
              </w:rPr>
              <w:t>/21.2/10825-2021</w:t>
            </w:r>
          </w:p>
        </w:tc>
      </w:tr>
      <w:tr w:rsidR="00012393" w:rsidRPr="0043590B" w:rsidTr="00827E76">
        <w:trPr>
          <w:trHeight w:val="1330"/>
        </w:trPr>
        <w:tc>
          <w:tcPr>
            <w:tcW w:w="7938" w:type="dxa"/>
            <w:gridSpan w:val="3"/>
            <w:shd w:val="clear" w:color="auto" w:fill="FFFFFF" w:themeFill="background1"/>
          </w:tcPr>
          <w:p w:rsidR="0043590B" w:rsidRDefault="0043590B" w:rsidP="00827E76">
            <w:pPr>
              <w:spacing w:before="120" w:after="120" w:line="276" w:lineRule="auto"/>
              <w:jc w:val="both"/>
              <w:rPr>
                <w:rFonts w:ascii="GHEA Grapalat" w:hAnsi="GHEA Grapalat" w:cs="Sylfaen"/>
                <w:sz w:val="24"/>
                <w:szCs w:val="24"/>
              </w:rPr>
            </w:pPr>
            <w:r>
              <w:rPr>
                <w:rFonts w:ascii="GHEA Grapalat" w:hAnsi="GHEA Grapalat"/>
                <w:sz w:val="24"/>
                <w:szCs w:val="24"/>
              </w:rPr>
              <w:t>Տ</w:t>
            </w:r>
            <w:r w:rsidRPr="0043590B">
              <w:rPr>
                <w:rFonts w:ascii="GHEA Grapalat" w:hAnsi="GHEA Grapalat"/>
                <w:sz w:val="24"/>
                <w:szCs w:val="24"/>
                <w:lang w:val="hy-AM"/>
              </w:rPr>
              <w:t xml:space="preserve">եղեկացնում եմ, որ ՀՀ գլխավոր դատախազությունում ուսումնասիրվել են 09.06.2021թ. </w:t>
            </w:r>
            <w:r w:rsidRPr="0043590B">
              <w:rPr>
                <w:rFonts w:ascii="GHEA Grapalat" w:hAnsi="GHEA Grapalat" w:cs="Sylfaen"/>
                <w:sz w:val="24"/>
                <w:szCs w:val="24"/>
                <w:lang w:val="hy-AM"/>
              </w:rPr>
              <w:t>ստորագրված «Հայաստանի Հանրապետության և Չեխիայի Հանրապետության միջև՝ «Հանձնման մասին» 13.12.1957թ. Եվրոպական կոնվենցիայի կիրառումը դյուրացնելուն ուղղված» համաձայնագիրը (այսուհետ՝ Համաձայնագիր), ՀՀ արդարադատության նախարարության հիմնավորումը, ՀՀ վավերացման կամ հաստատման արտաքին քաղաքական նպատակահարմարության մասին ՀՀ ԱԳՆ եզրակացությունը:</w:t>
            </w:r>
          </w:p>
          <w:p w:rsidR="00827E76" w:rsidRPr="00EE2BFC" w:rsidRDefault="0043590B" w:rsidP="00827E76">
            <w:pPr>
              <w:spacing w:before="120" w:after="120" w:line="276" w:lineRule="auto"/>
              <w:jc w:val="both"/>
              <w:rPr>
                <w:rFonts w:ascii="GHEA Grapalat" w:hAnsi="GHEA Grapalat" w:cs="Sylfaen"/>
                <w:sz w:val="24"/>
                <w:szCs w:val="24"/>
                <w:lang w:val="hy-AM"/>
              </w:rPr>
            </w:pPr>
            <w:r w:rsidRPr="0043590B">
              <w:rPr>
                <w:rFonts w:ascii="GHEA Grapalat" w:hAnsi="GHEA Grapalat"/>
                <w:sz w:val="24"/>
                <w:szCs w:val="24"/>
                <w:lang w:val="hy-AM"/>
              </w:rPr>
              <w:t xml:space="preserve">        Համաձայնագրի</w:t>
            </w:r>
            <w:r w:rsidRPr="0043590B">
              <w:rPr>
                <w:rFonts w:ascii="GHEA Grapalat" w:hAnsi="GHEA Grapalat" w:cs="Sylfaen"/>
                <w:sz w:val="24"/>
                <w:szCs w:val="24"/>
                <w:lang w:val="pt-BR"/>
              </w:rPr>
              <w:t xml:space="preserve"> վավերացումը</w:t>
            </w:r>
            <w:r w:rsidRPr="0043590B">
              <w:rPr>
                <w:rFonts w:ascii="GHEA Grapalat" w:hAnsi="GHEA Grapalat" w:cs="Sylfaen"/>
                <w:sz w:val="24"/>
                <w:szCs w:val="24"/>
                <w:lang w:val="hy-AM"/>
              </w:rPr>
              <w:t xml:space="preserve"> համարում ենք </w:t>
            </w:r>
            <w:r w:rsidRPr="0043590B">
              <w:rPr>
                <w:rFonts w:ascii="GHEA Grapalat" w:hAnsi="GHEA Grapalat" w:cs="Sylfaen"/>
                <w:sz w:val="24"/>
                <w:szCs w:val="24"/>
                <w:lang w:val="pt-BR"/>
              </w:rPr>
              <w:t xml:space="preserve"> նպատակահարմար:</w:t>
            </w:r>
            <w:r w:rsidR="00827E76">
              <w:rPr>
                <w:rFonts w:ascii="GHEA Grapalat" w:hAnsi="GHEA Grapalat" w:cs="Sylfaen"/>
                <w:sz w:val="24"/>
                <w:szCs w:val="24"/>
                <w:lang w:val="pt-BR"/>
              </w:rPr>
              <w:t xml:space="preserve"> </w:t>
            </w:r>
            <w:r w:rsidRPr="0043590B">
              <w:rPr>
                <w:rFonts w:ascii="GHEA Grapalat" w:hAnsi="GHEA Grapalat" w:cs="Sylfaen"/>
                <w:sz w:val="24"/>
                <w:szCs w:val="24"/>
                <w:lang w:val="af-ZA"/>
              </w:rPr>
              <w:t xml:space="preserve">Միաժամանակ </w:t>
            </w:r>
            <w:r w:rsidRPr="0043590B">
              <w:rPr>
                <w:rFonts w:ascii="GHEA Grapalat" w:hAnsi="GHEA Grapalat" w:cs="Sylfaen"/>
                <w:sz w:val="24"/>
                <w:szCs w:val="24"/>
                <w:lang w:val="hy-AM"/>
              </w:rPr>
              <w:t>հայտնում</w:t>
            </w:r>
            <w:r w:rsidRPr="0043590B">
              <w:rPr>
                <w:rFonts w:ascii="GHEA Grapalat" w:hAnsi="GHEA Grapalat" w:cs="Sylfaen"/>
                <w:sz w:val="24"/>
                <w:szCs w:val="24"/>
                <w:lang w:val="af-ZA"/>
              </w:rPr>
              <w:t xml:space="preserve"> եմ, որ</w:t>
            </w:r>
            <w:r w:rsidRPr="0043590B">
              <w:rPr>
                <w:rFonts w:ascii="GHEA Grapalat" w:hAnsi="GHEA Grapalat" w:cs="Sylfaen"/>
                <w:sz w:val="24"/>
                <w:szCs w:val="24"/>
                <w:lang w:val="hy-AM"/>
              </w:rPr>
              <w:t xml:space="preserve"> </w:t>
            </w:r>
            <w:r w:rsidRPr="0043590B">
              <w:rPr>
                <w:rFonts w:ascii="GHEA Grapalat" w:hAnsi="GHEA Grapalat" w:cs="Sylfaen"/>
                <w:sz w:val="24"/>
                <w:szCs w:val="24"/>
                <w:lang w:val="af-ZA"/>
              </w:rPr>
              <w:t>ՀՀ գլխավոր դատախազությունը</w:t>
            </w:r>
            <w:r w:rsidRPr="0043590B">
              <w:rPr>
                <w:rFonts w:ascii="GHEA Grapalat" w:hAnsi="GHEA Grapalat" w:cs="Sylfaen"/>
                <w:sz w:val="24"/>
                <w:szCs w:val="24"/>
                <w:lang w:val="hy-AM"/>
              </w:rPr>
              <w:t xml:space="preserve"> չի հանդիսանում Համաձայնագրի դրույթների</w:t>
            </w:r>
            <w:r w:rsidRPr="0043590B">
              <w:rPr>
                <w:rFonts w:ascii="GHEA Grapalat" w:hAnsi="GHEA Grapalat" w:cs="Sylfaen"/>
                <w:sz w:val="24"/>
                <w:szCs w:val="24"/>
                <w:lang w:val="af-ZA"/>
              </w:rPr>
              <w:t xml:space="preserve"> կատարման համար պատասխանատու մարմի</w:t>
            </w:r>
            <w:r w:rsidRPr="0043590B">
              <w:rPr>
                <w:rFonts w:ascii="GHEA Grapalat" w:hAnsi="GHEA Grapalat" w:cs="Sylfaen"/>
                <w:sz w:val="24"/>
                <w:szCs w:val="24"/>
                <w:lang w:val="hy-AM"/>
              </w:rPr>
              <w:t xml:space="preserve">ն, Համաձայնագրի 3-րդ հոդվածի 1-ին մասի համաձայն դրանով պատասխանատու կենտրոնական մարմին է հանդիսանում ՀՀ արդարադատության նախարարությունը։ </w:t>
            </w:r>
          </w:p>
          <w:p w:rsidR="00012393" w:rsidRPr="0043590B" w:rsidRDefault="00012393" w:rsidP="00012393">
            <w:pPr>
              <w:tabs>
                <w:tab w:val="left" w:pos="748"/>
              </w:tabs>
              <w:spacing w:line="360" w:lineRule="auto"/>
              <w:jc w:val="both"/>
              <w:rPr>
                <w:rFonts w:ascii="GHEA Grapalat" w:hAnsi="GHEA Grapalat" w:cs="Times New Roman"/>
                <w:noProof/>
                <w:sz w:val="24"/>
                <w:szCs w:val="24"/>
                <w:lang w:val="hy-AM"/>
              </w:rPr>
            </w:pPr>
          </w:p>
        </w:tc>
        <w:tc>
          <w:tcPr>
            <w:tcW w:w="2817" w:type="dxa"/>
            <w:shd w:val="clear" w:color="auto" w:fill="FFFFFF" w:themeFill="background1"/>
          </w:tcPr>
          <w:p w:rsidR="00012393" w:rsidRPr="0043590B" w:rsidRDefault="00012393" w:rsidP="00012393">
            <w:pPr>
              <w:tabs>
                <w:tab w:val="left" w:pos="748"/>
              </w:tabs>
              <w:spacing w:line="360" w:lineRule="auto"/>
              <w:jc w:val="center"/>
              <w:rPr>
                <w:rFonts w:ascii="GHEA Grapalat" w:hAnsi="GHEA Grapalat" w:cs="Times New Roman"/>
                <w:b/>
                <w:noProof/>
                <w:sz w:val="24"/>
                <w:szCs w:val="24"/>
                <w:lang w:val="hy-AM"/>
              </w:rPr>
            </w:pPr>
            <w:r w:rsidRPr="0043590B">
              <w:rPr>
                <w:rFonts w:ascii="GHEA Grapalat" w:hAnsi="GHEA Grapalat" w:cs="Times New Roman"/>
                <w:b/>
                <w:noProof/>
                <w:sz w:val="24"/>
                <w:szCs w:val="24"/>
                <w:lang w:val="hy-AM"/>
              </w:rPr>
              <w:t>Ընդունվել է</w:t>
            </w:r>
          </w:p>
        </w:tc>
      </w:tr>
      <w:tr w:rsidR="0043590B" w:rsidRPr="0043590B" w:rsidTr="00827E76">
        <w:trPr>
          <w:trHeight w:val="741"/>
        </w:trPr>
        <w:tc>
          <w:tcPr>
            <w:tcW w:w="7938" w:type="dxa"/>
            <w:gridSpan w:val="3"/>
            <w:vMerge w:val="restart"/>
            <w:shd w:val="clear" w:color="auto" w:fill="BFBFBF" w:themeFill="background1" w:themeFillShade="BF"/>
          </w:tcPr>
          <w:p w:rsidR="0043590B" w:rsidRPr="0043590B" w:rsidRDefault="0043590B" w:rsidP="00132702">
            <w:pPr>
              <w:pStyle w:val="ListParagraph"/>
              <w:spacing w:line="360" w:lineRule="auto"/>
              <w:ind w:left="921"/>
              <w:rPr>
                <w:rFonts w:ascii="GHEA Grapalat" w:hAnsi="GHEA Grapalat" w:cs="Times New Roman"/>
                <w:b/>
                <w:noProof/>
                <w:sz w:val="24"/>
                <w:szCs w:val="24"/>
                <w:lang w:val="hy-AM"/>
              </w:rPr>
            </w:pPr>
          </w:p>
          <w:p w:rsidR="0043590B" w:rsidRPr="00827E76" w:rsidRDefault="00827E76" w:rsidP="00827E76">
            <w:pPr>
              <w:pStyle w:val="ListParagraph"/>
              <w:spacing w:line="360" w:lineRule="auto"/>
              <w:rPr>
                <w:rFonts w:ascii="GHEA Grapalat" w:hAnsi="GHEA Grapalat" w:cs="Times New Roman"/>
                <w:b/>
                <w:noProof/>
                <w:sz w:val="24"/>
                <w:szCs w:val="24"/>
              </w:rPr>
            </w:pPr>
            <w:r>
              <w:rPr>
                <w:rFonts w:ascii="GHEA Grapalat" w:hAnsi="GHEA Grapalat" w:cs="Times New Roman"/>
                <w:b/>
                <w:noProof/>
                <w:sz w:val="24"/>
                <w:szCs w:val="24"/>
              </w:rPr>
              <w:t>4. Պետական գույքի կառավարման կոմիտե</w:t>
            </w:r>
          </w:p>
        </w:tc>
        <w:tc>
          <w:tcPr>
            <w:tcW w:w="2817" w:type="dxa"/>
            <w:shd w:val="clear" w:color="auto" w:fill="BFBFBF" w:themeFill="background1" w:themeFillShade="BF"/>
          </w:tcPr>
          <w:p w:rsidR="00827E76" w:rsidRPr="0043590B" w:rsidRDefault="0043590B" w:rsidP="00827E76">
            <w:pPr>
              <w:spacing w:line="360" w:lineRule="auto"/>
              <w:jc w:val="center"/>
              <w:rPr>
                <w:rFonts w:ascii="GHEA Grapalat" w:hAnsi="GHEA Grapalat" w:cs="Times New Roman"/>
                <w:noProof/>
                <w:sz w:val="24"/>
                <w:szCs w:val="24"/>
              </w:rPr>
            </w:pPr>
            <w:r>
              <w:rPr>
                <w:rFonts w:ascii="GHEA Grapalat" w:hAnsi="GHEA Grapalat" w:cs="Times New Roman"/>
                <w:noProof/>
                <w:sz w:val="24"/>
                <w:szCs w:val="24"/>
              </w:rPr>
              <w:t>28</w:t>
            </w:r>
            <w:r w:rsidRPr="0043590B">
              <w:rPr>
                <w:rFonts w:ascii="GHEA Grapalat" w:hAnsi="GHEA Grapalat" w:cs="Times New Roman"/>
                <w:noProof/>
                <w:sz w:val="24"/>
                <w:szCs w:val="24"/>
                <w:lang w:val="hy-AM"/>
              </w:rPr>
              <w:t>.0</w:t>
            </w:r>
            <w:r>
              <w:rPr>
                <w:rFonts w:ascii="GHEA Grapalat" w:hAnsi="GHEA Grapalat" w:cs="Times New Roman"/>
                <w:noProof/>
                <w:sz w:val="24"/>
                <w:szCs w:val="24"/>
              </w:rPr>
              <w:t>7</w:t>
            </w:r>
            <w:r w:rsidRPr="0043590B">
              <w:rPr>
                <w:rFonts w:ascii="GHEA Grapalat" w:hAnsi="GHEA Grapalat" w:cs="Times New Roman"/>
                <w:noProof/>
                <w:sz w:val="24"/>
                <w:szCs w:val="24"/>
                <w:lang w:val="hy-AM"/>
              </w:rPr>
              <w:t>.202</w:t>
            </w:r>
            <w:r>
              <w:rPr>
                <w:rFonts w:ascii="GHEA Grapalat" w:hAnsi="GHEA Grapalat" w:cs="Times New Roman"/>
                <w:noProof/>
                <w:sz w:val="24"/>
                <w:szCs w:val="24"/>
              </w:rPr>
              <w:t>1</w:t>
            </w:r>
          </w:p>
        </w:tc>
      </w:tr>
      <w:tr w:rsidR="0043590B" w:rsidRPr="0043590B" w:rsidTr="00827E76">
        <w:trPr>
          <w:trHeight w:val="588"/>
        </w:trPr>
        <w:tc>
          <w:tcPr>
            <w:tcW w:w="7938" w:type="dxa"/>
            <w:gridSpan w:val="3"/>
            <w:vMerge/>
            <w:shd w:val="clear" w:color="auto" w:fill="BFBFBF" w:themeFill="background1" w:themeFillShade="BF"/>
          </w:tcPr>
          <w:p w:rsidR="0043590B" w:rsidRPr="0043590B" w:rsidRDefault="0043590B" w:rsidP="00132702">
            <w:pPr>
              <w:pStyle w:val="ListParagraph"/>
              <w:spacing w:line="360" w:lineRule="auto"/>
              <w:ind w:left="921"/>
              <w:rPr>
                <w:rFonts w:ascii="GHEA Grapalat" w:hAnsi="GHEA Grapalat" w:cs="Times New Roman"/>
                <w:b/>
                <w:noProof/>
                <w:sz w:val="24"/>
                <w:szCs w:val="24"/>
                <w:lang w:val="hy-AM"/>
              </w:rPr>
            </w:pPr>
          </w:p>
        </w:tc>
        <w:tc>
          <w:tcPr>
            <w:tcW w:w="2817" w:type="dxa"/>
            <w:shd w:val="clear" w:color="auto" w:fill="BFBFBF" w:themeFill="background1" w:themeFillShade="BF"/>
          </w:tcPr>
          <w:p w:rsidR="0043590B" w:rsidRPr="0043590B" w:rsidRDefault="0043590B" w:rsidP="00827E76">
            <w:pPr>
              <w:spacing w:line="360" w:lineRule="auto"/>
              <w:jc w:val="center"/>
              <w:rPr>
                <w:rFonts w:ascii="GHEA Grapalat" w:hAnsi="GHEA Grapalat" w:cs="Times New Roman"/>
                <w:noProof/>
                <w:sz w:val="24"/>
                <w:szCs w:val="24"/>
              </w:rPr>
            </w:pPr>
            <w:r>
              <w:rPr>
                <w:rFonts w:ascii="GHEA Grapalat" w:hAnsi="GHEA Grapalat" w:cs="Times New Roman"/>
                <w:noProof/>
                <w:sz w:val="24"/>
                <w:szCs w:val="24"/>
              </w:rPr>
              <w:t>N</w:t>
            </w:r>
            <w:r w:rsidRPr="00827E76">
              <w:rPr>
                <w:rFonts w:ascii="GHEA Grapalat" w:hAnsi="GHEA Grapalat" w:cs="Times New Roman"/>
                <w:noProof/>
                <w:sz w:val="24"/>
                <w:szCs w:val="24"/>
              </w:rPr>
              <w:t xml:space="preserve"> </w:t>
            </w:r>
            <w:r w:rsidR="00827E76" w:rsidRPr="00827E76">
              <w:rPr>
                <w:rFonts w:ascii="GHEA Grapalat" w:hAnsi="GHEA Grapalat" w:cs="Times New Roman"/>
                <w:noProof/>
                <w:sz w:val="24"/>
                <w:szCs w:val="24"/>
              </w:rPr>
              <w:t>01/12.7/5304-2021</w:t>
            </w:r>
          </w:p>
        </w:tc>
      </w:tr>
      <w:tr w:rsidR="00827E76" w:rsidRPr="0043590B" w:rsidTr="00827E76">
        <w:trPr>
          <w:trHeight w:val="588"/>
        </w:trPr>
        <w:tc>
          <w:tcPr>
            <w:tcW w:w="7938" w:type="dxa"/>
            <w:gridSpan w:val="3"/>
            <w:shd w:val="clear" w:color="auto" w:fill="F2F2F2" w:themeFill="background1" w:themeFillShade="F2"/>
          </w:tcPr>
          <w:p w:rsidR="00827E76" w:rsidRPr="00827E76" w:rsidRDefault="00827E76" w:rsidP="00827E76">
            <w:pPr>
              <w:spacing w:line="360" w:lineRule="auto"/>
              <w:jc w:val="both"/>
              <w:rPr>
                <w:rFonts w:ascii="GHEA Grapalat" w:hAnsi="GHEA Grapalat" w:cs="Times New Roman"/>
                <w:noProof/>
                <w:sz w:val="24"/>
                <w:szCs w:val="24"/>
              </w:rPr>
            </w:pPr>
            <w:r w:rsidRPr="00827E76">
              <w:rPr>
                <w:rFonts w:ascii="GHEA Grapalat" w:hAnsi="GHEA Grapalat"/>
                <w:sz w:val="24"/>
                <w:szCs w:val="24"/>
              </w:rPr>
              <w:t>Հ</w:t>
            </w:r>
            <w:r w:rsidRPr="00827E76">
              <w:rPr>
                <w:rFonts w:ascii="GHEA Grapalat" w:hAnsi="GHEA Grapalat"/>
                <w:sz w:val="24"/>
                <w:szCs w:val="24"/>
                <w:lang w:val="hy-AM"/>
              </w:rPr>
              <w:t>այտնում ենք, որ «Հայաստանի Հանրապետության և Չեխիայի Հանրապետության միջև՝ «Հանձնման մասին» 1957թ. դեկտեմբերի 13-ի եվրոպական կոնվենցիայի կիրառումը դյուրացնելուն ուղղված»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p w:rsidR="00827E76" w:rsidRDefault="00827E76" w:rsidP="00827E76">
            <w:pPr>
              <w:spacing w:line="360" w:lineRule="auto"/>
              <w:jc w:val="center"/>
              <w:rPr>
                <w:rFonts w:ascii="GHEA Grapalat" w:hAnsi="GHEA Grapalat" w:cs="Times New Roman"/>
                <w:noProof/>
                <w:sz w:val="24"/>
                <w:szCs w:val="24"/>
              </w:rPr>
            </w:pPr>
          </w:p>
        </w:tc>
        <w:tc>
          <w:tcPr>
            <w:tcW w:w="2817" w:type="dxa"/>
            <w:shd w:val="clear" w:color="auto" w:fill="F2F2F2" w:themeFill="background1" w:themeFillShade="F2"/>
          </w:tcPr>
          <w:p w:rsidR="00827E76" w:rsidRPr="00827E76" w:rsidRDefault="00827E76" w:rsidP="00827E76">
            <w:pPr>
              <w:spacing w:line="360" w:lineRule="auto"/>
              <w:jc w:val="center"/>
              <w:rPr>
                <w:rFonts w:ascii="GHEA Grapalat" w:hAnsi="GHEA Grapalat" w:cs="Times New Roman"/>
                <w:b/>
                <w:noProof/>
                <w:sz w:val="24"/>
                <w:szCs w:val="24"/>
              </w:rPr>
            </w:pPr>
            <w:r w:rsidRPr="00827E76">
              <w:rPr>
                <w:rFonts w:ascii="GHEA Grapalat" w:hAnsi="GHEA Grapalat" w:cs="Times New Roman"/>
                <w:b/>
                <w:noProof/>
                <w:sz w:val="24"/>
                <w:szCs w:val="24"/>
              </w:rPr>
              <w:t>Ընդունվել է</w:t>
            </w:r>
          </w:p>
          <w:p w:rsidR="00827E76" w:rsidRDefault="00827E76" w:rsidP="00827E76">
            <w:pPr>
              <w:spacing w:line="360" w:lineRule="auto"/>
              <w:jc w:val="center"/>
              <w:rPr>
                <w:rFonts w:ascii="GHEA Grapalat" w:hAnsi="GHEA Grapalat" w:cs="Times New Roman"/>
                <w:noProof/>
                <w:sz w:val="24"/>
                <w:szCs w:val="24"/>
              </w:rPr>
            </w:pPr>
          </w:p>
        </w:tc>
      </w:tr>
      <w:tr w:rsidR="00827E76" w:rsidRPr="0043590B" w:rsidTr="00827E76">
        <w:trPr>
          <w:trHeight w:val="624"/>
        </w:trPr>
        <w:tc>
          <w:tcPr>
            <w:tcW w:w="7938" w:type="dxa"/>
            <w:gridSpan w:val="3"/>
            <w:vMerge w:val="restart"/>
            <w:shd w:val="clear" w:color="auto" w:fill="BFBFBF" w:themeFill="background1" w:themeFillShade="BF"/>
          </w:tcPr>
          <w:p w:rsidR="00827E76" w:rsidRDefault="00827E76" w:rsidP="00827E76">
            <w:pPr>
              <w:spacing w:line="360" w:lineRule="auto"/>
              <w:jc w:val="center"/>
              <w:rPr>
                <w:rFonts w:ascii="GHEA Grapalat" w:hAnsi="GHEA Grapalat"/>
                <w:b/>
                <w:sz w:val="24"/>
                <w:szCs w:val="24"/>
              </w:rPr>
            </w:pPr>
          </w:p>
          <w:p w:rsidR="00827E76" w:rsidRDefault="00827E76" w:rsidP="00827E76">
            <w:pPr>
              <w:spacing w:line="360" w:lineRule="auto"/>
              <w:jc w:val="center"/>
              <w:rPr>
                <w:rFonts w:ascii="GHEA Grapalat" w:hAnsi="GHEA Grapalat"/>
                <w:b/>
                <w:sz w:val="24"/>
                <w:szCs w:val="24"/>
              </w:rPr>
            </w:pPr>
            <w:r w:rsidRPr="00827E76">
              <w:rPr>
                <w:rFonts w:ascii="GHEA Grapalat" w:hAnsi="GHEA Grapalat"/>
                <w:b/>
                <w:sz w:val="24"/>
                <w:szCs w:val="24"/>
              </w:rPr>
              <w:t xml:space="preserve">5. </w:t>
            </w:r>
            <w:r w:rsidRPr="00827E76">
              <w:rPr>
                <w:rFonts w:ascii="GHEA Grapalat" w:hAnsi="GHEA Grapalat"/>
                <w:b/>
                <w:sz w:val="24"/>
                <w:szCs w:val="24"/>
                <w:lang w:val="hy-AM"/>
              </w:rPr>
              <w:t>Ֆինանսների նախարարություն</w:t>
            </w:r>
          </w:p>
          <w:p w:rsidR="00827E76" w:rsidRPr="00827E76" w:rsidRDefault="00827E76" w:rsidP="00827E76">
            <w:pPr>
              <w:spacing w:line="360" w:lineRule="auto"/>
              <w:jc w:val="center"/>
              <w:rPr>
                <w:rFonts w:ascii="GHEA Grapalat" w:hAnsi="GHEA Grapalat"/>
                <w:b/>
                <w:sz w:val="24"/>
                <w:szCs w:val="24"/>
              </w:rPr>
            </w:pPr>
          </w:p>
        </w:tc>
        <w:tc>
          <w:tcPr>
            <w:tcW w:w="2817" w:type="dxa"/>
            <w:shd w:val="clear" w:color="auto" w:fill="BFBFBF" w:themeFill="background1" w:themeFillShade="BF"/>
          </w:tcPr>
          <w:p w:rsidR="00827E76" w:rsidRPr="00827E76" w:rsidRDefault="00827E76" w:rsidP="00827E76">
            <w:pPr>
              <w:spacing w:line="360" w:lineRule="auto"/>
              <w:jc w:val="center"/>
              <w:rPr>
                <w:rFonts w:ascii="GHEA Grapalat" w:hAnsi="GHEA Grapalat" w:cs="Times New Roman"/>
                <w:noProof/>
                <w:sz w:val="24"/>
                <w:szCs w:val="24"/>
              </w:rPr>
            </w:pPr>
            <w:r w:rsidRPr="00827E76">
              <w:rPr>
                <w:rFonts w:ascii="GHEA Grapalat" w:hAnsi="GHEA Grapalat" w:cs="Times New Roman"/>
                <w:noProof/>
                <w:sz w:val="24"/>
                <w:szCs w:val="24"/>
              </w:rPr>
              <w:t>28.07.2021</w:t>
            </w:r>
          </w:p>
        </w:tc>
      </w:tr>
      <w:tr w:rsidR="00827E76" w:rsidRPr="0043590B" w:rsidTr="00827E76">
        <w:trPr>
          <w:trHeight w:val="326"/>
        </w:trPr>
        <w:tc>
          <w:tcPr>
            <w:tcW w:w="7938" w:type="dxa"/>
            <w:gridSpan w:val="3"/>
            <w:vMerge/>
            <w:shd w:val="clear" w:color="auto" w:fill="BFBFBF" w:themeFill="background1" w:themeFillShade="BF"/>
          </w:tcPr>
          <w:p w:rsidR="00827E76" w:rsidRPr="00827E76" w:rsidRDefault="00827E76" w:rsidP="00827E76">
            <w:pPr>
              <w:spacing w:line="360" w:lineRule="auto"/>
              <w:jc w:val="both"/>
              <w:rPr>
                <w:rFonts w:ascii="GHEA Grapalat" w:hAnsi="GHEA Grapalat"/>
                <w:sz w:val="24"/>
                <w:szCs w:val="24"/>
              </w:rPr>
            </w:pPr>
          </w:p>
        </w:tc>
        <w:tc>
          <w:tcPr>
            <w:tcW w:w="2817" w:type="dxa"/>
            <w:shd w:val="clear" w:color="auto" w:fill="BFBFBF" w:themeFill="background1" w:themeFillShade="BF"/>
          </w:tcPr>
          <w:p w:rsidR="00827E76" w:rsidRPr="00827E76" w:rsidRDefault="00827E76" w:rsidP="00827E76">
            <w:pPr>
              <w:spacing w:line="360" w:lineRule="auto"/>
              <w:jc w:val="center"/>
              <w:rPr>
                <w:rFonts w:ascii="GHEA Grapalat" w:hAnsi="GHEA Grapalat" w:cs="Times New Roman"/>
                <w:b/>
                <w:noProof/>
                <w:sz w:val="24"/>
                <w:szCs w:val="24"/>
              </w:rPr>
            </w:pPr>
            <w:r w:rsidRPr="00827E76">
              <w:rPr>
                <w:rFonts w:ascii="GHEA Grapalat" w:hAnsi="GHEA Grapalat" w:cs="Times New Roman"/>
                <w:noProof/>
                <w:sz w:val="24"/>
                <w:szCs w:val="24"/>
              </w:rPr>
              <w:t>N 01/5-2/12074-2021</w:t>
            </w:r>
          </w:p>
        </w:tc>
      </w:tr>
      <w:tr w:rsidR="00827E76" w:rsidRPr="0043590B" w:rsidTr="00827E76">
        <w:trPr>
          <w:trHeight w:val="326"/>
        </w:trPr>
        <w:tc>
          <w:tcPr>
            <w:tcW w:w="7938" w:type="dxa"/>
            <w:gridSpan w:val="3"/>
            <w:shd w:val="clear" w:color="auto" w:fill="FFFFFF" w:themeFill="background1"/>
          </w:tcPr>
          <w:p w:rsidR="00827E76" w:rsidRPr="00D90EC7" w:rsidRDefault="00827E76" w:rsidP="00827E76">
            <w:pPr>
              <w:spacing w:line="360" w:lineRule="auto"/>
              <w:ind w:firstLine="576"/>
              <w:jc w:val="both"/>
              <w:rPr>
                <w:rFonts w:ascii="GHEA Grapalat" w:hAnsi="GHEA Grapalat" w:cs="Sylfaen"/>
                <w:sz w:val="24"/>
                <w:szCs w:val="24"/>
                <w:lang w:val="hy-AM"/>
              </w:rPr>
            </w:pPr>
            <w:r w:rsidRPr="00EB31BB">
              <w:rPr>
                <w:rFonts w:ascii="GHEA Grapalat" w:hAnsi="GHEA Grapalat" w:cs="Sylfaen"/>
                <w:sz w:val="24"/>
                <w:szCs w:val="24"/>
                <w:lang w:val="hy-AM"/>
              </w:rPr>
              <w:t xml:space="preserve">2021 թվականի հունիսի 9-ին ստորագրված «Հայաստանի Հանրապետության և Չեխիայի Հանրապետության միջև՝ «Հանձնման մասին» 1957թ. դեկտեմբերի 13-ի եվրոպական կոնվենցիայի կիրառումը դյուրացնելուն ուղղված» </w:t>
            </w:r>
            <w:r>
              <w:rPr>
                <w:rFonts w:ascii="GHEA Grapalat" w:hAnsi="GHEA Grapalat" w:cs="Sylfaen"/>
                <w:sz w:val="24"/>
                <w:szCs w:val="24"/>
                <w:lang w:val="hy-AM"/>
              </w:rPr>
              <w:t xml:space="preserve">համաձայնագրի </w:t>
            </w:r>
            <w:r w:rsidRPr="00D90EC7">
              <w:rPr>
                <w:rFonts w:ascii="GHEA Grapalat" w:hAnsi="GHEA Grapalat" w:cs="Sylfaen"/>
                <w:sz w:val="24"/>
                <w:szCs w:val="24"/>
                <w:lang w:val="hy-AM"/>
              </w:rPr>
              <w:t xml:space="preserve">11-րդ հոդվածը պարունակում է ծախս առաջացնող </w:t>
            </w:r>
            <w:r>
              <w:rPr>
                <w:rFonts w:ascii="GHEA Grapalat" w:hAnsi="GHEA Grapalat" w:cs="Sylfaen"/>
                <w:sz w:val="24"/>
                <w:szCs w:val="24"/>
                <w:lang w:val="hy-AM"/>
              </w:rPr>
              <w:t>դրույթ</w:t>
            </w:r>
            <w:r w:rsidRPr="00D90EC7">
              <w:rPr>
                <w:rFonts w:ascii="GHEA Grapalat" w:hAnsi="GHEA Grapalat" w:cs="Sylfaen"/>
                <w:sz w:val="24"/>
                <w:szCs w:val="24"/>
                <w:lang w:val="hy-AM"/>
              </w:rPr>
              <w:t xml:space="preserve">, որի չափը հնարավոր չէ գնահատել՝ համապատասխան տեղեկատվության բացակայությամբ պայմանավորված: </w:t>
            </w:r>
          </w:p>
          <w:p w:rsidR="00827E76" w:rsidRPr="00827E76" w:rsidRDefault="00827E76" w:rsidP="00827E76">
            <w:pPr>
              <w:spacing w:line="360" w:lineRule="auto"/>
              <w:jc w:val="both"/>
              <w:rPr>
                <w:rFonts w:ascii="GHEA Grapalat" w:hAnsi="GHEA Grapalat" w:cs="Times New Roman"/>
                <w:noProof/>
                <w:sz w:val="24"/>
                <w:szCs w:val="24"/>
              </w:rPr>
            </w:pPr>
          </w:p>
        </w:tc>
        <w:tc>
          <w:tcPr>
            <w:tcW w:w="2817" w:type="dxa"/>
            <w:shd w:val="clear" w:color="auto" w:fill="FFFFFF" w:themeFill="background1"/>
          </w:tcPr>
          <w:p w:rsidR="00827E76" w:rsidRPr="00827E76" w:rsidRDefault="00827E76" w:rsidP="00827E76">
            <w:pPr>
              <w:spacing w:line="360" w:lineRule="auto"/>
              <w:jc w:val="center"/>
              <w:rPr>
                <w:rFonts w:ascii="GHEA Grapalat" w:hAnsi="GHEA Grapalat" w:cs="Times New Roman"/>
                <w:b/>
                <w:noProof/>
                <w:sz w:val="24"/>
                <w:szCs w:val="24"/>
              </w:rPr>
            </w:pPr>
            <w:r w:rsidRPr="00827E76">
              <w:rPr>
                <w:rFonts w:ascii="GHEA Grapalat" w:hAnsi="GHEA Grapalat" w:cs="Times New Roman"/>
                <w:b/>
                <w:noProof/>
                <w:sz w:val="24"/>
                <w:szCs w:val="24"/>
              </w:rPr>
              <w:t>Ընդունվել է</w:t>
            </w:r>
          </w:p>
        </w:tc>
      </w:tr>
    </w:tbl>
    <w:p w:rsidR="00470F74" w:rsidRPr="0043590B" w:rsidRDefault="00470F74" w:rsidP="00012393">
      <w:pPr>
        <w:spacing w:line="360" w:lineRule="auto"/>
        <w:rPr>
          <w:rFonts w:ascii="GHEA Grapalat" w:hAnsi="GHEA Grapalat" w:cs="Times New Roman"/>
          <w:noProof/>
          <w:sz w:val="24"/>
          <w:szCs w:val="24"/>
          <w:lang w:val="hy-AM"/>
        </w:rPr>
      </w:pPr>
    </w:p>
    <w:sectPr w:rsidR="00470F74" w:rsidRPr="0043590B" w:rsidSect="00B77AE4">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6CD4" w:rsidRDefault="003E6CD4" w:rsidP="00B77AE4">
      <w:pPr>
        <w:spacing w:after="0" w:line="240" w:lineRule="auto"/>
      </w:pPr>
      <w:r>
        <w:separator/>
      </w:r>
    </w:p>
  </w:endnote>
  <w:endnote w:type="continuationSeparator" w:id="0">
    <w:p w:rsidR="003E6CD4" w:rsidRDefault="003E6CD4" w:rsidP="00B7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6CD4" w:rsidRDefault="003E6CD4" w:rsidP="00B77AE4">
      <w:pPr>
        <w:spacing w:after="0" w:line="240" w:lineRule="auto"/>
      </w:pPr>
      <w:r>
        <w:separator/>
      </w:r>
    </w:p>
  </w:footnote>
  <w:footnote w:type="continuationSeparator" w:id="0">
    <w:p w:rsidR="003E6CD4" w:rsidRDefault="003E6CD4" w:rsidP="00B77A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A5825"/>
    <w:multiLevelType w:val="hybridMultilevel"/>
    <w:tmpl w:val="A412E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492002"/>
    <w:multiLevelType w:val="hybridMultilevel"/>
    <w:tmpl w:val="348A0FE8"/>
    <w:lvl w:ilvl="0" w:tplc="82E06084">
      <w:start w:val="1"/>
      <w:numFmt w:val="decimal"/>
      <w:lvlText w:val="%1."/>
      <w:lvlJc w:val="left"/>
      <w:pPr>
        <w:ind w:left="405" w:hanging="360"/>
      </w:pPr>
      <w:rPr>
        <w:rFonts w:cs="Sylfaen"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6C0128F4"/>
    <w:multiLevelType w:val="hybridMultilevel"/>
    <w:tmpl w:val="B62C625E"/>
    <w:lvl w:ilvl="0" w:tplc="5E623F2E">
      <w:start w:val="1"/>
      <w:numFmt w:val="decimal"/>
      <w:lvlText w:val="%1."/>
      <w:lvlJc w:val="left"/>
      <w:pPr>
        <w:ind w:left="921" w:hanging="360"/>
      </w:pPr>
      <w:rPr>
        <w:rFonts w:eastAsia="Times New Roman" w:cstheme="minorBidi"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77AE4"/>
    <w:rsid w:val="00012393"/>
    <w:rsid w:val="00092D3F"/>
    <w:rsid w:val="00152BC6"/>
    <w:rsid w:val="00153C3E"/>
    <w:rsid w:val="001D6741"/>
    <w:rsid w:val="002D0D6D"/>
    <w:rsid w:val="002D2A21"/>
    <w:rsid w:val="003318F5"/>
    <w:rsid w:val="003D14F4"/>
    <w:rsid w:val="003E6CD4"/>
    <w:rsid w:val="004037CD"/>
    <w:rsid w:val="00423974"/>
    <w:rsid w:val="00425DF2"/>
    <w:rsid w:val="0043590B"/>
    <w:rsid w:val="00470F74"/>
    <w:rsid w:val="004E2950"/>
    <w:rsid w:val="005367D8"/>
    <w:rsid w:val="0055254F"/>
    <w:rsid w:val="00633A78"/>
    <w:rsid w:val="006B30E2"/>
    <w:rsid w:val="006C73B7"/>
    <w:rsid w:val="00724D94"/>
    <w:rsid w:val="00747720"/>
    <w:rsid w:val="007E03AE"/>
    <w:rsid w:val="00804E1B"/>
    <w:rsid w:val="00827E76"/>
    <w:rsid w:val="008431D2"/>
    <w:rsid w:val="00853FCC"/>
    <w:rsid w:val="00856D20"/>
    <w:rsid w:val="008A3ED4"/>
    <w:rsid w:val="00903F27"/>
    <w:rsid w:val="00961F43"/>
    <w:rsid w:val="009B471D"/>
    <w:rsid w:val="00A47BBC"/>
    <w:rsid w:val="00B27995"/>
    <w:rsid w:val="00B50A0D"/>
    <w:rsid w:val="00B77AE4"/>
    <w:rsid w:val="00BA6544"/>
    <w:rsid w:val="00BA7357"/>
    <w:rsid w:val="00BF567C"/>
    <w:rsid w:val="00C243E6"/>
    <w:rsid w:val="00C322FC"/>
    <w:rsid w:val="00C44217"/>
    <w:rsid w:val="00CB03FA"/>
    <w:rsid w:val="00D2721D"/>
    <w:rsid w:val="00D732CF"/>
    <w:rsid w:val="00DA1A4D"/>
    <w:rsid w:val="00DB75FA"/>
    <w:rsid w:val="00DE19F3"/>
    <w:rsid w:val="00DE21AB"/>
    <w:rsid w:val="00E51670"/>
    <w:rsid w:val="00E85A95"/>
    <w:rsid w:val="00EE2BFC"/>
    <w:rsid w:val="00F813BE"/>
    <w:rsid w:val="00FA657E"/>
    <w:rsid w:val="00FC6E7A"/>
    <w:rsid w:val="00FD6A3C"/>
    <w:rsid w:val="00FF7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2B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A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4E29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E2950"/>
    <w:rPr>
      <w:rFonts w:ascii="Times New Roman" w:eastAsia="Times New Roman" w:hAnsi="Times New Roman" w:cs="Times New Roman"/>
      <w:sz w:val="24"/>
      <w:szCs w:val="24"/>
    </w:rPr>
  </w:style>
  <w:style w:type="paragraph" w:styleId="ListParagraph">
    <w:name w:val="List Paragraph"/>
    <w:basedOn w:val="Normal"/>
    <w:uiPriority w:val="34"/>
    <w:qFormat/>
    <w:rsid w:val="00724D94"/>
    <w:pPr>
      <w:ind w:left="720"/>
      <w:contextualSpacing/>
    </w:pPr>
  </w:style>
  <w:style w:type="paragraph" w:styleId="Header">
    <w:name w:val="header"/>
    <w:basedOn w:val="Normal"/>
    <w:link w:val="HeaderChar"/>
    <w:uiPriority w:val="99"/>
    <w:semiHidden/>
    <w:unhideWhenUsed/>
    <w:rsid w:val="00FC6E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E7A"/>
  </w:style>
  <w:style w:type="paragraph" w:styleId="Footer">
    <w:name w:val="footer"/>
    <w:basedOn w:val="Normal"/>
    <w:link w:val="FooterChar"/>
    <w:uiPriority w:val="99"/>
    <w:semiHidden/>
    <w:unhideWhenUsed/>
    <w:rsid w:val="00FC6E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6E7A"/>
  </w:style>
  <w:style w:type="character" w:customStyle="1" w:styleId="BodyTextChar">
    <w:name w:val="Body Text Char"/>
    <w:link w:val="BodyText"/>
    <w:uiPriority w:val="99"/>
    <w:locked/>
    <w:rsid w:val="00903F27"/>
    <w:rPr>
      <w:sz w:val="24"/>
      <w:szCs w:val="24"/>
    </w:rPr>
  </w:style>
  <w:style w:type="paragraph" w:styleId="BodyText">
    <w:name w:val="Body Text"/>
    <w:basedOn w:val="Normal"/>
    <w:link w:val="BodyTextChar"/>
    <w:uiPriority w:val="99"/>
    <w:rsid w:val="00903F27"/>
    <w:pPr>
      <w:spacing w:after="120" w:line="240" w:lineRule="auto"/>
    </w:pPr>
    <w:rPr>
      <w:sz w:val="24"/>
      <w:szCs w:val="24"/>
    </w:rPr>
  </w:style>
  <w:style w:type="character" w:customStyle="1" w:styleId="BodyTextChar1">
    <w:name w:val="Body Text Char1"/>
    <w:basedOn w:val="DefaultParagraphFont"/>
    <w:uiPriority w:val="99"/>
    <w:semiHidden/>
    <w:rsid w:val="00903F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461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A25C66-AC41-4B66-AEBE-FB1B6BB17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2112</Words>
  <Characters>12041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N-Abgaryan</dc:creator>
  <cp:keywords>https://mul2.gov.am/tasks/486813/oneclick/Ampopatert.docx?token=6423ce77b956fa5763be75859587c98b</cp:keywords>
  <cp:lastModifiedBy>Anna Hasmikyan</cp:lastModifiedBy>
  <cp:revision>10</cp:revision>
  <cp:lastPrinted>2021-03-19T07:32:00Z</cp:lastPrinted>
  <dcterms:created xsi:type="dcterms:W3CDTF">2021-04-27T10:51:00Z</dcterms:created>
  <dcterms:modified xsi:type="dcterms:W3CDTF">2021-09-09T07:25:00Z</dcterms:modified>
</cp:coreProperties>
</file>