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theme/theme1.xml" ContentType="application/vnd.openxmlformats-officedocument.theme+xml"/>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_rels/.rels" ContentType="application/vnd.openxmlformats-package.relationships+xml"/>
  <Override PartName="/customXml/_rels/item1.xml.rels" ContentType="application/vnd.openxmlformats-package.relationships+xml"/>
  <Override PartName="/customXml/item1.xml" ContentType="application/xml"/>
  <Override PartName="/customXml/itemProps1.xml" ContentType="application/vnd.openxmlformats-officedocument.customXml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rPr>
          <w:rFonts w:ascii="GHEA Grapalat" w:hAnsi="GHEA Grapalat"/>
          <w:sz w:val="24"/>
          <w:szCs w:val="24"/>
        </w:rPr>
      </w:pPr>
      <w:r>
        <w:rPr>
          <w:rFonts w:ascii="GHEA Grapalat" w:hAnsi="GHEA Grapalat"/>
          <w:sz w:val="24"/>
          <w:szCs w:val="24"/>
        </w:rPr>
      </w:r>
    </w:p>
    <w:p>
      <w:pPr>
        <w:pStyle w:val="NormalWeb"/>
        <w:widowControl/>
        <w:shd w:val="clear" w:color="auto" w:fill="FFFFFF"/>
        <w:suppressAutoHyphens w:val="true"/>
        <w:bidi w:val="0"/>
        <w:spacing w:lineRule="auto" w:line="240" w:beforeAutospacing="0" w:before="0" w:afterAutospacing="0" w:after="0"/>
        <w:ind w:left="0" w:right="720" w:firstLine="360"/>
        <w:jc w:val="center"/>
        <w:rPr/>
      </w:pPr>
      <w:r>
        <w:rPr>
          <w:rStyle w:val="Strong"/>
          <w:rFonts w:ascii="GHEA Grapalat" w:hAnsi="GHEA Grapalat"/>
          <w:color w:val="000000"/>
        </w:rPr>
        <w:t>ԱՄՓՈՓԱԹԵՐԹ</w:t>
      </w:r>
    </w:p>
    <w:p>
      <w:pPr>
        <w:pStyle w:val="NormalWeb"/>
        <w:widowControl/>
        <w:shd w:val="clear" w:color="auto" w:fill="FFFFFF"/>
        <w:suppressAutoHyphens w:val="true"/>
        <w:bidi w:val="0"/>
        <w:spacing w:lineRule="auto" w:line="240" w:beforeAutospacing="0" w:before="0" w:afterAutospacing="0" w:after="0"/>
        <w:ind w:left="0" w:right="720" w:firstLine="360"/>
        <w:jc w:val="center"/>
        <w:rPr/>
      </w:pPr>
      <w:r>
        <w:rPr>
          <w:rFonts w:cs="Calibri" w:ascii="Calibri" w:hAnsi="Calibri"/>
          <w:b/>
          <w:bCs/>
          <w:color w:val="000000"/>
        </w:rPr>
        <w:t>  </w:t>
      </w:r>
    </w:p>
    <w:p>
      <w:pPr>
        <w:pStyle w:val="NormalWeb"/>
        <w:widowControl/>
        <w:shd w:val="clear" w:color="auto" w:fill="FFFFFF"/>
        <w:suppressAutoHyphens w:val="true"/>
        <w:bidi w:val="0"/>
        <w:spacing w:lineRule="auto" w:line="240" w:beforeAutospacing="0" w:before="0" w:afterAutospacing="0" w:after="0"/>
        <w:ind w:left="0" w:right="720" w:firstLine="360"/>
        <w:jc w:val="center"/>
        <w:rPr/>
      </w:pPr>
      <w:r>
        <w:rPr>
          <w:rStyle w:val="Strong"/>
          <w:rFonts w:ascii="GHEA Grapalat" w:hAnsi="GHEA Grapalat"/>
          <w:color w:val="000000"/>
          <w:lang w:val="hy-AM"/>
        </w:rPr>
        <w:t>«ԳՈՒՅՔ ՀԵՏ ՎԵՐՑՆԵԼՈՒ ԵՎ ՆՎԻՐԵԼՈՒ ՄԱՍԻՆ»</w:t>
      </w:r>
      <w:r>
        <w:rPr>
          <w:rStyle w:val="Strong"/>
          <w:rFonts w:ascii="GHEA Grapalat" w:hAnsi="GHEA Grapalat"/>
          <w:color w:val="000000"/>
        </w:rPr>
        <w:t xml:space="preserve"> </w:t>
      </w:r>
      <w:r>
        <w:rPr>
          <w:rStyle w:val="Strong"/>
          <w:rFonts w:ascii="GHEA Grapalat" w:hAnsi="GHEA Grapalat"/>
          <w:color w:val="000000"/>
          <w:lang w:val="hy-AM"/>
        </w:rPr>
        <w:t>ՀՀ ԿԱՌԱՎԱՐՈՒԹՅԱՆ ՈՐՈՇՄԱՆ ՆԱԽԱԳԾԻ ՎԵՐԱԲԵՐՅԱԼ  ՇԱՀԱԳՐԳԻՌ ՄԱՐՄԻՆՆԵՐԻՑ ՍՏԱՑՎԱԾ ԱՌԱՋԱՐԿՈՒԹՅՈՒՆՆԵՐԻ ՎԵՐԱԲԵՐՅԱԼ</w:t>
      </w:r>
    </w:p>
    <w:p>
      <w:pPr>
        <w:pStyle w:val="NormalWeb"/>
        <w:shd w:val="clear" w:color="auto" w:fill="FFFFFF"/>
        <w:spacing w:beforeAutospacing="0" w:before="0" w:afterAutospacing="0" w:after="0"/>
        <w:ind w:firstLine="375"/>
        <w:jc w:val="center"/>
        <w:rPr>
          <w:rFonts w:ascii="GHEA Grapalat" w:hAnsi="GHEA Grapalat"/>
          <w:color w:val="000000"/>
        </w:rPr>
      </w:pPr>
      <w:r>
        <w:rPr>
          <w:rFonts w:ascii="GHEA Grapalat" w:hAnsi="GHEA Grapalat"/>
          <w:color w:val="000000"/>
        </w:rPr>
      </w:r>
    </w:p>
    <w:tbl>
      <w:tblPr>
        <w:tblStyle w:val="TableGrid"/>
        <w:tblpPr w:bottomFromText="0" w:horzAnchor="margin" w:leftFromText="180" w:rightFromText="180" w:tblpX="0" w:tblpY="4321" w:topFromText="0" w:vertAnchor="page"/>
        <w:tblW w:w="13605" w:type="dxa"/>
        <w:jc w:val="left"/>
        <w:tblInd w:w="0" w:type="dxa"/>
        <w:tblCellMar>
          <w:top w:w="0" w:type="dxa"/>
          <w:left w:w="108" w:type="dxa"/>
          <w:bottom w:w="0" w:type="dxa"/>
          <w:right w:w="108" w:type="dxa"/>
        </w:tblCellMar>
        <w:tblLook w:val="04a0" w:noHBand="0" w:noVBand="1" w:firstColumn="1" w:lastRow="0" w:lastColumn="0" w:firstRow="1"/>
      </w:tblPr>
      <w:tblGrid>
        <w:gridCol w:w="442"/>
        <w:gridCol w:w="98"/>
        <w:gridCol w:w="7740"/>
        <w:gridCol w:w="5325"/>
      </w:tblGrid>
      <w:tr>
        <w:trPr>
          <w:trHeight w:val="557" w:hRule="atLeast"/>
        </w:trPr>
        <w:tc>
          <w:tcPr>
            <w:tcW w:w="8280" w:type="dxa"/>
            <w:gridSpan w:val="3"/>
            <w:vMerge w:val="restart"/>
            <w:tcBorders/>
            <w:shd w:color="auto" w:fill="BFBFBF" w:themeFill="background1" w:themeFillShade="bf" w:val="clear"/>
          </w:tcPr>
          <w:p>
            <w:pPr>
              <w:pStyle w:val="Normal"/>
              <w:tabs>
                <w:tab w:val="clear" w:pos="720"/>
                <w:tab w:val="left" w:pos="3375" w:leader="none"/>
                <w:tab w:val="center" w:pos="5316" w:leader="none"/>
              </w:tabs>
              <w:spacing w:lineRule="auto" w:line="276" w:before="0" w:after="0"/>
              <w:rPr>
                <w:sz w:val="24"/>
                <w:szCs w:val="24"/>
              </w:rPr>
            </w:pPr>
            <w:r>
              <w:rPr>
                <w:rFonts w:eastAsia="Times New Roman" w:cs="Times New Roman" w:ascii="GHEA Grapalat" w:hAnsi="GHEA Grapalat"/>
                <w:color w:val="000000"/>
                <w:sz w:val="24"/>
                <w:szCs w:val="24"/>
              </w:rPr>
              <w:tab/>
            </w:r>
          </w:p>
          <w:p>
            <w:pPr>
              <w:pStyle w:val="ListParagraph"/>
              <w:numPr>
                <w:ilvl w:val="0"/>
                <w:numId w:val="1"/>
              </w:numPr>
              <w:tabs>
                <w:tab w:val="clear" w:pos="720"/>
                <w:tab w:val="left" w:pos="3375" w:leader="none"/>
                <w:tab w:val="center" w:pos="5316" w:leader="none"/>
              </w:tabs>
              <w:spacing w:lineRule="auto" w:line="276" w:before="0" w:after="0"/>
              <w:contextualSpacing/>
              <w:rPr>
                <w:b/>
                <w:b/>
                <w:bCs/>
                <w:sz w:val="24"/>
                <w:szCs w:val="24"/>
              </w:rPr>
            </w:pPr>
            <w:r>
              <w:rPr>
                <w:rFonts w:eastAsia="Times New Roman" w:cs="Times New Roman" w:ascii="GHEA Grapalat" w:hAnsi="GHEA Grapalat"/>
                <w:b/>
                <w:bCs/>
                <w:color w:val="000000"/>
                <w:sz w:val="24"/>
                <w:szCs w:val="24"/>
              </w:rPr>
              <w:t>ՀՀ</w:t>
            </w:r>
            <w:r>
              <w:rPr>
                <w:rFonts w:eastAsia="Times New Roman" w:cs="Times New Roman" w:ascii="GHEA Grapalat" w:hAnsi="GHEA Grapalat"/>
                <w:b/>
                <w:bCs/>
                <w:color w:val="000000"/>
                <w:sz w:val="24"/>
                <w:szCs w:val="24"/>
                <w:lang w:val="hy-AM"/>
              </w:rPr>
              <w:t xml:space="preserve"> ֆինանսների նախարարություն</w:t>
            </w:r>
          </w:p>
        </w:tc>
        <w:tc>
          <w:tcPr>
            <w:tcW w:w="5325" w:type="dxa"/>
            <w:tcBorders/>
            <w:shd w:color="auto" w:fill="BFBFBF" w:themeFill="background1" w:themeFillShade="bf" w:val="clear"/>
          </w:tcPr>
          <w:p>
            <w:pPr>
              <w:pStyle w:val="Normal"/>
              <w:spacing w:lineRule="auto" w:line="276" w:before="0" w:after="0"/>
              <w:jc w:val="center"/>
              <w:rPr>
                <w:b/>
                <w:b/>
                <w:bCs/>
                <w:sz w:val="24"/>
                <w:szCs w:val="24"/>
              </w:rPr>
            </w:pPr>
            <w:r>
              <w:rPr>
                <w:rFonts w:ascii="GHEA Grapalat" w:hAnsi="GHEA Grapalat"/>
                <w:b/>
                <w:bCs/>
                <w:sz w:val="24"/>
                <w:szCs w:val="24"/>
                <w:lang w:val="hy-AM"/>
              </w:rPr>
              <w:t>15.06.2021թ</w:t>
            </w:r>
            <w:r>
              <w:rPr>
                <w:rFonts w:ascii="Cambria Math" w:hAnsi="Cambria Math"/>
                <w:b/>
                <w:bCs/>
                <w:sz w:val="24"/>
                <w:szCs w:val="24"/>
                <w:lang w:val="hy-AM"/>
              </w:rPr>
              <w:t>․</w:t>
            </w:r>
          </w:p>
        </w:tc>
      </w:tr>
      <w:tr>
        <w:trPr>
          <w:trHeight w:val="363" w:hRule="atLeast"/>
        </w:trPr>
        <w:tc>
          <w:tcPr>
            <w:tcW w:w="8280" w:type="dxa"/>
            <w:gridSpan w:val="3"/>
            <w:vMerge w:val="continue"/>
            <w:tcBorders/>
            <w:shd w:color="auto" w:fill="BFBFBF" w:themeFill="background1" w:themeFillShade="bf" w:val="clear"/>
          </w:tcPr>
          <w:p>
            <w:pPr>
              <w:pStyle w:val="Normal"/>
              <w:spacing w:lineRule="auto" w:line="276" w:before="0" w:after="0"/>
              <w:rPr>
                <w:rFonts w:ascii="GHEA Grapalat" w:hAnsi="GHEA Grapalat"/>
                <w:sz w:val="24"/>
                <w:szCs w:val="24"/>
              </w:rPr>
            </w:pPr>
            <w:r>
              <w:rPr>
                <w:rFonts w:ascii="GHEA Grapalat" w:hAnsi="GHEA Grapalat"/>
                <w:sz w:val="24"/>
                <w:szCs w:val="24"/>
              </w:rPr>
            </w:r>
          </w:p>
        </w:tc>
        <w:tc>
          <w:tcPr>
            <w:tcW w:w="5325" w:type="dxa"/>
            <w:tcBorders/>
            <w:shd w:color="auto" w:fill="BFBFBF" w:themeFill="background1" w:themeFillShade="bf" w:val="clear"/>
          </w:tcPr>
          <w:p>
            <w:pPr>
              <w:pStyle w:val="Normal"/>
              <w:spacing w:lineRule="auto" w:line="276" w:before="0" w:after="0"/>
              <w:rPr>
                <w:b/>
                <w:b/>
                <w:bCs/>
                <w:sz w:val="24"/>
                <w:szCs w:val="24"/>
              </w:rPr>
            </w:pPr>
            <w:r>
              <w:rPr>
                <w:rFonts w:eastAsia="Times New Roman" w:cs="Times New Roman" w:ascii="GHEA Grapalat" w:hAnsi="GHEA Grapalat"/>
                <w:b/>
                <w:bCs/>
                <w:color w:val="000000"/>
                <w:sz w:val="24"/>
                <w:szCs w:val="24"/>
                <w:lang w:val="hy-AM"/>
              </w:rPr>
              <w:t xml:space="preserve">                </w:t>
            </w:r>
            <w:r>
              <w:rPr>
                <w:rFonts w:eastAsia="Times New Roman" w:cs="Times New Roman" w:ascii="GHEA Grapalat" w:hAnsi="GHEA Grapalat"/>
                <w:b/>
                <w:bCs/>
                <w:color w:val="000000"/>
                <w:sz w:val="24"/>
                <w:szCs w:val="24"/>
              </w:rPr>
              <w:t>N</w:t>
            </w:r>
            <w:r>
              <w:rPr>
                <w:rFonts w:eastAsia="Times New Roman" w:cs="Times New Roman" w:ascii="GHEA Grapalat" w:hAnsi="GHEA Grapalat"/>
                <w:b/>
                <w:bCs/>
                <w:color w:val="000000"/>
                <w:sz w:val="24"/>
                <w:szCs w:val="24"/>
                <w:lang w:val="hy-AM"/>
              </w:rPr>
              <w:t xml:space="preserve"> </w:t>
            </w:r>
            <w:r>
              <w:rPr>
                <w:rFonts w:eastAsia="Times New Roman" w:cs="Times New Roman" w:ascii="GHEA Grapalat" w:hAnsi="GHEA Grapalat"/>
                <w:b/>
                <w:bCs/>
                <w:color w:val="000000"/>
                <w:sz w:val="24"/>
                <w:szCs w:val="24"/>
              </w:rPr>
              <w:t>01/11-1/9037-2021</w:t>
            </w:r>
          </w:p>
        </w:tc>
      </w:tr>
      <w:tr>
        <w:trPr/>
        <w:tc>
          <w:tcPr>
            <w:tcW w:w="442" w:type="dxa"/>
            <w:tcBorders/>
          </w:tcPr>
          <w:p>
            <w:pPr>
              <w:pStyle w:val="ListParagraph"/>
              <w:numPr>
                <w:ilvl w:val="0"/>
                <w:numId w:val="2"/>
              </w:numPr>
              <w:spacing w:lineRule="auto" w:line="276" w:before="0" w:after="0"/>
              <w:ind w:left="306" w:hanging="284"/>
              <w:contextualSpacing/>
              <w:rPr>
                <w:rFonts w:ascii="GHEA Grapalat" w:hAnsi="GHEA Grapalat"/>
                <w:sz w:val="24"/>
                <w:szCs w:val="24"/>
              </w:rPr>
            </w:pPr>
            <w:r>
              <w:rPr>
                <w:rFonts w:ascii="GHEA Grapalat" w:hAnsi="GHEA Grapalat"/>
                <w:sz w:val="24"/>
                <w:szCs w:val="24"/>
              </w:rPr>
            </w:r>
          </w:p>
        </w:tc>
        <w:tc>
          <w:tcPr>
            <w:tcW w:w="7838" w:type="dxa"/>
            <w:gridSpan w:val="2"/>
            <w:tcBorders/>
            <w:vAlign w:val="center"/>
          </w:tcPr>
          <w:p>
            <w:pPr>
              <w:pStyle w:val="Normal"/>
              <w:spacing w:lineRule="auto" w:line="360" w:before="0" w:after="0"/>
              <w:ind w:firstLine="525"/>
              <w:jc w:val="both"/>
              <w:rPr>
                <w:sz w:val="24"/>
                <w:szCs w:val="24"/>
              </w:rPr>
            </w:pPr>
            <w:r>
              <w:rPr>
                <w:rFonts w:ascii="GHEA Grapalat" w:hAnsi="GHEA Grapalat"/>
                <w:sz w:val="24"/>
                <w:szCs w:val="24"/>
                <w:lang w:val="hy-AM"/>
              </w:rPr>
              <w:tab/>
              <w:t>ՀՀ ֆինանսների նախարարությունն ուսումնասիրել է «Գույք հետ վերցնելու և նվիրելու մասին» ՀՀ կառավարության որոշման  նախագիծը (այսուհետ՝ Նախագիծ) և հայտնում է հետևյալը.</w:t>
            </w:r>
          </w:p>
          <w:p>
            <w:pPr>
              <w:pStyle w:val="Normal"/>
              <w:spacing w:lineRule="auto" w:line="360" w:before="0" w:after="0"/>
              <w:ind w:firstLine="525"/>
              <w:jc w:val="both"/>
              <w:rPr>
                <w:sz w:val="24"/>
                <w:szCs w:val="24"/>
              </w:rPr>
            </w:pPr>
            <w:r>
              <w:rPr>
                <w:rFonts w:ascii="GHEA Grapalat" w:hAnsi="GHEA Grapalat"/>
                <w:sz w:val="24"/>
                <w:szCs w:val="24"/>
                <w:lang w:val="hy-AM"/>
              </w:rPr>
              <w:t>Նախագծի 1-ին կետով նախատեսվում է Հայաստանի Հանրապետության տարածք ներմուծված, Հրաժարում հօգուտ պետության մաքսային ընթացակարգով՝ Հայաստանի Հանրապետության բարձր տեխնոլոգիական արդյունաբերության նախարարությանը հանձնված գույքը նվիրել «ԱԼԿԵ», «ՍԿԱՐԻՖ», «ԴԱՎԱՐՈ», «ՊՐՈ ՄԱՔ», «ՊՐԱՅԴ ՍԻՍԹԵՄՍ» սահմանափակ պատասխանատվությամբ ընկերություններին:</w:t>
            </w:r>
          </w:p>
          <w:p>
            <w:pPr>
              <w:pStyle w:val="Normal"/>
              <w:spacing w:lineRule="auto" w:line="360" w:before="0" w:after="0"/>
              <w:ind w:firstLine="525"/>
              <w:jc w:val="both"/>
              <w:rPr>
                <w:sz w:val="24"/>
                <w:szCs w:val="24"/>
              </w:rPr>
            </w:pPr>
            <w:r>
              <w:rPr>
                <w:rFonts w:ascii="GHEA Grapalat" w:hAnsi="GHEA Grapalat"/>
                <w:sz w:val="24"/>
                <w:szCs w:val="24"/>
                <w:lang w:val="hy-AM"/>
              </w:rPr>
              <w:t>Այս առումով հայտնում ենք, որ առաջարկվող մեխանիզմն առերևույթ տպավորություն է ստեղծում, որ նախաձեռնությունը նպատակ ունի ընկերություններին ազատել ապրանքների ներմուծման համար ավելացված արժեքի հարկի գծով ՀՀ սահմանին առաջացող հարկային պարտավորություններից, որպիսի հանգամանքը որևէ պարագայում ընդունելի համարվել չի կարող: Հետևաբար, հաշվի առնելով վերոգրյալը, դեմ ենք Նախագծի ընդունմանը: Միևնույն ժամանակ հայտնում ենք, որ նույնաբովանդակ գործի վերաբերյալ 2021 թվականի մայիսի 4-ի ֆինանսատնտեսական նախարարակական կոմիտեի նիստի արձանագրությամբ պետական կառավարման համակարգի մարմինների ղեկավարներին առաջարկվել է հետևյալը՝ ընդունել ի գիտություն, որ պետք է ձեռնպահ մնալ պետական մարմիններին 3-րդ երկրներից ուղարկված ապրանքները (այդ թվում՝ շարժական գույքը) «Մաքսային կարգավորման մասին» օրենքով սահմանված՝ «Հրաժարում հօգուտ պետության» մաքսային ընթացակարգով ձևակերպելուց կամ սույն արձանագրության 12-րդ կետով ներկայացված որոշման նախագծի օրինակով նշված մաքսային ընթացակարգով արդեն իսկ ձևակերպված ապրանքները (այդ թվում՝ շարժական գույքը) հետագայում համապատասխան կազմակերպությանը կամ ֆիզիկական անձանց ամրացնելուց կամ նվիրաբերելուց և ներմուծումը կազմակերպել ընդհանուր ընթացակարգով:</w:t>
            </w:r>
          </w:p>
        </w:tc>
        <w:tc>
          <w:tcPr>
            <w:tcW w:w="5325" w:type="dxa"/>
            <w:tcBorders/>
            <w:vAlign w:val="center"/>
          </w:tcPr>
          <w:p>
            <w:pPr>
              <w:pStyle w:val="TextBody"/>
              <w:spacing w:lineRule="auto" w:line="360" w:before="0" w:after="0"/>
              <w:jc w:val="both"/>
              <w:rPr>
                <w:sz w:val="24"/>
                <w:szCs w:val="24"/>
              </w:rPr>
            </w:pPr>
            <w:r>
              <w:rPr>
                <w:rFonts w:ascii="GHEA Grapalat" w:hAnsi="GHEA Grapalat"/>
                <w:b/>
                <w:bCs/>
                <w:sz w:val="24"/>
                <w:szCs w:val="24"/>
                <w:lang w:val="hy-AM"/>
              </w:rPr>
              <w:t>Չի ընդունվել։</w:t>
            </w:r>
          </w:p>
          <w:p>
            <w:pPr>
              <w:pStyle w:val="TextBody"/>
              <w:spacing w:lineRule="auto" w:line="360" w:before="0" w:after="0"/>
              <w:jc w:val="both"/>
              <w:rPr>
                <w:sz w:val="24"/>
                <w:szCs w:val="24"/>
              </w:rPr>
            </w:pPr>
            <w:r>
              <w:rPr>
                <w:rFonts w:ascii="GHEA Grapalat" w:hAnsi="GHEA Grapalat"/>
                <w:b w:val="false"/>
                <w:bCs w:val="false"/>
                <w:sz w:val="24"/>
                <w:szCs w:val="24"/>
                <w:lang w:val="hy-AM"/>
              </w:rPr>
              <w:t xml:space="preserve">Հարկ է նշել, որ  Հայաստանի Հանրապետության բարձր տեխնոլոգիական արդյունաբերության նախարարությանը հանձնված գույքը ձեռք է բերվել </w:t>
            </w:r>
            <w:r>
              <w:rPr>
                <w:rFonts w:eastAsia="Times New Roman" w:cs="Times New Roman" w:ascii="GHEA Grapalat" w:hAnsi="GHEA Grapalat"/>
                <w:b w:val="false"/>
                <w:bCs w:val="false"/>
                <w:color w:val="auto"/>
                <w:kern w:val="0"/>
                <w:sz w:val="24"/>
                <w:szCs w:val="24"/>
                <w:lang w:val="hy-AM" w:eastAsia="x-none" w:bidi="ar-SA"/>
              </w:rPr>
              <w:t>«Արար» քաղաքակրթական հետազոտությունների հիմնադրամի միջոցների հաշվին</w:t>
            </w:r>
            <w:r>
              <w:rPr>
                <w:rFonts w:ascii="GHEA Grapalat" w:hAnsi="GHEA Grapalat"/>
                <w:b w:val="false"/>
                <w:bCs w:val="false"/>
                <w:sz w:val="24"/>
                <w:szCs w:val="24"/>
                <w:lang w:val="hy-AM"/>
              </w:rPr>
              <w:t xml:space="preserve">, Հայաստանի Հանրապետությունում հայտարարված ռազմական դրության ժամանակահատվածում, ռազմարդյունաբերության ոլորտում համապատասխան արտադրանքի ստեղծման նպատակով (Նախագծին կից ներկայացվում է նաև «Արար» քաղաքակրթական հետազոտությունների հիմնադրամի և ՀՀ քաղաքացի Գեորգես Վազգենի Տաբակյանի միջև կնքված նվիրաբերության պայմանագիրը, որի համաձայն, Գեորգես Վազգենի Տաբակյանին նվիրաբերվել է 16,321,432.0 ՀՀ դրամ՝ պայմանագրով ստանձնած պարտավորությունները կատարելու նպատակով։  Տեղեկացնում ենք նաև, որ նվիրաբերված գումարի և Նախագծի հավելվածով սահմանված նվիրվող գույքի մաքսային արժեքի տարբերությունը պայմանավորված է գույքի տեղափոխման և տրանսպորտային ծախսերի ավելացման հանգամանքով)։ </w:t>
            </w:r>
          </w:p>
          <w:p>
            <w:pPr>
              <w:pStyle w:val="TextBody"/>
              <w:spacing w:lineRule="auto" w:line="360" w:before="0" w:after="0"/>
              <w:jc w:val="both"/>
              <w:rPr>
                <w:sz w:val="24"/>
                <w:szCs w:val="24"/>
              </w:rPr>
            </w:pPr>
            <w:r>
              <w:rPr>
                <w:rFonts w:ascii="GHEA Grapalat" w:hAnsi="GHEA Grapalat"/>
                <w:b w:val="false"/>
                <w:bCs w:val="false"/>
                <w:sz w:val="24"/>
                <w:szCs w:val="24"/>
                <w:lang w:val="hy-AM"/>
              </w:rPr>
              <w:t xml:space="preserve">Միաժամանակ անհրաժեշտ է նշել, որ ՀՀ բարձր տեխնոլոգիական արդյունաբերության նախարարությունը որևէ միտում չունի ընկերություններին ազատել ապրանքների ներմուծման համար առաջացող հարկային պարտավորություններից և </w:t>
            </w:r>
            <w:r>
              <w:rPr>
                <w:rFonts w:eastAsia="Times New Roman" w:cs="Times New Roman" w:ascii="GHEA Grapalat" w:hAnsi="GHEA Grapalat"/>
                <w:b w:val="false"/>
                <w:bCs w:val="false"/>
                <w:sz w:val="24"/>
                <w:szCs w:val="24"/>
                <w:lang w:val="hy-AM" w:eastAsia="x-none"/>
              </w:rPr>
              <w:t xml:space="preserve">խոչընդոտել </w:t>
            </w:r>
            <w:r>
              <w:rPr>
                <w:rFonts w:ascii="GHEA Grapalat" w:hAnsi="GHEA Grapalat"/>
                <w:b w:val="false"/>
                <w:bCs w:val="false"/>
                <w:sz w:val="24"/>
                <w:szCs w:val="24"/>
                <w:lang w:val="hy-AM"/>
              </w:rPr>
              <w:t xml:space="preserve"> պետական բյուջեի հարկային եկամուտների հավաքագրմանը։ Ակնհայտ է նաև այն հանգամանքը, որ նվիրառու ընկերություններն այլ հավասար պայմաններում պատշաճ կատարում են իրենց հարկային պարտավորությունները և «հրաժարում հօգուտ պետության» մաքսային ընթացակարգը կիրառվում է միայն ռազմական դրության ժամանակահատվածում ներմուծված բեռների նկատմամբ, որի իրավակարգավորումները սահմանված են ՀՀ կառավարության 05.10.2020 թվականի թիվ 1638-Ն որոշմամբ։  </w:t>
            </w:r>
          </w:p>
          <w:p>
            <w:pPr>
              <w:pStyle w:val="TextBody"/>
              <w:spacing w:lineRule="auto" w:line="360" w:before="0" w:after="0"/>
              <w:jc w:val="both"/>
              <w:rPr>
                <w:rFonts w:ascii="GHEA Grapalat" w:hAnsi="GHEA Grapalat"/>
                <w:b w:val="false"/>
                <w:b w:val="false"/>
                <w:bCs w:val="false"/>
                <w:sz w:val="24"/>
                <w:szCs w:val="24"/>
                <w:lang w:val="hy-AM"/>
              </w:rPr>
            </w:pPr>
            <w:r>
              <w:rPr>
                <w:rFonts w:ascii="GHEA Grapalat" w:hAnsi="GHEA Grapalat"/>
                <w:b w:val="false"/>
                <w:bCs w:val="false"/>
                <w:sz w:val="24"/>
                <w:szCs w:val="24"/>
                <w:lang w:val="hy-AM"/>
              </w:rPr>
            </w:r>
          </w:p>
        </w:tc>
      </w:tr>
      <w:tr>
        <w:trPr>
          <w:trHeight w:val="527" w:hRule="atLeast"/>
        </w:trPr>
        <w:tc>
          <w:tcPr>
            <w:tcW w:w="8280" w:type="dxa"/>
            <w:gridSpan w:val="3"/>
            <w:vMerge w:val="restart"/>
            <w:tcBorders/>
            <w:shd w:color="auto" w:fill="BFBFBF" w:themeFill="background1" w:themeFillShade="bf" w:val="clear"/>
          </w:tcPr>
          <w:p>
            <w:pPr>
              <w:pStyle w:val="Normal"/>
              <w:spacing w:lineRule="auto" w:line="276" w:before="0" w:after="0"/>
              <w:jc w:val="center"/>
              <w:rPr>
                <w:rFonts w:ascii="GHEA Grapalat" w:hAnsi="GHEA Grapalat"/>
                <w:b/>
                <w:b/>
                <w:bCs/>
                <w:sz w:val="24"/>
                <w:szCs w:val="24"/>
                <w:lang w:val="hy-AM"/>
              </w:rPr>
            </w:pPr>
            <w:r>
              <w:rPr>
                <w:rFonts w:ascii="GHEA Grapalat" w:hAnsi="GHEA Grapalat"/>
                <w:b/>
                <w:bCs/>
                <w:sz w:val="24"/>
                <w:szCs w:val="24"/>
                <w:lang w:val="hy-AM"/>
              </w:rPr>
            </w:r>
          </w:p>
          <w:p>
            <w:pPr>
              <w:pStyle w:val="Normal"/>
              <w:spacing w:lineRule="auto" w:line="276" w:before="0" w:after="0"/>
              <w:ind w:left="360" w:hanging="0"/>
              <w:jc w:val="center"/>
              <w:rPr>
                <w:b/>
                <w:b/>
                <w:bCs/>
                <w:sz w:val="24"/>
                <w:szCs w:val="24"/>
              </w:rPr>
            </w:pPr>
            <w:r>
              <w:rPr>
                <w:rFonts w:eastAsia="Times New Roman" w:cs="Times New Roman" w:ascii="GHEA Grapalat" w:hAnsi="GHEA Grapalat"/>
                <w:b/>
                <w:bCs/>
                <w:color w:val="000000"/>
                <w:sz w:val="24"/>
                <w:szCs w:val="24"/>
                <w:lang w:val="hy-AM"/>
              </w:rPr>
              <w:t>2.</w:t>
            </w:r>
            <w:r>
              <w:rPr>
                <w:b/>
                <w:bCs/>
                <w:sz w:val="24"/>
                <w:szCs w:val="24"/>
                <w:lang w:val="hy-AM"/>
              </w:rPr>
              <w:t xml:space="preserve"> </w:t>
            </w:r>
            <w:r>
              <w:rPr>
                <w:rFonts w:eastAsia="Times New Roman" w:cs="Times New Roman" w:ascii="GHEA Grapalat" w:hAnsi="GHEA Grapalat"/>
                <w:b/>
                <w:bCs/>
                <w:color w:val="000000"/>
                <w:sz w:val="24"/>
                <w:szCs w:val="24"/>
                <w:lang w:val="hy-AM"/>
              </w:rPr>
              <w:t>ՀՀ տարածքային կառավարման և ենթակառուցվածքների նախարարություն</w:t>
            </w:r>
          </w:p>
          <w:p>
            <w:pPr>
              <w:pStyle w:val="ListParagraph"/>
              <w:spacing w:lineRule="auto" w:line="276" w:before="0" w:after="0"/>
              <w:contextualSpacing/>
              <w:rPr>
                <w:rFonts w:ascii="GHEA Grapalat" w:hAnsi="GHEA Grapalat"/>
                <w:b/>
                <w:b/>
                <w:bCs/>
                <w:sz w:val="24"/>
                <w:szCs w:val="24"/>
                <w:lang w:val="hy-AM"/>
              </w:rPr>
            </w:pPr>
            <w:r>
              <w:rPr>
                <w:rFonts w:ascii="GHEA Grapalat" w:hAnsi="GHEA Grapalat"/>
                <w:b/>
                <w:bCs/>
                <w:sz w:val="24"/>
                <w:szCs w:val="24"/>
                <w:lang w:val="hy-AM"/>
              </w:rPr>
            </w:r>
          </w:p>
        </w:tc>
        <w:tc>
          <w:tcPr>
            <w:tcW w:w="5325" w:type="dxa"/>
            <w:tcBorders/>
            <w:shd w:color="auto" w:fill="BFBFBF" w:themeFill="background1" w:themeFillShade="bf" w:val="clear"/>
          </w:tcPr>
          <w:p>
            <w:pPr>
              <w:pStyle w:val="Normal"/>
              <w:spacing w:lineRule="auto" w:line="276" w:before="0" w:after="0"/>
              <w:jc w:val="center"/>
              <w:rPr>
                <w:b/>
                <w:b/>
                <w:bCs/>
                <w:sz w:val="24"/>
                <w:szCs w:val="24"/>
              </w:rPr>
            </w:pPr>
            <w:r>
              <w:rPr>
                <w:rFonts w:ascii="GHEA Grapalat" w:hAnsi="GHEA Grapalat"/>
                <w:b/>
                <w:bCs/>
                <w:sz w:val="24"/>
                <w:szCs w:val="24"/>
                <w:lang w:val="hy-AM"/>
              </w:rPr>
              <w:t>10.06.2021թ</w:t>
            </w:r>
            <w:r>
              <w:rPr>
                <w:rFonts w:ascii="Cambria Math" w:hAnsi="Cambria Math"/>
                <w:b/>
                <w:bCs/>
                <w:sz w:val="24"/>
                <w:szCs w:val="24"/>
                <w:lang w:val="hy-AM"/>
              </w:rPr>
              <w:t>․</w:t>
            </w:r>
          </w:p>
        </w:tc>
      </w:tr>
      <w:tr>
        <w:trPr>
          <w:trHeight w:val="683" w:hRule="atLeast"/>
        </w:trPr>
        <w:tc>
          <w:tcPr>
            <w:tcW w:w="8280" w:type="dxa"/>
            <w:gridSpan w:val="3"/>
            <w:vMerge w:val="continue"/>
            <w:tcBorders/>
            <w:shd w:color="auto" w:fill="BFBFBF" w:themeFill="background1" w:themeFillShade="bf" w:val="clear"/>
          </w:tcPr>
          <w:p>
            <w:pPr>
              <w:pStyle w:val="Normal"/>
              <w:spacing w:lineRule="auto" w:line="276" w:before="0" w:after="0"/>
              <w:rPr>
                <w:rFonts w:ascii="GHEA Grapalat" w:hAnsi="GHEA Grapalat"/>
                <w:b/>
                <w:b/>
                <w:bCs/>
                <w:sz w:val="24"/>
                <w:szCs w:val="24"/>
                <w:lang w:val="hy-AM"/>
              </w:rPr>
            </w:pPr>
            <w:r>
              <w:rPr>
                <w:rFonts w:ascii="GHEA Grapalat" w:hAnsi="GHEA Grapalat"/>
                <w:b/>
                <w:bCs/>
                <w:sz w:val="24"/>
                <w:szCs w:val="24"/>
                <w:lang w:val="hy-AM"/>
              </w:rPr>
            </w:r>
          </w:p>
        </w:tc>
        <w:tc>
          <w:tcPr>
            <w:tcW w:w="5325" w:type="dxa"/>
            <w:tcBorders/>
            <w:shd w:color="auto" w:fill="BFBFBF" w:themeFill="background1" w:themeFillShade="bf" w:val="clear"/>
          </w:tcPr>
          <w:p>
            <w:pPr>
              <w:pStyle w:val="Normal"/>
              <w:spacing w:lineRule="auto" w:line="276" w:before="0" w:after="0"/>
              <w:jc w:val="center"/>
              <w:rPr>
                <w:b/>
                <w:b/>
                <w:bCs/>
                <w:sz w:val="24"/>
                <w:szCs w:val="24"/>
              </w:rPr>
            </w:pPr>
            <w:r>
              <w:rPr>
                <w:rFonts w:eastAsia="Times New Roman" w:cs="Times New Roman" w:ascii="GHEA Grapalat" w:hAnsi="GHEA Grapalat"/>
                <w:b/>
                <w:bCs/>
                <w:color w:val="000000"/>
                <w:sz w:val="24"/>
                <w:szCs w:val="24"/>
                <w:lang w:val="hy-AM"/>
              </w:rPr>
              <w:t xml:space="preserve">    </w:t>
            </w:r>
            <w:r>
              <w:rPr>
                <w:rFonts w:eastAsia="Times New Roman" w:cs="Times New Roman" w:ascii="GHEA Grapalat" w:hAnsi="GHEA Grapalat"/>
                <w:b/>
                <w:bCs/>
                <w:color w:val="000000"/>
                <w:sz w:val="24"/>
                <w:szCs w:val="24"/>
              </w:rPr>
              <w:t>N</w:t>
            </w:r>
            <w:r>
              <w:rPr>
                <w:rFonts w:eastAsia="Times New Roman" w:cs="Times New Roman" w:ascii="GHEA Grapalat" w:hAnsi="GHEA Grapalat"/>
                <w:b/>
                <w:bCs/>
                <w:color w:val="000000"/>
                <w:sz w:val="24"/>
                <w:szCs w:val="24"/>
                <w:lang w:val="hy-AM"/>
              </w:rPr>
              <w:t xml:space="preserve"> </w:t>
            </w:r>
            <w:r>
              <w:rPr>
                <w:rFonts w:eastAsia="Times New Roman" w:cs="Times New Roman" w:ascii="GHEA Grapalat" w:hAnsi="GHEA Grapalat"/>
                <w:b/>
                <w:bCs/>
                <w:color w:val="000000"/>
                <w:sz w:val="24"/>
                <w:szCs w:val="24"/>
              </w:rPr>
              <w:t>ՍՊ//14687-2021</w:t>
            </w:r>
            <w:bookmarkStart w:id="0" w:name="_Hlk67316926"/>
            <w:bookmarkEnd w:id="0"/>
          </w:p>
        </w:tc>
      </w:tr>
      <w:tr>
        <w:trPr/>
        <w:tc>
          <w:tcPr>
            <w:tcW w:w="442" w:type="dxa"/>
            <w:tcBorders/>
          </w:tcPr>
          <w:p>
            <w:pPr>
              <w:pStyle w:val="ListParagraph"/>
              <w:numPr>
                <w:ilvl w:val="0"/>
                <w:numId w:val="3"/>
              </w:numPr>
              <w:spacing w:lineRule="auto" w:line="276" w:before="0" w:after="0"/>
              <w:ind w:left="447" w:hanging="360"/>
              <w:contextualSpacing/>
              <w:rPr>
                <w:rFonts w:ascii="GHEA Grapalat" w:hAnsi="GHEA Grapalat"/>
                <w:sz w:val="24"/>
                <w:szCs w:val="24"/>
                <w:lang w:val="hy-AM"/>
              </w:rPr>
            </w:pPr>
            <w:r>
              <w:rPr>
                <w:rFonts w:ascii="GHEA Grapalat" w:hAnsi="GHEA Grapalat"/>
                <w:sz w:val="24"/>
                <w:szCs w:val="24"/>
                <w:lang w:val="hy-AM"/>
              </w:rPr>
            </w:r>
          </w:p>
        </w:tc>
        <w:tc>
          <w:tcPr>
            <w:tcW w:w="7838" w:type="dxa"/>
            <w:gridSpan w:val="2"/>
            <w:tcBorders/>
            <w:vAlign w:val="center"/>
          </w:tcPr>
          <w:p>
            <w:pPr>
              <w:pStyle w:val="Normal"/>
              <w:spacing w:lineRule="auto" w:line="360" w:before="0" w:after="0"/>
              <w:ind w:firstLine="709"/>
              <w:jc w:val="both"/>
              <w:rPr>
                <w:sz w:val="24"/>
                <w:szCs w:val="24"/>
              </w:rPr>
            </w:pPr>
            <w:r>
              <w:rPr>
                <w:rFonts w:eastAsia="Calibri" w:ascii="GHEA Grapalat" w:hAnsi="GHEA Grapalat"/>
                <w:bCs/>
                <w:sz w:val="24"/>
                <w:szCs w:val="24"/>
                <w:lang w:val="hy-AM"/>
              </w:rPr>
              <w:t>«Գույք հետ վերցնելու և նվիրելու մասին» Հայաստանի Հանրապետության կառավարության որոշման նախագծի (այսուհետ՝ Նախագիծ) վերաբերյալ հայտնում ենք հետևյալը.</w:t>
            </w:r>
          </w:p>
          <w:p>
            <w:pPr>
              <w:pStyle w:val="Normal"/>
              <w:tabs>
                <w:tab w:val="clear" w:pos="720"/>
                <w:tab w:val="left" w:pos="993" w:leader="none"/>
              </w:tabs>
              <w:spacing w:lineRule="auto" w:line="360" w:before="0" w:after="160"/>
              <w:contextualSpacing/>
              <w:jc w:val="both"/>
              <w:rPr>
                <w:sz w:val="24"/>
                <w:szCs w:val="24"/>
              </w:rPr>
            </w:pPr>
            <w:r>
              <w:rPr>
                <w:rFonts w:eastAsia="Calibri" w:cs="Arial Armenian" w:ascii="GHEA Grapalat" w:hAnsi="GHEA Grapalat"/>
                <w:sz w:val="24"/>
                <w:szCs w:val="24"/>
                <w:lang w:val="hy-AM"/>
              </w:rPr>
              <w:t xml:space="preserve">          </w:t>
            </w:r>
            <w:r>
              <w:rPr>
                <w:rFonts w:eastAsia="Calibri" w:cs="Arial Armenian" w:ascii="GHEA Grapalat" w:hAnsi="GHEA Grapalat"/>
                <w:sz w:val="24"/>
                <w:szCs w:val="24"/>
                <w:lang w:val="hy-AM"/>
              </w:rPr>
              <w:t>Նախագծի նախաբանում «</w:t>
            </w:r>
            <w:r>
              <w:rPr>
                <w:rFonts w:eastAsia="Calibri" w:cs="Arial" w:ascii="GHEA Grapalat" w:hAnsi="GHEA Grapalat"/>
                <w:sz w:val="24"/>
                <w:szCs w:val="24"/>
                <w:lang w:val="hy-AM"/>
              </w:rPr>
              <w:t>Կառավարչական</w:t>
            </w:r>
            <w:r>
              <w:rPr>
                <w:rFonts w:eastAsia="Calibri" w:ascii="GHEA Grapalat" w:hAnsi="GHEA Grapalat"/>
                <w:sz w:val="24"/>
                <w:szCs w:val="24"/>
                <w:lang w:val="fr-FR"/>
              </w:rPr>
              <w:t xml:space="preserve"> </w:t>
            </w:r>
            <w:r>
              <w:rPr>
                <w:rFonts w:eastAsia="Calibri" w:cs="Arial" w:ascii="GHEA Grapalat" w:hAnsi="GHEA Grapalat"/>
                <w:sz w:val="24"/>
                <w:szCs w:val="24"/>
                <w:lang w:val="hy-AM"/>
              </w:rPr>
              <w:t>իրավահարաբերությունների</w:t>
            </w:r>
            <w:r>
              <w:rPr>
                <w:rFonts w:eastAsia="Calibri" w:ascii="GHEA Grapalat" w:hAnsi="GHEA Grapalat"/>
                <w:sz w:val="24"/>
                <w:szCs w:val="24"/>
                <w:lang w:val="hy-AM"/>
              </w:rPr>
              <w:t xml:space="preserve"> </w:t>
            </w:r>
            <w:r>
              <w:rPr>
                <w:rFonts w:eastAsia="Calibri" w:cs="Arial" w:ascii="GHEA Grapalat" w:hAnsi="GHEA Grapalat"/>
                <w:sz w:val="24"/>
                <w:szCs w:val="24"/>
                <w:lang w:val="hy-AM"/>
              </w:rPr>
              <w:t>կարգավորման</w:t>
            </w:r>
            <w:r>
              <w:rPr>
                <w:rFonts w:eastAsia="Calibri" w:ascii="GHEA Grapalat" w:hAnsi="GHEA Grapalat"/>
                <w:sz w:val="24"/>
                <w:szCs w:val="24"/>
                <w:lang w:val="fr-FR"/>
              </w:rPr>
              <w:t xml:space="preserve"> </w:t>
            </w:r>
            <w:r>
              <w:rPr>
                <w:rFonts w:eastAsia="Calibri" w:cs="Arial" w:ascii="GHEA Grapalat" w:hAnsi="GHEA Grapalat"/>
                <w:sz w:val="24"/>
                <w:szCs w:val="24"/>
                <w:lang w:val="hy-AM"/>
              </w:rPr>
              <w:t>մասին</w:t>
            </w:r>
            <w:r>
              <w:rPr>
                <w:rFonts w:eastAsia="Calibri" w:cs="Arial Armenian" w:ascii="GHEA Grapalat" w:hAnsi="GHEA Grapalat"/>
                <w:sz w:val="24"/>
                <w:szCs w:val="24"/>
                <w:lang w:val="hy-AM"/>
              </w:rPr>
              <w:t>»</w:t>
            </w:r>
            <w:r>
              <w:rPr>
                <w:rFonts w:eastAsia="Calibri" w:ascii="GHEA Grapalat" w:hAnsi="GHEA Grapalat"/>
                <w:sz w:val="24"/>
                <w:szCs w:val="24"/>
                <w:lang w:val="fr-FR"/>
              </w:rPr>
              <w:t xml:space="preserve"> </w:t>
            </w:r>
            <w:r>
              <w:rPr>
                <w:rFonts w:eastAsia="Calibri" w:cs="Arial" w:ascii="GHEA Grapalat" w:hAnsi="GHEA Grapalat"/>
                <w:sz w:val="24"/>
                <w:szCs w:val="24"/>
                <w:lang w:val="hy-AM"/>
              </w:rPr>
              <w:t>Հայաստանի</w:t>
            </w:r>
            <w:r>
              <w:rPr>
                <w:rFonts w:eastAsia="Calibri" w:ascii="GHEA Grapalat" w:hAnsi="GHEA Grapalat"/>
                <w:sz w:val="24"/>
                <w:szCs w:val="24"/>
                <w:lang w:val="fr-FR"/>
              </w:rPr>
              <w:t xml:space="preserve"> </w:t>
            </w:r>
            <w:r>
              <w:rPr>
                <w:rFonts w:eastAsia="Calibri" w:cs="Arial" w:ascii="GHEA Grapalat" w:hAnsi="GHEA Grapalat"/>
                <w:sz w:val="24"/>
                <w:szCs w:val="24"/>
                <w:lang w:val="hy-AM"/>
              </w:rPr>
              <w:t>Հանրապետության</w:t>
            </w:r>
            <w:r>
              <w:rPr>
                <w:rFonts w:eastAsia="Calibri" w:ascii="GHEA Grapalat" w:hAnsi="GHEA Grapalat"/>
                <w:sz w:val="24"/>
                <w:szCs w:val="24"/>
                <w:lang w:val="fr-FR"/>
              </w:rPr>
              <w:t xml:space="preserve"> </w:t>
            </w:r>
            <w:r>
              <w:rPr>
                <w:rFonts w:eastAsia="Calibri" w:cs="Arial" w:ascii="GHEA Grapalat" w:hAnsi="GHEA Grapalat"/>
                <w:sz w:val="24"/>
                <w:szCs w:val="24"/>
                <w:lang w:val="hy-AM"/>
              </w:rPr>
              <w:t>օրենքի</w:t>
            </w:r>
            <w:r>
              <w:rPr>
                <w:rFonts w:eastAsia="Calibri" w:ascii="GHEA Grapalat" w:hAnsi="GHEA Grapalat"/>
                <w:sz w:val="24"/>
                <w:szCs w:val="24"/>
                <w:lang w:val="hy-AM"/>
              </w:rPr>
              <w:t xml:space="preserve"> 5-</w:t>
            </w:r>
            <w:r>
              <w:rPr>
                <w:rFonts w:eastAsia="Calibri" w:cs="Arial" w:ascii="GHEA Grapalat" w:hAnsi="GHEA Grapalat"/>
                <w:sz w:val="24"/>
                <w:szCs w:val="24"/>
                <w:lang w:val="hy-AM"/>
              </w:rPr>
              <w:t>րդ</w:t>
            </w:r>
            <w:r>
              <w:rPr>
                <w:rFonts w:eastAsia="Calibri" w:ascii="GHEA Grapalat" w:hAnsi="GHEA Grapalat"/>
                <w:sz w:val="24"/>
                <w:szCs w:val="24"/>
                <w:lang w:val="hy-AM"/>
              </w:rPr>
              <w:t xml:space="preserve"> </w:t>
            </w:r>
            <w:r>
              <w:rPr>
                <w:rFonts w:eastAsia="Calibri" w:cs="Arial" w:ascii="GHEA Grapalat" w:hAnsi="GHEA Grapalat"/>
                <w:sz w:val="24"/>
                <w:szCs w:val="24"/>
                <w:lang w:val="hy-AM"/>
              </w:rPr>
              <w:t>հոդվածի</w:t>
            </w:r>
            <w:r>
              <w:rPr>
                <w:rFonts w:eastAsia="Calibri" w:ascii="GHEA Grapalat" w:hAnsi="GHEA Grapalat"/>
                <w:sz w:val="24"/>
                <w:szCs w:val="24"/>
                <w:lang w:val="hy-AM"/>
              </w:rPr>
              <w:t xml:space="preserve"> 5-</w:t>
            </w:r>
            <w:r>
              <w:rPr>
                <w:rFonts w:eastAsia="Calibri" w:cs="Arial" w:ascii="GHEA Grapalat" w:hAnsi="GHEA Grapalat"/>
                <w:sz w:val="24"/>
                <w:szCs w:val="24"/>
                <w:lang w:val="hy-AM"/>
              </w:rPr>
              <w:t>րդ մասին կատարված հղումը բացառել, քանի որ տվյալ նորմով կարգավորվում է  պետական մարմնին, ինչպես նաև ենթակա պետական մարմնին գույք ամրացնելու հետ կապված հարաբերությունները, մինչդեռ Նախագծով որևէ պետական մարմնի կամ ենթակա պետական մարմնի գույք չի ամրացվում։ Նշված հիմնավորմամբ անհրաժեշտ է նաև Նախագծի նախաբանում՝ «մասերը» բառը փոխարինել «մասը» բառով։</w:t>
            </w:r>
          </w:p>
          <w:p>
            <w:pPr>
              <w:pStyle w:val="Normal"/>
              <w:spacing w:lineRule="auto" w:line="360" w:before="0" w:after="0"/>
              <w:rPr>
                <w:rFonts w:ascii="GHEA Grapalat" w:hAnsi="GHEA Grapalat"/>
                <w:sz w:val="24"/>
                <w:szCs w:val="24"/>
                <w:lang w:val="hy-AM"/>
              </w:rPr>
            </w:pPr>
            <w:r>
              <w:rPr>
                <w:rFonts w:ascii="GHEA Grapalat" w:hAnsi="GHEA Grapalat"/>
                <w:sz w:val="24"/>
                <w:szCs w:val="24"/>
                <w:lang w:val="hy-AM"/>
              </w:rPr>
            </w:r>
          </w:p>
        </w:tc>
        <w:tc>
          <w:tcPr>
            <w:tcW w:w="5325" w:type="dxa"/>
            <w:tcBorders/>
          </w:tcPr>
          <w:p>
            <w:pPr>
              <w:pStyle w:val="TextBody"/>
              <w:spacing w:lineRule="auto" w:line="360" w:before="0" w:after="0"/>
              <w:jc w:val="center"/>
              <w:rPr>
                <w:sz w:val="24"/>
                <w:szCs w:val="24"/>
              </w:rPr>
            </w:pPr>
            <w:r>
              <w:rPr>
                <w:rFonts w:ascii="GHEA Grapalat" w:hAnsi="GHEA Grapalat"/>
                <w:sz w:val="24"/>
                <w:szCs w:val="24"/>
                <w:lang w:val="hy-AM"/>
              </w:rPr>
              <w:t>Ընդունվել է:</w:t>
            </w:r>
          </w:p>
        </w:tc>
      </w:tr>
      <w:tr>
        <w:trPr/>
        <w:tc>
          <w:tcPr>
            <w:tcW w:w="442" w:type="dxa"/>
            <w:tcBorders/>
          </w:tcPr>
          <w:p>
            <w:pPr>
              <w:pStyle w:val="ListParagraph"/>
              <w:numPr>
                <w:ilvl w:val="0"/>
                <w:numId w:val="3"/>
              </w:numPr>
              <w:spacing w:lineRule="auto" w:line="276" w:before="0" w:after="0"/>
              <w:ind w:left="447" w:hanging="360"/>
              <w:contextualSpacing/>
              <w:rPr>
                <w:rFonts w:ascii="GHEA Grapalat" w:hAnsi="GHEA Grapalat"/>
                <w:sz w:val="24"/>
                <w:szCs w:val="24"/>
                <w:lang w:val="hy-AM"/>
              </w:rPr>
            </w:pPr>
            <w:r>
              <w:rPr>
                <w:rFonts w:ascii="GHEA Grapalat" w:hAnsi="GHEA Grapalat"/>
                <w:sz w:val="24"/>
                <w:szCs w:val="24"/>
                <w:lang w:val="hy-AM"/>
              </w:rPr>
            </w:r>
          </w:p>
        </w:tc>
        <w:tc>
          <w:tcPr>
            <w:tcW w:w="7838" w:type="dxa"/>
            <w:gridSpan w:val="2"/>
            <w:tcBorders/>
            <w:vAlign w:val="center"/>
          </w:tcPr>
          <w:p>
            <w:pPr>
              <w:pStyle w:val="Normal"/>
              <w:tabs>
                <w:tab w:val="clear" w:pos="720"/>
                <w:tab w:val="left" w:pos="993" w:leader="none"/>
              </w:tabs>
              <w:spacing w:lineRule="auto" w:line="360" w:before="0" w:after="160"/>
              <w:contextualSpacing/>
              <w:jc w:val="both"/>
              <w:rPr>
                <w:sz w:val="24"/>
                <w:szCs w:val="24"/>
              </w:rPr>
            </w:pPr>
            <w:r>
              <w:rPr>
                <w:rFonts w:eastAsia="Calibri" w:cs="Arial" w:ascii="GHEA Grapalat" w:hAnsi="GHEA Grapalat"/>
                <w:sz w:val="24"/>
                <w:szCs w:val="24"/>
                <w:lang w:val="hy-AM"/>
              </w:rPr>
              <w:t>Նկատի ունենալով, որ</w:t>
            </w:r>
            <w:r>
              <w:rPr>
                <w:rFonts w:eastAsia="Calibri" w:cs="Arial Armenian" w:ascii="GHEA Grapalat" w:hAnsi="GHEA Grapalat"/>
                <w:sz w:val="24"/>
                <w:szCs w:val="24"/>
                <w:lang w:val="hy-AM"/>
              </w:rPr>
              <w:t xml:space="preserve"> </w:t>
            </w:r>
            <w:r>
              <w:rPr>
                <w:rFonts w:eastAsia="Calibri" w:cs="Arial" w:ascii="GHEA Grapalat" w:hAnsi="GHEA Grapalat"/>
                <w:sz w:val="24"/>
                <w:szCs w:val="24"/>
                <w:lang w:val="hy-AM"/>
              </w:rPr>
              <w:t>Նախագծի նախաբանում հղում է կատարված նաև «Կառավարչական</w:t>
            </w:r>
            <w:r>
              <w:rPr>
                <w:rFonts w:eastAsia="Calibri" w:cs="Arial" w:ascii="GHEA Grapalat" w:hAnsi="GHEA Grapalat"/>
                <w:sz w:val="24"/>
                <w:szCs w:val="24"/>
                <w:lang w:val="fr-FR"/>
              </w:rPr>
              <w:t xml:space="preserve"> </w:t>
            </w:r>
            <w:r>
              <w:rPr>
                <w:rFonts w:eastAsia="Calibri" w:cs="Arial" w:ascii="GHEA Grapalat" w:hAnsi="GHEA Grapalat"/>
                <w:sz w:val="24"/>
                <w:szCs w:val="24"/>
                <w:lang w:val="hy-AM"/>
              </w:rPr>
              <w:t>իրավահարաբերությունների կարգավորման</w:t>
            </w:r>
            <w:r>
              <w:rPr>
                <w:rFonts w:eastAsia="Calibri" w:cs="Arial" w:ascii="GHEA Grapalat" w:hAnsi="GHEA Grapalat"/>
                <w:sz w:val="24"/>
                <w:szCs w:val="24"/>
                <w:lang w:val="fr-FR"/>
              </w:rPr>
              <w:t xml:space="preserve"> </w:t>
            </w:r>
            <w:r>
              <w:rPr>
                <w:rFonts w:eastAsia="Calibri" w:cs="Arial" w:ascii="GHEA Grapalat" w:hAnsi="GHEA Grapalat"/>
                <w:sz w:val="24"/>
                <w:szCs w:val="24"/>
                <w:lang w:val="hy-AM"/>
              </w:rPr>
              <w:t>մասին»</w:t>
            </w:r>
            <w:r>
              <w:rPr>
                <w:rFonts w:eastAsia="Calibri" w:cs="Arial" w:ascii="GHEA Grapalat" w:hAnsi="GHEA Grapalat"/>
                <w:sz w:val="24"/>
                <w:szCs w:val="24"/>
                <w:lang w:val="fr-FR"/>
              </w:rPr>
              <w:t xml:space="preserve"> </w:t>
            </w:r>
            <w:r>
              <w:rPr>
                <w:rFonts w:eastAsia="Calibri" w:cs="Arial" w:ascii="GHEA Grapalat" w:hAnsi="GHEA Grapalat"/>
                <w:sz w:val="24"/>
                <w:szCs w:val="24"/>
                <w:lang w:val="hy-AM"/>
              </w:rPr>
              <w:t>Հայաստանի</w:t>
            </w:r>
            <w:r>
              <w:rPr>
                <w:rFonts w:eastAsia="Calibri" w:cs="Arial" w:ascii="GHEA Grapalat" w:hAnsi="GHEA Grapalat"/>
                <w:sz w:val="24"/>
                <w:szCs w:val="24"/>
                <w:lang w:val="fr-FR"/>
              </w:rPr>
              <w:t xml:space="preserve"> </w:t>
            </w:r>
            <w:r>
              <w:rPr>
                <w:rFonts w:eastAsia="Calibri" w:cs="Arial" w:ascii="GHEA Grapalat" w:hAnsi="GHEA Grapalat"/>
                <w:sz w:val="24"/>
                <w:szCs w:val="24"/>
                <w:lang w:val="hy-AM"/>
              </w:rPr>
              <w:t>Հանրապետության</w:t>
            </w:r>
            <w:r>
              <w:rPr>
                <w:rFonts w:eastAsia="Calibri" w:cs="Arial" w:ascii="GHEA Grapalat" w:hAnsi="GHEA Grapalat"/>
                <w:sz w:val="24"/>
                <w:szCs w:val="24"/>
                <w:lang w:val="fr-FR"/>
              </w:rPr>
              <w:t xml:space="preserve"> </w:t>
            </w:r>
            <w:r>
              <w:rPr>
                <w:rFonts w:eastAsia="Calibri" w:cs="Arial" w:ascii="GHEA Grapalat" w:hAnsi="GHEA Grapalat"/>
                <w:sz w:val="24"/>
                <w:szCs w:val="24"/>
                <w:lang w:val="hy-AM"/>
              </w:rPr>
              <w:t>օրենքի 5-րդ հոդվածի 7-րդ մասին, որը վերաբերում է պետական կամ ենթակա պետական մարմնին հանձնված գույքը հետ վերցնելուն, ուստի Նախագծի առաջին կետում՝ «գույքը» բառից հետո անհրաժեշտ է լրացնել «հետ վերցնել և» բառերը։</w:t>
            </w:r>
          </w:p>
          <w:p>
            <w:pPr>
              <w:pStyle w:val="Normal"/>
              <w:spacing w:lineRule="auto" w:line="360" w:before="0" w:after="0"/>
              <w:rPr>
                <w:rFonts w:ascii="GHEA Grapalat" w:hAnsi="GHEA Grapalat"/>
                <w:sz w:val="24"/>
                <w:szCs w:val="24"/>
                <w:lang w:val="hy-AM"/>
              </w:rPr>
            </w:pPr>
            <w:r>
              <w:rPr>
                <w:rFonts w:ascii="GHEA Grapalat" w:hAnsi="GHEA Grapalat"/>
                <w:sz w:val="24"/>
                <w:szCs w:val="24"/>
                <w:lang w:val="hy-AM"/>
              </w:rPr>
            </w:r>
          </w:p>
        </w:tc>
        <w:tc>
          <w:tcPr>
            <w:tcW w:w="5325" w:type="dxa"/>
            <w:tcBorders/>
          </w:tcPr>
          <w:p>
            <w:pPr>
              <w:pStyle w:val="TextBody"/>
              <w:spacing w:lineRule="auto" w:line="360" w:before="0" w:after="0"/>
              <w:jc w:val="center"/>
              <w:rPr>
                <w:sz w:val="24"/>
                <w:szCs w:val="24"/>
              </w:rPr>
            </w:pPr>
            <w:r>
              <w:rPr>
                <w:rFonts w:ascii="GHEA Grapalat" w:hAnsi="GHEA Grapalat"/>
                <w:sz w:val="24"/>
                <w:szCs w:val="24"/>
                <w:lang w:val="hy-AM"/>
              </w:rPr>
              <w:t>Ընդունվել է:</w:t>
            </w:r>
          </w:p>
        </w:tc>
      </w:tr>
      <w:tr>
        <w:trPr/>
        <w:tc>
          <w:tcPr>
            <w:tcW w:w="442" w:type="dxa"/>
            <w:tcBorders/>
          </w:tcPr>
          <w:p>
            <w:pPr>
              <w:pStyle w:val="Normal"/>
              <w:tabs>
                <w:tab w:val="clear" w:pos="720"/>
                <w:tab w:val="left" w:pos="993" w:leader="none"/>
              </w:tabs>
              <w:spacing w:lineRule="auto" w:line="360" w:before="0" w:after="0"/>
              <w:contextualSpacing/>
              <w:jc w:val="both"/>
              <w:rPr>
                <w:sz w:val="24"/>
                <w:szCs w:val="24"/>
              </w:rPr>
            </w:pPr>
            <w:r>
              <w:rPr>
                <w:rFonts w:eastAsia="Calibri" w:cs="Arial" w:ascii="GHEA Grapalat" w:hAnsi="GHEA Grapalat"/>
                <w:sz w:val="24"/>
                <w:szCs w:val="24"/>
              </w:rPr>
              <w:t>3.</w:t>
            </w:r>
          </w:p>
        </w:tc>
        <w:tc>
          <w:tcPr>
            <w:tcW w:w="7838" w:type="dxa"/>
            <w:gridSpan w:val="2"/>
            <w:tcBorders/>
            <w:vAlign w:val="center"/>
          </w:tcPr>
          <w:p>
            <w:pPr>
              <w:pStyle w:val="Normal"/>
              <w:tabs>
                <w:tab w:val="clear" w:pos="720"/>
                <w:tab w:val="left" w:pos="993" w:leader="none"/>
              </w:tabs>
              <w:spacing w:lineRule="auto" w:line="360" w:before="0" w:after="160"/>
              <w:contextualSpacing/>
              <w:jc w:val="both"/>
              <w:rPr>
                <w:sz w:val="24"/>
                <w:szCs w:val="24"/>
              </w:rPr>
            </w:pPr>
            <w:r>
              <w:rPr>
                <w:rFonts w:eastAsia="Calibri" w:cs="Arial" w:ascii="GHEA Grapalat" w:hAnsi="GHEA Grapalat"/>
                <w:sz w:val="24"/>
                <w:szCs w:val="24"/>
                <w:lang w:val="hy-AM"/>
              </w:rPr>
              <w:t xml:space="preserve">Անդրադառնալով Նախագծի առաջին կետում նշված գույքը՝ «ԱԼԿԵ», «ՍԿԱՐԻՖ», «ԴԱՎԱՐՈ», «ՊՐՈ ՄԱՔ», «ՊՐԱՅԴ ՍԻՍԹԵՄՍ» սահմանափակ պատասխանատվությամբ ընկերություններին նվիրելուն, ապա հարկ է նշել, որ «Պետական գույքի կառավարման մասին» Հայաստանի Հանրապետության օրենքի  9-րդ հոդվածի 1-ին մասի 3-րդ կետի համաձայն՝ պետական գույքի կառավարման նպատակներից է պետական գույքի արդյունավետ կառավարման շնորհիվ Հայաստանի Հանրապետության պետական բյուջեի եկամուտների ավելացումը։ Ուստի նկատի ունենալով, որ Նախագծով նախատեսվում է համապատասխան ընկերություններին նվիրել 22 218 955 ՀՀ դրամ մաքսային արժեքով  պետական սեփականություն հանդիսացող գույք, ապա պետության գույքային շահերի արդյունավետ պաշտպանության նկատառումներից և Հայաստանի Հանրապետության պետական բյուջեի մուտքերի ավելացման տեսանկյունից ելնելով, առաջարկում ենք 22 218 955 ՀՀ դրամ արժողությամբ պետական գույքը ոչ թե նվիրել տվյալ ընկերություններին, այլ ՀՀ օրենսդրությամբ սահմանված կարգով ներկայացնել օտարման՝ հրապարակային սակարկությունների կամ ուղղակի վաճառքի եղանակներով։ </w:t>
            </w:r>
          </w:p>
          <w:p>
            <w:pPr>
              <w:pStyle w:val="Normal"/>
              <w:tabs>
                <w:tab w:val="clear" w:pos="720"/>
                <w:tab w:val="left" w:pos="993" w:leader="none"/>
              </w:tabs>
              <w:spacing w:lineRule="auto" w:line="360" w:before="0" w:after="160"/>
              <w:contextualSpacing/>
              <w:jc w:val="both"/>
              <w:rPr>
                <w:sz w:val="24"/>
                <w:szCs w:val="24"/>
              </w:rPr>
            </w:pPr>
            <w:r>
              <w:rPr>
                <w:rFonts w:eastAsia="Calibri" w:cs="Arial" w:ascii="GHEA Grapalat" w:hAnsi="GHEA Grapalat"/>
                <w:sz w:val="24"/>
                <w:szCs w:val="24"/>
                <w:lang w:val="hy-AM"/>
              </w:rPr>
              <w:t>Միաժամանակ հայտնում ենք, որ Նախագծի ընդունման հիմնավորման մեջ առկա տեղեկատվության համաձայն. «Սույն որոշման նախագծի ընդունումը Հայաստանի Հանրապետության պետական բյուջեում ծախսերի և եկամուտների էական ավելացում կամ նվազեցում չի առաջացնի», հետևաբար պարզ չէ թե 22 218 955 ՀՀ դրամ արժողությամբ պետական գույքը այլ անձի նվիրելու դեպքում արդյոք ՀՀ պետական բյուջեում եկամուտների նվազեցում չի առաջանալու։</w:t>
            </w:r>
          </w:p>
        </w:tc>
        <w:tc>
          <w:tcPr>
            <w:tcW w:w="5325" w:type="dxa"/>
            <w:tcBorders/>
          </w:tcPr>
          <w:p>
            <w:pPr>
              <w:pStyle w:val="Normal"/>
              <w:tabs>
                <w:tab w:val="clear" w:pos="720"/>
                <w:tab w:val="left" w:pos="993" w:leader="none"/>
              </w:tabs>
              <w:spacing w:lineRule="auto" w:line="360" w:before="0" w:after="0"/>
              <w:contextualSpacing/>
              <w:jc w:val="both"/>
              <w:rPr>
                <w:sz w:val="24"/>
                <w:szCs w:val="24"/>
              </w:rPr>
            </w:pPr>
            <w:r>
              <w:rPr>
                <w:rFonts w:eastAsia="Calibri" w:cs="Arial" w:ascii="GHEA Grapalat" w:hAnsi="GHEA Grapalat"/>
                <w:b/>
                <w:bCs/>
                <w:sz w:val="24"/>
                <w:szCs w:val="24"/>
                <w:lang w:val="hy-AM"/>
              </w:rPr>
              <w:t>Չի ընդունվել։</w:t>
            </w:r>
          </w:p>
          <w:p>
            <w:pPr>
              <w:pStyle w:val="Normal"/>
              <w:tabs>
                <w:tab w:val="clear" w:pos="720"/>
                <w:tab w:val="left" w:pos="993" w:leader="none"/>
              </w:tabs>
              <w:spacing w:lineRule="auto" w:line="360" w:before="0" w:after="0"/>
              <w:contextualSpacing/>
              <w:jc w:val="both"/>
              <w:rPr>
                <w:sz w:val="24"/>
                <w:szCs w:val="24"/>
              </w:rPr>
            </w:pPr>
            <w:r>
              <w:rPr>
                <w:rFonts w:eastAsia="Calibri" w:cs="Arial" w:ascii="GHEA Grapalat" w:hAnsi="GHEA Grapalat"/>
                <w:sz w:val="24"/>
                <w:szCs w:val="24"/>
                <w:lang w:val="hy-AM"/>
              </w:rPr>
              <w:t xml:space="preserve">Պետական սեփականություն հանդիսացող գույքի արդյունավետ կառավարման և պետության գույքային շահերի արդյունավետ պաշտպանության  մասին դիտարկումները մեր համոզմամբ տեղին չեն նախագծով առաջարկվող գույքի վերաբերյալ, քանի որ նվիրվող գույքն իր նպատակային նշանակությամբ օգտագործվելու է ընկերությունների կողմից ռազմարդյունաբերության ոլորտում։ </w:t>
            </w:r>
          </w:p>
          <w:p>
            <w:pPr>
              <w:pStyle w:val="Normal"/>
              <w:tabs>
                <w:tab w:val="clear" w:pos="720"/>
                <w:tab w:val="left" w:pos="993" w:leader="none"/>
              </w:tabs>
              <w:spacing w:lineRule="auto" w:line="360" w:before="0" w:after="0"/>
              <w:contextualSpacing/>
              <w:jc w:val="both"/>
              <w:rPr>
                <w:sz w:val="24"/>
                <w:szCs w:val="24"/>
              </w:rPr>
            </w:pPr>
            <w:r>
              <w:rPr>
                <w:rFonts w:eastAsia="Calibri" w:cs="Arial" w:ascii="GHEA Grapalat" w:hAnsi="GHEA Grapalat"/>
                <w:sz w:val="24"/>
                <w:szCs w:val="24"/>
                <w:lang w:val="hy-AM"/>
              </w:rPr>
              <w:t xml:space="preserve">Անվտանգության առկա մարտահրավերներին պատասխանելու անհրաժեշտության շրջանակներում մենք չենք պատկերացնում պետության գույքային շահերի պաշտպանության ավելի արդյունավետ եղանակ, քան այդ գույքն օգտագործել ռազմարդյունաբերության ոլորտում, առավել ևս, որ այդ գույքը ձեռք է բերվել </w:t>
            </w:r>
            <w:r>
              <w:rPr>
                <w:rFonts w:eastAsia="Calibri" w:cs="Arial" w:ascii="GHEA Grapalat" w:hAnsi="GHEA Grapalat" w:eastAsiaTheme="minorHAnsi"/>
                <w:color w:val="auto"/>
                <w:kern w:val="0"/>
                <w:sz w:val="24"/>
                <w:szCs w:val="24"/>
                <w:lang w:val="hy-AM" w:eastAsia="en-US" w:bidi="ar-SA"/>
              </w:rPr>
              <w:t xml:space="preserve">«Արար» </w:t>
            </w:r>
            <w:r>
              <w:rPr>
                <w:rFonts w:eastAsia="Times New Roman" w:cs="Times New Roman" w:ascii="GHEA Grapalat" w:hAnsi="GHEA Grapalat"/>
                <w:b w:val="false"/>
                <w:bCs w:val="false"/>
                <w:color w:val="auto"/>
                <w:kern w:val="0"/>
                <w:sz w:val="24"/>
                <w:szCs w:val="24"/>
                <w:lang w:val="hy-AM" w:eastAsia="x-none" w:bidi="ar-SA"/>
              </w:rPr>
              <w:t>քաղաքակրթական հետազոտությունների հիմնադրամի միջոցների հաշվին</w:t>
            </w:r>
            <w:r>
              <w:rPr>
                <w:rFonts w:eastAsia="Calibri" w:cs="Arial" w:ascii="GHEA Grapalat" w:hAnsi="GHEA Grapalat"/>
                <w:sz w:val="24"/>
                <w:szCs w:val="24"/>
                <w:lang w:val="hy-AM"/>
              </w:rPr>
              <w:t xml:space="preserve">։   </w:t>
            </w:r>
          </w:p>
          <w:p>
            <w:pPr>
              <w:pStyle w:val="Normal"/>
              <w:tabs>
                <w:tab w:val="clear" w:pos="720"/>
                <w:tab w:val="left" w:pos="993" w:leader="none"/>
              </w:tabs>
              <w:spacing w:lineRule="auto" w:line="360" w:before="0" w:after="0"/>
              <w:contextualSpacing/>
              <w:jc w:val="both"/>
              <w:rPr>
                <w:sz w:val="24"/>
                <w:szCs w:val="24"/>
              </w:rPr>
            </w:pPr>
            <w:r>
              <w:rPr>
                <w:rFonts w:eastAsia="Calibri" w:cs="Arial" w:ascii="GHEA Grapalat" w:hAnsi="GHEA Grapalat"/>
                <w:sz w:val="24"/>
                <w:szCs w:val="24"/>
                <w:lang w:val="hy-AM"/>
              </w:rPr>
              <w:t xml:space="preserve">Նախագծի ընդունումը Հայաստանի Հանրապետության պետական բյուջեում ծախսերի և եկամուտների էական ավելացում կամ նվազեցում չի կարող առաջացնել, քանի որ 2021 թվականի բյուջետային տարվա ծախսերի և եկամուտների պլանավորման ժամանակ նման եկամուտ չի պլանավորվել։ </w:t>
            </w:r>
          </w:p>
        </w:tc>
      </w:tr>
      <w:tr>
        <w:trPr>
          <w:trHeight w:val="527" w:hRule="atLeast"/>
        </w:trPr>
        <w:tc>
          <w:tcPr>
            <w:tcW w:w="8280" w:type="dxa"/>
            <w:gridSpan w:val="3"/>
            <w:vMerge w:val="restart"/>
            <w:tcBorders/>
            <w:shd w:color="auto" w:fill="BFBFBF" w:themeFill="background1" w:themeFillShade="bf" w:val="clear"/>
          </w:tcPr>
          <w:p>
            <w:pPr>
              <w:pStyle w:val="Normal"/>
              <w:spacing w:lineRule="auto" w:line="276" w:before="0" w:after="0"/>
              <w:jc w:val="center"/>
              <w:rPr>
                <w:rFonts w:ascii="GHEA Grapalat" w:hAnsi="GHEA Grapalat"/>
                <w:b/>
                <w:b/>
                <w:bCs/>
                <w:sz w:val="24"/>
                <w:szCs w:val="24"/>
                <w:lang w:val="hy-AM"/>
              </w:rPr>
            </w:pPr>
            <w:r>
              <w:rPr>
                <w:rFonts w:ascii="GHEA Grapalat" w:hAnsi="GHEA Grapalat"/>
                <w:b/>
                <w:bCs/>
                <w:sz w:val="24"/>
                <w:szCs w:val="24"/>
                <w:lang w:val="hy-AM"/>
              </w:rPr>
            </w:r>
          </w:p>
          <w:p>
            <w:pPr>
              <w:pStyle w:val="Normal"/>
              <w:spacing w:lineRule="auto" w:line="276" w:before="0" w:after="0"/>
              <w:ind w:left="360" w:hanging="0"/>
              <w:jc w:val="center"/>
              <w:rPr>
                <w:b/>
                <w:b/>
                <w:bCs/>
                <w:sz w:val="24"/>
                <w:szCs w:val="24"/>
              </w:rPr>
            </w:pPr>
            <w:r>
              <w:rPr>
                <w:rFonts w:eastAsia="Times New Roman" w:cs="Times New Roman" w:ascii="GHEA Grapalat" w:hAnsi="GHEA Grapalat"/>
                <w:b/>
                <w:bCs/>
                <w:color w:val="000000"/>
                <w:sz w:val="24"/>
                <w:szCs w:val="24"/>
                <w:lang w:val="hy-AM"/>
              </w:rPr>
              <w:t>3.</w:t>
            </w:r>
            <w:r>
              <w:rPr>
                <w:b/>
                <w:bCs/>
                <w:sz w:val="24"/>
                <w:szCs w:val="24"/>
                <w:lang w:val="hy-AM"/>
              </w:rPr>
              <w:t xml:space="preserve"> </w:t>
            </w:r>
            <w:r>
              <w:rPr>
                <w:rFonts w:eastAsia="Times New Roman" w:cs="Times New Roman" w:ascii="GHEA Grapalat" w:hAnsi="GHEA Grapalat"/>
                <w:b/>
                <w:bCs/>
                <w:color w:val="000000"/>
                <w:sz w:val="24"/>
                <w:szCs w:val="24"/>
                <w:lang w:val="hy-AM"/>
              </w:rPr>
              <w:t xml:space="preserve">ՀՀ </w:t>
            </w:r>
            <w:r>
              <w:rPr>
                <w:rFonts w:eastAsia="Times New Roman" w:cs="Times New Roman" w:ascii="GHEA Grapalat" w:hAnsi="GHEA Grapalat"/>
                <w:b/>
                <w:bCs/>
                <w:color w:val="000000"/>
                <w:kern w:val="0"/>
                <w:sz w:val="24"/>
                <w:szCs w:val="24"/>
                <w:lang w:val="hy-AM" w:eastAsia="en-US" w:bidi="ar-SA"/>
              </w:rPr>
              <w:t>վարչապետի աշխատակազմի իրավաբանական վարչություն</w:t>
            </w:r>
          </w:p>
          <w:p>
            <w:pPr>
              <w:pStyle w:val="ListParagraph"/>
              <w:spacing w:lineRule="auto" w:line="276" w:before="0" w:after="0"/>
              <w:contextualSpacing/>
              <w:rPr>
                <w:rFonts w:ascii="GHEA Grapalat" w:hAnsi="GHEA Grapalat"/>
                <w:b/>
                <w:b/>
                <w:bCs/>
                <w:sz w:val="24"/>
                <w:szCs w:val="24"/>
                <w:lang w:val="hy-AM"/>
              </w:rPr>
            </w:pPr>
            <w:r>
              <w:rPr>
                <w:rFonts w:ascii="GHEA Grapalat" w:hAnsi="GHEA Grapalat"/>
                <w:b/>
                <w:bCs/>
                <w:sz w:val="24"/>
                <w:szCs w:val="24"/>
                <w:lang w:val="hy-AM"/>
              </w:rPr>
            </w:r>
          </w:p>
        </w:tc>
        <w:tc>
          <w:tcPr>
            <w:tcW w:w="5325" w:type="dxa"/>
            <w:tcBorders/>
            <w:shd w:color="auto" w:fill="BFBFBF" w:themeFill="background1" w:themeFillShade="bf" w:val="clear"/>
          </w:tcPr>
          <w:p>
            <w:pPr>
              <w:pStyle w:val="Normal"/>
              <w:spacing w:lineRule="auto" w:line="276" w:before="0" w:after="0"/>
              <w:jc w:val="center"/>
              <w:rPr>
                <w:b/>
                <w:b/>
                <w:bCs/>
                <w:sz w:val="24"/>
                <w:szCs w:val="24"/>
              </w:rPr>
            </w:pPr>
            <w:r>
              <w:rPr>
                <w:rFonts w:ascii="GHEA Grapalat" w:hAnsi="GHEA Grapalat"/>
                <w:b/>
                <w:bCs/>
                <w:sz w:val="24"/>
                <w:szCs w:val="24"/>
                <w:lang w:val="hy-AM"/>
              </w:rPr>
              <w:t>23.07.2021թ</w:t>
            </w:r>
            <w:r>
              <w:rPr>
                <w:rFonts w:ascii="Cambria Math" w:hAnsi="Cambria Math"/>
                <w:b/>
                <w:bCs/>
                <w:sz w:val="24"/>
                <w:szCs w:val="24"/>
                <w:lang w:val="hy-AM"/>
              </w:rPr>
              <w:t>․</w:t>
            </w:r>
          </w:p>
        </w:tc>
      </w:tr>
      <w:tr>
        <w:trPr>
          <w:trHeight w:val="683" w:hRule="atLeast"/>
        </w:trPr>
        <w:tc>
          <w:tcPr>
            <w:tcW w:w="8280" w:type="dxa"/>
            <w:gridSpan w:val="3"/>
            <w:vMerge w:val="continue"/>
            <w:tcBorders/>
            <w:shd w:color="auto" w:fill="BFBFBF" w:themeFill="background1" w:themeFillShade="bf" w:val="clear"/>
          </w:tcPr>
          <w:p>
            <w:pPr>
              <w:pStyle w:val="Normal"/>
              <w:spacing w:lineRule="auto" w:line="276" w:before="0" w:after="0"/>
              <w:rPr>
                <w:rFonts w:ascii="GHEA Grapalat" w:hAnsi="GHEA Grapalat"/>
                <w:b/>
                <w:b/>
                <w:bCs/>
                <w:sz w:val="24"/>
                <w:szCs w:val="24"/>
                <w:lang w:val="hy-AM"/>
              </w:rPr>
            </w:pPr>
            <w:r>
              <w:rPr>
                <w:rFonts w:ascii="GHEA Grapalat" w:hAnsi="GHEA Grapalat"/>
                <w:b/>
                <w:bCs/>
                <w:sz w:val="24"/>
                <w:szCs w:val="24"/>
                <w:lang w:val="hy-AM"/>
              </w:rPr>
            </w:r>
          </w:p>
        </w:tc>
        <w:tc>
          <w:tcPr>
            <w:tcW w:w="5325" w:type="dxa"/>
            <w:tcBorders/>
            <w:shd w:color="auto" w:fill="BFBFBF" w:themeFill="background1" w:themeFillShade="bf" w:val="clear"/>
          </w:tcPr>
          <w:p>
            <w:pPr>
              <w:pStyle w:val="Normal"/>
              <w:spacing w:lineRule="auto" w:line="276" w:before="0" w:after="0"/>
              <w:jc w:val="center"/>
              <w:rPr>
                <w:b/>
                <w:b/>
                <w:bCs/>
                <w:sz w:val="24"/>
                <w:szCs w:val="24"/>
              </w:rPr>
            </w:pPr>
            <w:bookmarkStart w:id="1" w:name="_Hlk673169261"/>
            <w:bookmarkEnd w:id="1"/>
            <w:r>
              <w:rPr>
                <w:rFonts w:eastAsia="Times New Roman" w:cs="Times New Roman" w:ascii="GHEA Grapalat" w:hAnsi="GHEA Grapalat"/>
                <w:b/>
                <w:bCs/>
                <w:color w:val="000000"/>
                <w:sz w:val="24"/>
                <w:szCs w:val="24"/>
                <w:lang w:val="hy-AM"/>
              </w:rPr>
              <w:t xml:space="preserve">    </w:t>
            </w:r>
            <w:r>
              <w:rPr>
                <w:rFonts w:eastAsia="Times New Roman" w:cs="Times New Roman" w:ascii="GHEA Grapalat" w:hAnsi="GHEA Grapalat"/>
                <w:b/>
                <w:bCs/>
                <w:color w:val="000000"/>
                <w:sz w:val="24"/>
                <w:szCs w:val="24"/>
              </w:rPr>
              <w:t>N</w:t>
            </w:r>
            <w:r>
              <w:rPr>
                <w:rFonts w:eastAsia="Times New Roman" w:cs="Times New Roman" w:ascii="GHEA Grapalat" w:hAnsi="GHEA Grapalat"/>
                <w:b/>
                <w:bCs/>
                <w:color w:val="000000"/>
                <w:sz w:val="24"/>
                <w:szCs w:val="24"/>
                <w:lang w:val="hy-AM"/>
              </w:rPr>
              <w:t xml:space="preserve"> </w:t>
            </w:r>
            <w:r>
              <w:rPr>
                <w:rFonts w:eastAsia="Times New Roman" w:cs="Times New Roman" w:ascii="GHEA Grapalat" w:hAnsi="GHEA Grapalat"/>
                <w:b/>
                <w:bCs/>
                <w:i w:val="false"/>
                <w:caps w:val="false"/>
                <w:smallCaps w:val="false"/>
                <w:color w:val="000000"/>
                <w:spacing w:val="0"/>
                <w:sz w:val="24"/>
                <w:szCs w:val="24"/>
                <w:lang w:val="hy-AM"/>
              </w:rPr>
              <w:t>02/16.3/26075-2021</w:t>
            </w:r>
          </w:p>
        </w:tc>
      </w:tr>
      <w:tr>
        <w:trPr>
          <w:trHeight w:val="2970" w:hRule="atLeast"/>
        </w:trPr>
        <w:tc>
          <w:tcPr>
            <w:tcW w:w="540" w:type="dxa"/>
            <w:gridSpan w:val="2"/>
            <w:tcBorders/>
          </w:tcPr>
          <w:p>
            <w:pPr>
              <w:pStyle w:val="ListParagraph"/>
              <w:numPr>
                <w:ilvl w:val="0"/>
                <w:numId w:val="0"/>
              </w:numPr>
              <w:spacing w:lineRule="auto" w:line="276" w:before="0" w:after="0"/>
              <w:ind w:left="807" w:hanging="0"/>
              <w:contextualSpacing/>
              <w:jc w:val="left"/>
              <w:rPr>
                <w:sz w:val="24"/>
                <w:szCs w:val="24"/>
              </w:rPr>
            </w:pPr>
            <w:r>
              <w:rPr>
                <w:rFonts w:ascii="GHEA Grapalat" w:hAnsi="GHEA Grapalat"/>
                <w:sz w:val="24"/>
                <w:szCs w:val="24"/>
                <w:lang w:val="hy-AM"/>
              </w:rPr>
              <w:t>1.</w:t>
            </w:r>
          </w:p>
        </w:tc>
        <w:tc>
          <w:tcPr>
            <w:tcW w:w="7740" w:type="dxa"/>
            <w:tcBorders/>
            <w:vAlign w:val="center"/>
          </w:tcPr>
          <w:p>
            <w:pPr>
              <w:pStyle w:val="Normal"/>
              <w:shd w:val="clear" w:color="auto" w:fill="FFFFFF"/>
              <w:spacing w:lineRule="auto" w:line="276" w:before="0" w:after="0"/>
              <w:jc w:val="both"/>
              <w:rPr>
                <w:sz w:val="24"/>
                <w:szCs w:val="24"/>
              </w:rPr>
            </w:pPr>
            <w:r>
              <w:rPr>
                <w:rFonts w:eastAsia="Calibri" w:cs="Arial" w:ascii="GHEA Grapalat" w:hAnsi="GHEA Grapalat" w:eastAsiaTheme="minorHAnsi"/>
                <w:bCs/>
                <w:color w:val="auto"/>
                <w:kern w:val="0"/>
                <w:sz w:val="24"/>
                <w:szCs w:val="24"/>
                <w:lang w:val="hy-AM" w:eastAsia="en-US" w:bidi="ar-SA"/>
              </w:rPr>
              <w:t>Նախագծի 2-րդ կետում նշված է, որ բարձր տեխնոլոգիական արդյունաբերության նախարարը գույքի հանձնման֊ընդունման աշխատանքներից հետո, երկամսյա ժամկետում պետք է ապահովի գույքի նվիրատվության պայմանագրերի կնքումը, սակայն ինչ ժամկետում պետք է իրականացվեն հանձնման֊ընդունման աշխատանքները նշված չէ: Բացի այդ, հասկանալի չէ պայմանագրի՝ հանձնման֊ընդունման աշխատանքներից հետո կնքելու հանգամանքը:</w:t>
            </w:r>
          </w:p>
          <w:p>
            <w:pPr>
              <w:pStyle w:val="Normal"/>
              <w:spacing w:lineRule="auto" w:line="360" w:before="0" w:after="0"/>
              <w:rPr>
                <w:rFonts w:ascii="GHEA Grapalat" w:hAnsi="GHEA Grapalat" w:eastAsia="Calibri" w:cs="Arial" w:eastAsiaTheme="minorHAnsi"/>
                <w:color w:val="auto"/>
                <w:kern w:val="0"/>
                <w:sz w:val="24"/>
                <w:szCs w:val="24"/>
                <w:lang w:val="hy-AM" w:eastAsia="en-US" w:bidi="ar-SA"/>
              </w:rPr>
            </w:pPr>
            <w:r>
              <w:rPr>
                <w:rFonts w:eastAsia="Calibri" w:cs="Arial" w:eastAsiaTheme="minorHAnsi" w:ascii="GHEA Grapalat" w:hAnsi="GHEA Grapalat"/>
                <w:color w:val="auto"/>
                <w:kern w:val="0"/>
                <w:sz w:val="24"/>
                <w:szCs w:val="24"/>
                <w:lang w:val="hy-AM" w:eastAsia="en-US" w:bidi="ar-SA"/>
              </w:rPr>
            </w:r>
          </w:p>
        </w:tc>
        <w:tc>
          <w:tcPr>
            <w:tcW w:w="5325" w:type="dxa"/>
            <w:tcBorders/>
          </w:tcPr>
          <w:p>
            <w:pPr>
              <w:pStyle w:val="TextBody"/>
              <w:spacing w:lineRule="auto" w:line="360" w:before="0" w:after="0"/>
              <w:jc w:val="center"/>
              <w:rPr>
                <w:sz w:val="24"/>
                <w:szCs w:val="24"/>
              </w:rPr>
            </w:pPr>
            <w:r>
              <w:rPr>
                <w:rFonts w:eastAsia="Calibri" w:cs="Arial" w:ascii="GHEA Grapalat" w:hAnsi="GHEA Grapalat" w:eastAsiaTheme="minorHAnsi"/>
                <w:color w:val="auto"/>
                <w:kern w:val="0"/>
                <w:sz w:val="24"/>
                <w:szCs w:val="24"/>
                <w:lang w:val="hy-AM" w:eastAsia="en-US" w:bidi="ar-SA"/>
              </w:rPr>
              <w:t>Ընդունվել է:</w:t>
            </w:r>
          </w:p>
          <w:p>
            <w:pPr>
              <w:pStyle w:val="TextBody"/>
              <w:spacing w:lineRule="auto" w:line="360" w:before="0" w:after="0"/>
              <w:jc w:val="both"/>
              <w:rPr>
                <w:sz w:val="24"/>
                <w:szCs w:val="24"/>
              </w:rPr>
            </w:pPr>
            <w:r>
              <w:rPr>
                <w:rFonts w:eastAsia="Calibri" w:cs="Arial" w:ascii="GHEA Grapalat" w:hAnsi="GHEA Grapalat" w:eastAsiaTheme="minorHAnsi"/>
                <w:color w:val="auto"/>
                <w:kern w:val="0"/>
                <w:sz w:val="24"/>
                <w:szCs w:val="24"/>
                <w:lang w:val="hy-AM" w:eastAsia="en-US" w:bidi="ar-SA"/>
              </w:rPr>
              <w:t>ՀՀ պետական եկամուտների կոմիտեի հետ հանձնման֊ընդունման աշխատանքներն արդեն իսկ իրականացվել են։ Նախագծով առաջարկվում է սահմանել միայն երկամսյա ժամկետում գույքի նվիրատվության պայմանագրերի կնքման պահանջ։</w:t>
            </w:r>
          </w:p>
        </w:tc>
      </w:tr>
    </w:tbl>
    <w:p>
      <w:pPr>
        <w:pStyle w:val="Normal"/>
        <w:spacing w:lineRule="auto" w:line="360" w:before="0" w:after="160"/>
        <w:jc w:val="both"/>
        <w:rPr>
          <w:rFonts w:ascii="GHEA Mariam" w:hAnsi="GHEA Mariam"/>
        </w:rPr>
      </w:pPr>
      <w:r>
        <w:rPr/>
      </w:r>
    </w:p>
    <w:sectPr>
      <w:type w:val="nextPage"/>
      <w:pgSz w:orient="landscape" w:w="15538" w:h="12200"/>
      <w:pgMar w:left="1134" w:right="567" w:header="0" w:top="1080" w:footer="0" w:bottom="567" w:gutter="0"/>
      <w:pgNumType w:fmt="decimal"/>
      <w:formProt w:val="false"/>
      <w:textDirection w:val="lrTb"/>
      <w:docGrid w:type="default" w:linePitch="360" w:charSpace="4096"/>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Calibri">
    <w:charset w:val="01"/>
    <w:family w:val="roman"/>
    <w:pitch w:val="variable"/>
  </w:font>
  <w:font w:name="Arial Armenian">
    <w:charset w:val="01"/>
    <w:family w:val="roman"/>
    <w:pitch w:val="variable"/>
  </w:font>
  <w:font w:name="Segoe UI">
    <w:charset w:val="01"/>
    <w:family w:val="roman"/>
    <w:pitch w:val="variable"/>
  </w:font>
  <w:font w:name="Liberation Sans">
    <w:altName w:val="Arial"/>
    <w:charset w:val="01"/>
    <w:family w:val="roman"/>
    <w:pitch w:val="variable"/>
  </w:font>
  <w:font w:name="Times New Roman">
    <w:charset w:val="01"/>
    <w:family w:val="roman"/>
    <w:pitch w:val="variable"/>
  </w:font>
  <w:font w:name="GHEA Grapalat">
    <w:charset w:val="01"/>
    <w:family w:val="roman"/>
    <w:pitch w:val="variable"/>
  </w:font>
  <w:font w:name="Cambria Math">
    <w:charset w:val="01"/>
    <w:family w:val="roman"/>
    <w:pitch w:val="variable"/>
  </w:font>
  <w:font w:name="GHEA Mariam">
    <w:charset w:val="01"/>
    <w:family w:val="roman"/>
    <w:pitch w:val="variable"/>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decimal"/>
      <w:lvlText w:val="%1."/>
      <w:lvlJc w:val="left"/>
      <w:pPr>
        <w:tabs>
          <w:tab w:val="num" w:pos="0"/>
        </w:tabs>
        <w:ind w:left="3735" w:hanging="360"/>
      </w:pPr>
    </w:lvl>
    <w:lvl w:ilvl="1">
      <w:start w:val="1"/>
      <w:numFmt w:val="lowerLetter"/>
      <w:lvlText w:val="%2."/>
      <w:lvlJc w:val="left"/>
      <w:pPr>
        <w:tabs>
          <w:tab w:val="num" w:pos="0"/>
        </w:tabs>
        <w:ind w:left="4455" w:hanging="360"/>
      </w:pPr>
    </w:lvl>
    <w:lvl w:ilvl="2">
      <w:start w:val="1"/>
      <w:numFmt w:val="lowerRoman"/>
      <w:lvlText w:val="%3."/>
      <w:lvlJc w:val="right"/>
      <w:pPr>
        <w:tabs>
          <w:tab w:val="num" w:pos="0"/>
        </w:tabs>
        <w:ind w:left="5175" w:hanging="180"/>
      </w:pPr>
    </w:lvl>
    <w:lvl w:ilvl="3">
      <w:start w:val="1"/>
      <w:numFmt w:val="decimal"/>
      <w:lvlText w:val="%4."/>
      <w:lvlJc w:val="left"/>
      <w:pPr>
        <w:tabs>
          <w:tab w:val="num" w:pos="0"/>
        </w:tabs>
        <w:ind w:left="5895" w:hanging="360"/>
      </w:pPr>
    </w:lvl>
    <w:lvl w:ilvl="4">
      <w:start w:val="1"/>
      <w:numFmt w:val="lowerLetter"/>
      <w:lvlText w:val="%5."/>
      <w:lvlJc w:val="left"/>
      <w:pPr>
        <w:tabs>
          <w:tab w:val="num" w:pos="0"/>
        </w:tabs>
        <w:ind w:left="6615" w:hanging="360"/>
      </w:pPr>
    </w:lvl>
    <w:lvl w:ilvl="5">
      <w:start w:val="1"/>
      <w:numFmt w:val="lowerRoman"/>
      <w:lvlText w:val="%6."/>
      <w:lvlJc w:val="right"/>
      <w:pPr>
        <w:tabs>
          <w:tab w:val="num" w:pos="0"/>
        </w:tabs>
        <w:ind w:left="7335" w:hanging="180"/>
      </w:pPr>
    </w:lvl>
    <w:lvl w:ilvl="6">
      <w:start w:val="1"/>
      <w:numFmt w:val="decimal"/>
      <w:lvlText w:val="%7."/>
      <w:lvlJc w:val="left"/>
      <w:pPr>
        <w:tabs>
          <w:tab w:val="num" w:pos="0"/>
        </w:tabs>
        <w:ind w:left="8055" w:hanging="360"/>
      </w:pPr>
    </w:lvl>
    <w:lvl w:ilvl="7">
      <w:start w:val="1"/>
      <w:numFmt w:val="lowerLetter"/>
      <w:lvlText w:val="%8."/>
      <w:lvlJc w:val="left"/>
      <w:pPr>
        <w:tabs>
          <w:tab w:val="num" w:pos="0"/>
        </w:tabs>
        <w:ind w:left="8775" w:hanging="360"/>
      </w:pPr>
    </w:lvl>
    <w:lvl w:ilvl="8">
      <w:start w:val="1"/>
      <w:numFmt w:val="lowerRoman"/>
      <w:lvlText w:val="%9."/>
      <w:lvlJc w:val="right"/>
      <w:pPr>
        <w:tabs>
          <w:tab w:val="num" w:pos="0"/>
        </w:tabs>
        <w:ind w:left="9495" w:hanging="180"/>
      </w:pPr>
    </w:lvl>
  </w:abstractNum>
  <w:abstractNum w:abstractNumId="2">
    <w:lvl w:ilvl="0">
      <w:start w:val="1"/>
      <w:numFmt w:val="decimal"/>
      <w:lvlText w:val="%1."/>
      <w:lvlJc w:val="left"/>
      <w:pPr>
        <w:tabs>
          <w:tab w:val="num" w:pos="0"/>
        </w:tabs>
        <w:ind w:left="75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4">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 w:numId="3">
    <w:abstractNumId w:val="3"/>
  </w:num>
  <w:num w:numId="4">
    <w:abstractNumId w:val="4"/>
  </w:num>
</w:numbering>
</file>

<file path=word/settings.xml><?xml version="1.0" encoding="utf-8"?>
<w:settings xmlns:w="http://schemas.openxmlformats.org/wordprocessingml/2006/main">
  <w:zoom w:percent="100"/>
  <w:defaultTabStop w:val="720"/>
  <w:autoHyphenation w:val="tru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themeFontLang w:val="en-US"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Calibri" w:hAnsi="Calibri" w:eastAsia="Calibri" w:cs="" w:asciiTheme="minorHAnsi" w:cstheme="minorBidi" w:eastAsiaTheme="minorHAnsi" w:hAnsiTheme="minorHAnsi"/>
        <w:szCs w:val="22"/>
        <w:lang w:val="en-US" w:eastAsia="en-US" w:bidi="ar-SA"/>
      </w:rPr>
    </w:rPrDefault>
    <w:pPrDefault>
      <w:pPr>
        <w:suppressAutoHyphens w:val="true"/>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b574d9"/>
    <w:pPr>
      <w:widowControl/>
      <w:suppressAutoHyphens w:val="true"/>
      <w:bidi w:val="0"/>
      <w:spacing w:lineRule="auto" w:line="259" w:before="0" w:after="160"/>
      <w:jc w:val="left"/>
    </w:pPr>
    <w:rPr>
      <w:rFonts w:ascii="Calibri" w:hAnsi="Calibri" w:eastAsia="Calibri" w:cs="" w:asciiTheme="minorHAnsi" w:cstheme="minorBidi" w:eastAsiaTheme="minorHAnsi" w:hAnsiTheme="minorHAnsi"/>
      <w:color w:val="auto"/>
      <w:kern w:val="0"/>
      <w:sz w:val="22"/>
      <w:szCs w:val="22"/>
      <w:lang w:val="en-US" w:eastAsia="en-US" w:bidi="ar-SA"/>
    </w:rPr>
  </w:style>
  <w:style w:type="character" w:styleId="DefaultParagraphFont" w:default="1">
    <w:name w:val="Default Paragraph Font"/>
    <w:uiPriority w:val="1"/>
    <w:semiHidden/>
    <w:unhideWhenUsed/>
    <w:qFormat/>
    <w:rPr/>
  </w:style>
  <w:style w:type="character" w:styleId="Strong">
    <w:name w:val="Strong"/>
    <w:basedOn w:val="DefaultParagraphFont"/>
    <w:uiPriority w:val="22"/>
    <w:qFormat/>
    <w:rsid w:val="008f634a"/>
    <w:rPr>
      <w:b/>
      <w:bCs/>
    </w:rPr>
  </w:style>
  <w:style w:type="character" w:styleId="HeaderChar" w:customStyle="1">
    <w:name w:val="Header Char"/>
    <w:basedOn w:val="DefaultParagraphFont"/>
    <w:link w:val="Header"/>
    <w:uiPriority w:val="99"/>
    <w:qFormat/>
    <w:rsid w:val="00c07000"/>
    <w:rPr/>
  </w:style>
  <w:style w:type="character" w:styleId="FooterChar" w:customStyle="1">
    <w:name w:val="Footer Char"/>
    <w:basedOn w:val="DefaultParagraphFont"/>
    <w:link w:val="Footer"/>
    <w:uiPriority w:val="99"/>
    <w:qFormat/>
    <w:rsid w:val="00c07000"/>
    <w:rPr/>
  </w:style>
  <w:style w:type="character" w:styleId="NormChar" w:customStyle="1">
    <w:name w:val="norm Char"/>
    <w:link w:val="norm"/>
    <w:qFormat/>
    <w:locked/>
    <w:rsid w:val="00af3f73"/>
    <w:rPr>
      <w:rFonts w:ascii="Arial Armenian" w:hAnsi="Arial Armenian" w:eastAsia="Times New Roman" w:cs="Times New Roman"/>
      <w:lang w:val="ru-RU" w:eastAsia="ru-RU"/>
    </w:rPr>
  </w:style>
  <w:style w:type="character" w:styleId="BodyTextIndentChar" w:customStyle="1">
    <w:name w:val="Body Text Indent Char"/>
    <w:basedOn w:val="DefaultParagraphFont"/>
    <w:link w:val="BodyTextIndent"/>
    <w:uiPriority w:val="99"/>
    <w:qFormat/>
    <w:rsid w:val="00b964ef"/>
    <w:rPr>
      <w:rFonts w:ascii="Arial Armenian" w:hAnsi="Arial Armenian" w:eastAsia="Times New Roman" w:cs="Sylfaen"/>
      <w:sz w:val="24"/>
      <w:szCs w:val="24"/>
      <w:lang w:val="ru-RU" w:eastAsia="ru-RU"/>
    </w:rPr>
  </w:style>
  <w:style w:type="character" w:styleId="BalloonTextChar" w:customStyle="1">
    <w:name w:val="Balloon Text Char"/>
    <w:basedOn w:val="DefaultParagraphFont"/>
    <w:link w:val="BalloonText"/>
    <w:uiPriority w:val="99"/>
    <w:semiHidden/>
    <w:qFormat/>
    <w:rsid w:val="00d06dff"/>
    <w:rPr>
      <w:rFonts w:ascii="Segoe UI" w:hAnsi="Segoe UI" w:cs="Segoe UI"/>
      <w:sz w:val="18"/>
      <w:szCs w:val="18"/>
    </w:rPr>
  </w:style>
  <w:style w:type="paragraph" w:styleId="Heading">
    <w:name w:val="Heading"/>
    <w:basedOn w:val="Normal"/>
    <w:next w:val="TextBody"/>
    <w:qFormat/>
    <w:pPr>
      <w:keepNext w:val="true"/>
      <w:spacing w:before="240" w:after="120"/>
    </w:pPr>
    <w:rPr>
      <w:rFonts w:ascii="Liberation Sans" w:hAnsi="Liberation Sans" w:eastAsia="Noto Sans CJK SC" w:cs="Lohit Devanagari"/>
      <w:sz w:val="28"/>
      <w:szCs w:val="28"/>
    </w:rPr>
  </w:style>
  <w:style w:type="paragraph" w:styleId="TextBody">
    <w:name w:val="Body Text"/>
    <w:basedOn w:val="Normal"/>
    <w:pPr>
      <w:spacing w:lineRule="auto" w:line="276" w:before="0" w:after="140"/>
    </w:pPr>
    <w:rPr/>
  </w:style>
  <w:style w:type="paragraph" w:styleId="List">
    <w:name w:val="List"/>
    <w:basedOn w:val="TextBody"/>
    <w:pPr/>
    <w:rPr>
      <w:rFonts w:cs="Lohit Devanagari"/>
    </w:rPr>
  </w:style>
  <w:style w:type="paragraph" w:styleId="Caption">
    <w:name w:val="Caption"/>
    <w:basedOn w:val="Normal"/>
    <w:qFormat/>
    <w:pPr>
      <w:suppressLineNumbers/>
      <w:spacing w:before="120" w:after="120"/>
    </w:pPr>
    <w:rPr>
      <w:rFonts w:cs="Lohit Devanagari"/>
      <w:i/>
      <w:iCs/>
      <w:sz w:val="24"/>
      <w:szCs w:val="24"/>
    </w:rPr>
  </w:style>
  <w:style w:type="paragraph" w:styleId="Index">
    <w:name w:val="Index"/>
    <w:basedOn w:val="Normal"/>
    <w:qFormat/>
    <w:pPr>
      <w:suppressLineNumbers/>
    </w:pPr>
    <w:rPr>
      <w:rFonts w:cs="Lohit Devanagari"/>
    </w:rPr>
  </w:style>
  <w:style w:type="paragraph" w:styleId="HeaderandFooter">
    <w:name w:val="Header and Footer"/>
    <w:basedOn w:val="Normal"/>
    <w:qFormat/>
    <w:pPr/>
    <w:rPr/>
  </w:style>
  <w:style w:type="paragraph" w:styleId="Header">
    <w:name w:val="Header"/>
    <w:basedOn w:val="Normal"/>
    <w:link w:val="HeaderChar"/>
    <w:uiPriority w:val="99"/>
    <w:unhideWhenUsed/>
    <w:rsid w:val="00c07000"/>
    <w:pPr>
      <w:tabs>
        <w:tab w:val="clear" w:pos="720"/>
        <w:tab w:val="center" w:pos="4680" w:leader="none"/>
        <w:tab w:val="right" w:pos="9360" w:leader="none"/>
      </w:tabs>
      <w:spacing w:lineRule="auto" w:line="240" w:before="0" w:after="0"/>
    </w:pPr>
    <w:rPr/>
  </w:style>
  <w:style w:type="paragraph" w:styleId="Footer">
    <w:name w:val="Footer"/>
    <w:basedOn w:val="Normal"/>
    <w:link w:val="FooterChar"/>
    <w:uiPriority w:val="99"/>
    <w:unhideWhenUsed/>
    <w:rsid w:val="00c07000"/>
    <w:pPr>
      <w:tabs>
        <w:tab w:val="clear" w:pos="720"/>
        <w:tab w:val="center" w:pos="4680" w:leader="none"/>
        <w:tab w:val="right" w:pos="9360" w:leader="none"/>
      </w:tabs>
      <w:spacing w:lineRule="auto" w:line="240" w:before="0" w:after="0"/>
    </w:pPr>
    <w:rPr/>
  </w:style>
  <w:style w:type="paragraph" w:styleId="ListParagraph">
    <w:name w:val="List Paragraph"/>
    <w:basedOn w:val="Normal"/>
    <w:uiPriority w:val="34"/>
    <w:qFormat/>
    <w:rsid w:val="00ea6c10"/>
    <w:pPr>
      <w:spacing w:before="0" w:after="160"/>
      <w:ind w:left="720" w:hanging="0"/>
      <w:contextualSpacing/>
    </w:pPr>
    <w:rPr/>
  </w:style>
  <w:style w:type="paragraph" w:styleId="Norm" w:customStyle="1">
    <w:name w:val="norm"/>
    <w:basedOn w:val="Normal"/>
    <w:link w:val="normChar"/>
    <w:qFormat/>
    <w:rsid w:val="00af3f73"/>
    <w:pPr>
      <w:spacing w:lineRule="auto" w:line="480" w:before="0" w:after="0"/>
      <w:ind w:firstLine="709"/>
      <w:jc w:val="both"/>
    </w:pPr>
    <w:rPr>
      <w:rFonts w:ascii="Arial Armenian" w:hAnsi="Arial Armenian" w:eastAsia="Times New Roman" w:cs="Times New Roman"/>
      <w:lang w:val="ru-RU" w:eastAsia="ru-RU"/>
    </w:rPr>
  </w:style>
  <w:style w:type="paragraph" w:styleId="TextBodyIndent">
    <w:name w:val="Body Text Indent"/>
    <w:basedOn w:val="Normal"/>
    <w:link w:val="BodyTextIndentChar"/>
    <w:uiPriority w:val="99"/>
    <w:unhideWhenUsed/>
    <w:rsid w:val="00b964ef"/>
    <w:pPr>
      <w:spacing w:lineRule="auto" w:line="240" w:before="0" w:after="120"/>
      <w:ind w:left="283" w:hanging="0"/>
    </w:pPr>
    <w:rPr>
      <w:rFonts w:ascii="Arial Armenian" w:hAnsi="Arial Armenian" w:eastAsia="Times New Roman" w:cs="Sylfaen"/>
      <w:sz w:val="24"/>
      <w:szCs w:val="24"/>
      <w:lang w:val="ru-RU" w:eastAsia="ru-RU"/>
    </w:rPr>
  </w:style>
  <w:style w:type="paragraph" w:styleId="BalloonText">
    <w:name w:val="Balloon Text"/>
    <w:basedOn w:val="Normal"/>
    <w:link w:val="BalloonTextChar"/>
    <w:uiPriority w:val="99"/>
    <w:semiHidden/>
    <w:unhideWhenUsed/>
    <w:qFormat/>
    <w:rsid w:val="00d06dff"/>
    <w:pPr>
      <w:spacing w:lineRule="auto" w:line="240" w:before="0" w:after="0"/>
    </w:pPr>
    <w:rPr>
      <w:rFonts w:ascii="Segoe UI" w:hAnsi="Segoe UI" w:cs="Segoe UI"/>
      <w:sz w:val="18"/>
      <w:szCs w:val="18"/>
    </w:rPr>
  </w:style>
  <w:style w:type="paragraph" w:styleId="NormalWeb">
    <w:name w:val="Normal (Web)"/>
    <w:basedOn w:val="Normal"/>
    <w:qFormat/>
    <w:pPr>
      <w:spacing w:lineRule="auto" w:line="240" w:beforeAutospacing="1" w:afterAutospacing="1"/>
    </w:pPr>
    <w:rPr>
      <w:rFonts w:ascii="Times New Roman" w:hAnsi="Times New Roman" w:eastAsia="Times New Roman" w:cs="Times New Roman"/>
      <w:sz w:val="24"/>
      <w:szCs w:val="24"/>
    </w:rPr>
  </w:style>
  <w:style w:type="numbering" w:styleId="NoList" w:default="1">
    <w:name w:val="No List"/>
    <w:uiPriority w:val="99"/>
    <w:semiHidden/>
    <w:unhideWhenUsed/>
    <w:qFormat/>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table" w:styleId="TableGrid">
    <w:name w:val="Table Grid"/>
    <w:basedOn w:val="TableNormal"/>
    <w:uiPriority w:val="39"/>
    <w:rsid w:val="005b4ab4"/>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ntTable" Target="fontTable.xml"/><Relationship Id="rId4" Type="http://schemas.openxmlformats.org/officeDocument/2006/relationships/settings" Target="settings.xml"/><Relationship Id="rId5" Type="http://schemas.openxmlformats.org/officeDocument/2006/relationships/theme" Target="theme/theme1.xml"/><Relationship Id="rId6" Type="http://schemas.openxmlformats.org/officeDocument/2006/relationships/customXml" Target="../customXml/item1.xml"/>
</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412EF04-5D8D-4D5D-AC63-2DB29C63FF8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1303</TotalTime>
  <Application>LibreOffice/6.4.7.2$Linux_X86_64 LibreOffice_project/40$Build-2</Application>
  <Pages>6</Pages>
  <Words>867</Words>
  <Characters>6575</Characters>
  <CharactersWithSpaces>7459</CharactersWithSpaces>
  <Paragraphs>38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2020-11-05T11:32:00Z</dcterms:created>
  <dc:creator>Hasmik Aperyan</dc:creator>
  <dc:description/>
  <cp:keywords>https //mul2-mtc.gov.am/tasks/819255/oneclick/Naxagits.docx?token=dc6dd1bee764e8586568f4ec13654823</cp:keywords>
  <dc:language>hy-AM</dc:language>
  <cp:lastModifiedBy/>
  <cp:lastPrinted>2021-04-15T11:07:00Z</cp:lastPrinted>
  <dcterms:modified xsi:type="dcterms:W3CDTF">2021-09-01T17:26:35Z</dcterms:modified>
  <cp:revision>81</cp:revision>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DocSecurity">
    <vt:i4>0</vt:i4>
  </property>
  <property fmtid="{D5CDD505-2E9C-101B-9397-08002B2CF9AE}" pid="4" name="HyperlinksChanged">
    <vt:bool>0</vt:bool>
  </property>
  <property fmtid="{D5CDD505-2E9C-101B-9397-08002B2CF9AE}" pid="5" name="LinksUpToDate">
    <vt:bool>0</vt:bool>
  </property>
  <property fmtid="{D5CDD505-2E9C-101B-9397-08002B2CF9AE}" pid="6" name="ScaleCrop">
    <vt:bool>0</vt:bool>
  </property>
  <property fmtid="{D5CDD505-2E9C-101B-9397-08002B2CF9AE}" pid="7" name="ShareDoc">
    <vt:bool>0</vt:bool>
  </property>
</Properties>
</file>