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44" w:rsidRPr="00230E22" w:rsidRDefault="00740944" w:rsidP="00740944">
      <w:pPr>
        <w:shd w:val="clear" w:color="auto" w:fill="FFFFFF"/>
        <w:spacing w:after="0" w:line="360" w:lineRule="auto"/>
        <w:ind w:firstLine="375"/>
        <w:jc w:val="right"/>
        <w:rPr>
          <w:rFonts w:ascii="GHEA Grapalat" w:eastAsia="Times New Roman" w:hAnsi="GHEA Grapalat" w:cs="Times New Roman"/>
          <w:b/>
          <w:bCs/>
          <w:color w:val="000000"/>
          <w:sz w:val="24"/>
          <w:szCs w:val="24"/>
          <w:u w:val="single"/>
        </w:rPr>
      </w:pPr>
      <w:r w:rsidRPr="00230E22">
        <w:rPr>
          <w:rFonts w:ascii="GHEA Grapalat" w:eastAsia="Times New Roman" w:hAnsi="GHEA Grapalat" w:cs="Times New Roman"/>
          <w:b/>
          <w:bCs/>
          <w:color w:val="000000"/>
          <w:sz w:val="24"/>
          <w:szCs w:val="24"/>
          <w:u w:val="single"/>
        </w:rPr>
        <w:t>Նախագիծ</w:t>
      </w:r>
    </w:p>
    <w:p w:rsidR="00740944" w:rsidRPr="00230E22" w:rsidRDefault="00740944" w:rsidP="00740944">
      <w:pPr>
        <w:shd w:val="clear" w:color="auto" w:fill="FFFFFF"/>
        <w:spacing w:after="0" w:line="360" w:lineRule="auto"/>
        <w:ind w:firstLine="375"/>
        <w:jc w:val="right"/>
        <w:rPr>
          <w:rFonts w:ascii="GHEA Grapalat" w:eastAsia="Times New Roman" w:hAnsi="GHEA Grapalat" w:cs="Times New Roman"/>
          <w:b/>
          <w:bCs/>
          <w:color w:val="000000"/>
          <w:sz w:val="24"/>
          <w:szCs w:val="24"/>
          <w:u w:val="single"/>
        </w:rPr>
      </w:pP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ՀԱՅԱՍՏԱՆԻ ՀԱՆՐԱՊԵՏՈՒԹՅԱՆ ԿԱՌԱՎԱՐՈՒԹՅՈՒՆ</w:t>
      </w: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Sylfaen" w:eastAsia="Times New Roman" w:hAnsi="Sylfaen" w:cs="Calibri"/>
          <w:b/>
          <w:color w:val="000000"/>
          <w:sz w:val="24"/>
          <w:szCs w:val="24"/>
          <w:lang w:val="hy-AM"/>
        </w:rPr>
        <w:t> </w:t>
      </w: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Ո Ր Ո Շ ՈՒ Մ</w:t>
      </w: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Sylfaen" w:eastAsia="Times New Roman" w:hAnsi="Sylfaen" w:cs="Calibri"/>
          <w:b/>
          <w:color w:val="000000"/>
          <w:sz w:val="24"/>
          <w:szCs w:val="24"/>
          <w:lang w:val="hy-AM"/>
        </w:rPr>
        <w:t> </w:t>
      </w:r>
    </w:p>
    <w:p w:rsidR="00783079" w:rsidRPr="00230E22" w:rsidRDefault="0088600D"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color w:val="000000"/>
          <w:sz w:val="24"/>
          <w:szCs w:val="24"/>
          <w:lang w:val="hy-AM"/>
        </w:rPr>
        <w:t>___</w:t>
      </w:r>
      <w:r w:rsidR="00783079" w:rsidRPr="00230E22">
        <w:rPr>
          <w:rFonts w:ascii="GHEA Grapalat" w:eastAsia="Times New Roman" w:hAnsi="GHEA Grapalat" w:cs="Times New Roman"/>
          <w:b/>
          <w:color w:val="000000"/>
          <w:sz w:val="24"/>
          <w:szCs w:val="24"/>
          <w:lang w:val="hy-AM"/>
        </w:rPr>
        <w:t xml:space="preserve"> </w:t>
      </w:r>
      <w:r w:rsidR="0092643C" w:rsidRPr="00230E22">
        <w:rPr>
          <w:rFonts w:ascii="GHEA Grapalat" w:eastAsia="Times New Roman" w:hAnsi="GHEA Grapalat" w:cs="Times New Roman"/>
          <w:b/>
          <w:color w:val="000000"/>
          <w:sz w:val="24"/>
          <w:szCs w:val="24"/>
          <w:lang w:val="hy-AM"/>
        </w:rPr>
        <w:t>օգոստոս 2021</w:t>
      </w:r>
      <w:r w:rsidR="00783079" w:rsidRPr="00230E22">
        <w:rPr>
          <w:rFonts w:ascii="GHEA Grapalat" w:eastAsia="Times New Roman" w:hAnsi="GHEA Grapalat" w:cs="Times New Roman"/>
          <w:b/>
          <w:color w:val="000000"/>
          <w:sz w:val="24"/>
          <w:szCs w:val="24"/>
          <w:lang w:val="hy-AM"/>
        </w:rPr>
        <w:t xml:space="preserve"> թվականի N ___-Ա</w:t>
      </w: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Sylfaen" w:eastAsia="Times New Roman" w:hAnsi="Sylfaen" w:cs="Calibri"/>
          <w:b/>
          <w:color w:val="000000"/>
          <w:sz w:val="24"/>
          <w:szCs w:val="24"/>
          <w:lang w:val="hy-AM"/>
        </w:rPr>
        <w:t> </w:t>
      </w:r>
    </w:p>
    <w:p w:rsidR="00740944" w:rsidRPr="00230E22" w:rsidRDefault="00783079" w:rsidP="00740944">
      <w:pPr>
        <w:shd w:val="clear" w:color="auto" w:fill="FFFFFF"/>
        <w:spacing w:after="0" w:line="360" w:lineRule="auto"/>
        <w:jc w:val="center"/>
        <w:rPr>
          <w:rFonts w:ascii="GHEA Grapalat" w:eastAsia="Times New Roman" w:hAnsi="GHEA Grapalat" w:cs="Times New Roman"/>
          <w:b/>
          <w:bCs/>
          <w:color w:val="000000"/>
          <w:sz w:val="24"/>
          <w:szCs w:val="24"/>
          <w:lang w:val="hy-AM"/>
        </w:rPr>
      </w:pPr>
      <w:r w:rsidRPr="00230E22">
        <w:rPr>
          <w:rFonts w:ascii="GHEA Grapalat" w:eastAsia="Times New Roman" w:hAnsi="GHEA Grapalat" w:cs="Times New Roman"/>
          <w:b/>
          <w:bCs/>
          <w:color w:val="000000"/>
          <w:sz w:val="24"/>
          <w:szCs w:val="24"/>
          <w:lang w:val="hy-AM"/>
        </w:rPr>
        <w:t>«ՀԱՅԱՍՏԱՆԻ ԷԼԵԿՏՐԱԿԱՆ ՑԱՆՑԵՐ» ՓԱԿ ԲԱԺՆԵՏԻՐԱԿԱՆ ԸՆԿԵՐՈՒԹՅԱՆ</w:t>
      </w:r>
    </w:p>
    <w:p w:rsidR="00783079" w:rsidRPr="00230E22" w:rsidRDefault="00783079" w:rsidP="00740944">
      <w:pPr>
        <w:shd w:val="clear" w:color="auto" w:fill="FFFFFF"/>
        <w:spacing w:after="0" w:line="360" w:lineRule="auto"/>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 xml:space="preserve"> 100 ՏՈԿՈՍ ԲԱԺՆԵՏՈՄՍԵՐԻ</w:t>
      </w:r>
      <w:r w:rsidR="00397E62" w:rsidRPr="00230E22">
        <w:rPr>
          <w:rFonts w:ascii="GHEA Grapalat" w:eastAsia="Times New Roman" w:hAnsi="GHEA Grapalat" w:cs="Times New Roman"/>
          <w:b/>
          <w:bCs/>
          <w:color w:val="000000"/>
          <w:sz w:val="24"/>
          <w:szCs w:val="24"/>
          <w:lang w:val="hy-AM"/>
        </w:rPr>
        <w:t xml:space="preserve"> </w:t>
      </w:r>
      <w:r w:rsidRPr="00230E22">
        <w:rPr>
          <w:rFonts w:ascii="GHEA Grapalat" w:eastAsia="Times New Roman" w:hAnsi="GHEA Grapalat" w:cs="Times New Roman"/>
          <w:b/>
          <w:bCs/>
          <w:color w:val="000000"/>
          <w:sz w:val="24"/>
          <w:szCs w:val="24"/>
          <w:lang w:val="hy-AM"/>
        </w:rPr>
        <w:t>ԳՐԱՎԱԴՐՄԱՆ ԳՈՐԾԱՐՔ</w:t>
      </w:r>
      <w:r w:rsidR="007D181B" w:rsidRPr="00230E22">
        <w:rPr>
          <w:rFonts w:ascii="GHEA Grapalat" w:eastAsia="Times New Roman" w:hAnsi="GHEA Grapalat" w:cs="Times New Roman"/>
          <w:b/>
          <w:bCs/>
          <w:color w:val="000000"/>
          <w:sz w:val="24"/>
          <w:szCs w:val="24"/>
          <w:lang w:val="hy-AM"/>
        </w:rPr>
        <w:t>ՆԵՐ</w:t>
      </w:r>
      <w:r w:rsidRPr="00230E22">
        <w:rPr>
          <w:rFonts w:ascii="GHEA Grapalat" w:eastAsia="Times New Roman" w:hAnsi="GHEA Grapalat" w:cs="Times New Roman"/>
          <w:b/>
          <w:bCs/>
          <w:color w:val="000000"/>
          <w:sz w:val="24"/>
          <w:szCs w:val="24"/>
          <w:lang w:val="hy-AM"/>
        </w:rPr>
        <w:t>ԻՆ ՀԱՄԱՁԱՅՆՈՒԹՅՈՒՆ ՏԱԼՈՒ ՄԱՍԻՆ</w:t>
      </w:r>
    </w:p>
    <w:p w:rsidR="00783079" w:rsidRPr="001F13EC" w:rsidRDefault="00783079" w:rsidP="00740944">
      <w:pPr>
        <w:shd w:val="clear" w:color="auto" w:fill="FFFFFF"/>
        <w:spacing w:after="0" w:line="360" w:lineRule="auto"/>
        <w:ind w:firstLine="375"/>
        <w:rPr>
          <w:rFonts w:ascii="GHEA Grapalat" w:eastAsia="Times New Roman" w:hAnsi="GHEA Grapalat" w:cs="Times New Roman"/>
          <w:color w:val="000000"/>
          <w:sz w:val="24"/>
          <w:szCs w:val="24"/>
          <w:lang w:val="hy-AM"/>
        </w:rPr>
      </w:pPr>
      <w:r w:rsidRPr="001F13EC">
        <w:rPr>
          <w:rFonts w:ascii="Sylfaen" w:eastAsia="Times New Roman" w:hAnsi="Sylfaen" w:cs="Calibri"/>
          <w:color w:val="000000"/>
          <w:sz w:val="24"/>
          <w:szCs w:val="24"/>
          <w:lang w:val="hy-AM"/>
        </w:rPr>
        <w:t> </w:t>
      </w:r>
    </w:p>
    <w:p w:rsidR="00783079" w:rsidRPr="001F13EC" w:rsidRDefault="00783079"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Հաշվի առնելով Հայաստանի Հանրապետության կառավարությանն ուղղված</w:t>
      </w:r>
      <w:r w:rsidR="00D17F85" w:rsidRPr="00D17F85">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«Լիորմանդ Հոլդինգզ Լիմիթեդ» ընկերության և «Տաշիր Կապիտալ» փակ բաժնետիրական ընկերության գրությունները, որոնցով վերջիններս խնդրել են Հայաստանի Հանրապետության կառավարության գրավոր համաձայնությունը՝ </w:t>
      </w:r>
      <w:r w:rsidR="00585770" w:rsidRPr="001F13EC">
        <w:rPr>
          <w:rFonts w:ascii="GHEA Grapalat" w:hAnsi="GHEA Grapalat" w:cs="Arial"/>
          <w:sz w:val="24"/>
          <w:szCs w:val="24"/>
          <w:lang w:val="hy-AM"/>
        </w:rPr>
        <w:t xml:space="preserve">«Հայաստանի էլեկտրական ցանցեր» փակ բաժնետիրական ընկերության կողմից Վերակառուցման և </w:t>
      </w:r>
      <w:r w:rsidR="00063EC0" w:rsidRPr="001F13EC">
        <w:rPr>
          <w:rFonts w:ascii="GHEA Grapalat" w:hAnsi="GHEA Grapalat" w:cs="Arial"/>
          <w:sz w:val="24"/>
          <w:szCs w:val="24"/>
          <w:lang w:val="hy-AM"/>
        </w:rPr>
        <w:t>զ</w:t>
      </w:r>
      <w:r w:rsidR="00585770" w:rsidRPr="001F13EC">
        <w:rPr>
          <w:rFonts w:ascii="GHEA Grapalat" w:hAnsi="GHEA Grapalat" w:cs="Arial"/>
          <w:sz w:val="24"/>
          <w:szCs w:val="24"/>
          <w:lang w:val="hy-AM"/>
        </w:rPr>
        <w:t xml:space="preserve">արգացման </w:t>
      </w:r>
      <w:r w:rsidR="00063EC0" w:rsidRPr="001F13EC">
        <w:rPr>
          <w:rFonts w:ascii="GHEA Grapalat" w:hAnsi="GHEA Grapalat" w:cs="Arial"/>
          <w:sz w:val="24"/>
          <w:szCs w:val="24"/>
          <w:lang w:val="hy-AM"/>
        </w:rPr>
        <w:t>ե</w:t>
      </w:r>
      <w:r w:rsidR="00585770" w:rsidRPr="001F13EC">
        <w:rPr>
          <w:rFonts w:ascii="GHEA Grapalat" w:hAnsi="GHEA Grapalat" w:cs="Arial"/>
          <w:sz w:val="24"/>
          <w:szCs w:val="24"/>
          <w:lang w:val="hy-AM"/>
        </w:rPr>
        <w:t xml:space="preserve">վրոպական </w:t>
      </w:r>
      <w:r w:rsidR="00063EC0" w:rsidRPr="001F13EC">
        <w:rPr>
          <w:rFonts w:ascii="GHEA Grapalat" w:hAnsi="GHEA Grapalat" w:cs="Arial"/>
          <w:sz w:val="24"/>
          <w:szCs w:val="24"/>
          <w:lang w:val="hy-AM"/>
        </w:rPr>
        <w:t>բ</w:t>
      </w:r>
      <w:r w:rsidR="00585770" w:rsidRPr="001F13EC">
        <w:rPr>
          <w:rFonts w:ascii="GHEA Grapalat" w:hAnsi="GHEA Grapalat" w:cs="Arial"/>
          <w:sz w:val="24"/>
          <w:szCs w:val="24"/>
          <w:lang w:val="hy-AM"/>
        </w:rPr>
        <w:t>անկ</w:t>
      </w:r>
      <w:r w:rsidR="002C30FD" w:rsidRPr="001F13EC">
        <w:rPr>
          <w:rFonts w:ascii="GHEA Grapalat" w:hAnsi="GHEA Grapalat" w:cs="Arial"/>
          <w:sz w:val="24"/>
          <w:szCs w:val="24"/>
          <w:lang w:val="hy-AM"/>
        </w:rPr>
        <w:t>ի</w:t>
      </w:r>
      <w:r w:rsidR="003F6BDC" w:rsidRPr="001F13EC">
        <w:rPr>
          <w:rFonts w:ascii="GHEA Grapalat" w:hAnsi="GHEA Grapalat" w:cs="Arial"/>
          <w:sz w:val="24"/>
          <w:szCs w:val="24"/>
          <w:lang w:val="hy-AM"/>
        </w:rPr>
        <w:t>ց</w:t>
      </w:r>
      <w:r w:rsidR="00865317" w:rsidRPr="001F13EC">
        <w:rPr>
          <w:rFonts w:ascii="GHEA Grapalat" w:hAnsi="GHEA Grapalat" w:cs="Arial"/>
          <w:sz w:val="24"/>
          <w:szCs w:val="24"/>
          <w:lang w:val="hy-AM"/>
        </w:rPr>
        <w:t xml:space="preserve"> </w:t>
      </w:r>
      <w:r w:rsidR="00060A31" w:rsidRPr="001F13EC">
        <w:rPr>
          <w:rFonts w:ascii="GHEA Grapalat" w:hAnsi="GHEA Grapalat" w:cs="Arial"/>
          <w:sz w:val="24"/>
          <w:szCs w:val="24"/>
          <w:lang w:val="hy-AM"/>
        </w:rPr>
        <w:t xml:space="preserve">մինչև </w:t>
      </w:r>
      <w:r w:rsidR="006E5CBF" w:rsidRPr="001F13EC">
        <w:rPr>
          <w:rFonts w:ascii="GHEA Grapalat" w:hAnsi="GHEA Grapalat" w:cs="Arial"/>
          <w:sz w:val="24"/>
          <w:szCs w:val="24"/>
          <w:lang w:val="hy-AM"/>
        </w:rPr>
        <w:t>70</w:t>
      </w:r>
      <w:r w:rsidR="0092643C" w:rsidRPr="001F13EC">
        <w:rPr>
          <w:rFonts w:ascii="GHEA Grapalat" w:hAnsi="GHEA Grapalat" w:cs="Arial"/>
          <w:sz w:val="24"/>
          <w:szCs w:val="24"/>
          <w:lang w:val="hy-AM"/>
        </w:rPr>
        <w:t>,000,</w:t>
      </w:r>
      <w:r w:rsidR="00060A31" w:rsidRPr="001F13EC">
        <w:rPr>
          <w:rFonts w:ascii="GHEA Grapalat" w:hAnsi="GHEA Grapalat" w:cs="Arial"/>
          <w:sz w:val="24"/>
          <w:szCs w:val="24"/>
          <w:lang w:val="hy-AM"/>
        </w:rPr>
        <w:t xml:space="preserve">000 ԱՄՆ դոլար </w:t>
      </w:r>
      <w:r w:rsidR="00585770" w:rsidRPr="001F13EC">
        <w:rPr>
          <w:rFonts w:ascii="GHEA Grapalat" w:hAnsi="GHEA Grapalat" w:cs="Arial"/>
          <w:sz w:val="24"/>
          <w:szCs w:val="24"/>
          <w:lang w:val="hy-AM"/>
        </w:rPr>
        <w:t xml:space="preserve">և Ասիական </w:t>
      </w:r>
      <w:r w:rsidR="00063EC0" w:rsidRPr="001F13EC">
        <w:rPr>
          <w:rFonts w:ascii="GHEA Grapalat" w:hAnsi="GHEA Grapalat" w:cs="Arial"/>
          <w:sz w:val="24"/>
          <w:szCs w:val="24"/>
          <w:lang w:val="hy-AM"/>
        </w:rPr>
        <w:t>զ</w:t>
      </w:r>
      <w:r w:rsidR="00585770" w:rsidRPr="001F13EC">
        <w:rPr>
          <w:rFonts w:ascii="GHEA Grapalat" w:hAnsi="GHEA Grapalat" w:cs="Arial"/>
          <w:sz w:val="24"/>
          <w:szCs w:val="24"/>
          <w:lang w:val="hy-AM"/>
        </w:rPr>
        <w:t xml:space="preserve">արգացման </w:t>
      </w:r>
      <w:r w:rsidR="00063EC0" w:rsidRPr="001F13EC">
        <w:rPr>
          <w:rFonts w:ascii="GHEA Grapalat" w:hAnsi="GHEA Grapalat" w:cs="Arial"/>
          <w:sz w:val="24"/>
          <w:szCs w:val="24"/>
          <w:lang w:val="hy-AM"/>
        </w:rPr>
        <w:t>բ</w:t>
      </w:r>
      <w:r w:rsidR="00585770" w:rsidRPr="001F13EC">
        <w:rPr>
          <w:rFonts w:ascii="GHEA Grapalat" w:hAnsi="GHEA Grapalat" w:cs="Arial"/>
          <w:sz w:val="24"/>
          <w:szCs w:val="24"/>
          <w:lang w:val="hy-AM"/>
        </w:rPr>
        <w:t>անկի</w:t>
      </w:r>
      <w:r w:rsidR="000931B6" w:rsidRPr="001F13EC">
        <w:rPr>
          <w:rFonts w:ascii="GHEA Grapalat" w:hAnsi="GHEA Grapalat" w:cs="Arial"/>
          <w:sz w:val="24"/>
          <w:szCs w:val="24"/>
          <w:lang w:val="hy-AM"/>
        </w:rPr>
        <w:t>ց</w:t>
      </w:r>
      <w:r w:rsidR="00060A31" w:rsidRPr="001F13EC">
        <w:rPr>
          <w:rFonts w:ascii="GHEA Grapalat" w:hAnsi="GHEA Grapalat" w:cs="Arial"/>
          <w:sz w:val="24"/>
          <w:szCs w:val="24"/>
          <w:lang w:val="hy-AM"/>
        </w:rPr>
        <w:t xml:space="preserve"> </w:t>
      </w:r>
      <w:r w:rsidR="00D17F85" w:rsidRPr="001F13EC">
        <w:rPr>
          <w:rFonts w:ascii="GHEA Grapalat" w:hAnsi="GHEA Grapalat" w:cs="Arial"/>
          <w:sz w:val="24"/>
          <w:szCs w:val="24"/>
          <w:lang w:val="hy-AM"/>
        </w:rPr>
        <w:t xml:space="preserve">մինչև </w:t>
      </w:r>
      <w:r w:rsidR="006E5CBF" w:rsidRPr="001F13EC">
        <w:rPr>
          <w:rFonts w:ascii="GHEA Grapalat" w:hAnsi="GHEA Grapalat" w:cs="Arial"/>
          <w:sz w:val="24"/>
          <w:szCs w:val="24"/>
          <w:lang w:val="hy-AM"/>
        </w:rPr>
        <w:t>35</w:t>
      </w:r>
      <w:r w:rsidR="0092643C" w:rsidRPr="001F13EC">
        <w:rPr>
          <w:rFonts w:ascii="GHEA Grapalat" w:hAnsi="GHEA Grapalat" w:cs="Arial"/>
          <w:sz w:val="24"/>
          <w:szCs w:val="24"/>
          <w:lang w:val="hy-AM"/>
        </w:rPr>
        <w:t>,000,</w:t>
      </w:r>
      <w:r w:rsidR="00060A31" w:rsidRPr="001F13EC">
        <w:rPr>
          <w:rFonts w:ascii="GHEA Grapalat" w:hAnsi="GHEA Grapalat" w:cs="Arial"/>
          <w:sz w:val="24"/>
          <w:szCs w:val="24"/>
          <w:lang w:val="hy-AM"/>
        </w:rPr>
        <w:t>000 ԱՄՆ դոլար</w:t>
      </w:r>
      <w:r w:rsidR="008E0453"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w:t>
      </w:r>
      <w:r w:rsidR="00AC0B5B" w:rsidRPr="001F13EC">
        <w:rPr>
          <w:rFonts w:ascii="GHEA Grapalat" w:eastAsia="Times New Roman" w:hAnsi="GHEA Grapalat" w:cs="Times New Roman"/>
          <w:color w:val="000000"/>
          <w:sz w:val="24"/>
          <w:szCs w:val="24"/>
          <w:lang w:val="hy-AM"/>
        </w:rPr>
        <w:t>ինչպես նաև Միջազգային ֆինանսական կորպորացիայից</w:t>
      </w:r>
      <w:r w:rsidR="00060A31" w:rsidRPr="001F13EC">
        <w:rPr>
          <w:rFonts w:ascii="GHEA Grapalat" w:eastAsia="Times New Roman" w:hAnsi="GHEA Grapalat" w:cs="Times New Roman"/>
          <w:color w:val="000000"/>
          <w:sz w:val="24"/>
          <w:szCs w:val="24"/>
          <w:lang w:val="hy-AM"/>
        </w:rPr>
        <w:t xml:space="preserve"> </w:t>
      </w:r>
      <w:r w:rsidR="00D17F85" w:rsidRPr="001F13EC">
        <w:rPr>
          <w:rFonts w:ascii="GHEA Grapalat" w:hAnsi="GHEA Grapalat" w:cs="Arial"/>
          <w:sz w:val="24"/>
          <w:szCs w:val="24"/>
          <w:lang w:val="hy-AM"/>
        </w:rPr>
        <w:t>մինչև</w:t>
      </w:r>
      <w:r w:rsidR="00D17F85" w:rsidRPr="001F13EC">
        <w:rPr>
          <w:rFonts w:ascii="GHEA Grapalat" w:eastAsia="Times New Roman" w:hAnsi="GHEA Grapalat" w:cs="Times New Roman"/>
          <w:color w:val="000000"/>
          <w:sz w:val="24"/>
          <w:szCs w:val="24"/>
          <w:lang w:val="hy-AM"/>
        </w:rPr>
        <w:t xml:space="preserve"> </w:t>
      </w:r>
      <w:r w:rsidR="006E5CBF" w:rsidRPr="001F13EC">
        <w:rPr>
          <w:rFonts w:ascii="GHEA Grapalat" w:eastAsia="Times New Roman" w:hAnsi="GHEA Grapalat" w:cs="Times New Roman"/>
          <w:color w:val="000000"/>
          <w:sz w:val="24"/>
          <w:szCs w:val="24"/>
          <w:lang w:val="hy-AM"/>
        </w:rPr>
        <w:t>20</w:t>
      </w:r>
      <w:r w:rsidR="0092643C" w:rsidRPr="001F13EC">
        <w:rPr>
          <w:rFonts w:ascii="GHEA Grapalat" w:eastAsia="Times New Roman" w:hAnsi="GHEA Grapalat" w:cs="Times New Roman"/>
          <w:color w:val="000000"/>
          <w:sz w:val="24"/>
          <w:szCs w:val="24"/>
          <w:lang w:val="hy-AM"/>
        </w:rPr>
        <w:t xml:space="preserve">,000,000 ԱՄՆ </w:t>
      </w:r>
      <w:r w:rsidR="00060A31" w:rsidRPr="001F13EC">
        <w:rPr>
          <w:rFonts w:ascii="GHEA Grapalat" w:eastAsia="Times New Roman" w:hAnsi="GHEA Grapalat" w:cs="Times New Roman"/>
          <w:color w:val="000000"/>
          <w:sz w:val="24"/>
          <w:szCs w:val="24"/>
          <w:lang w:val="hy-AM"/>
        </w:rPr>
        <w:t xml:space="preserve">դոլար </w:t>
      </w:r>
      <w:r w:rsidRPr="001F13EC">
        <w:rPr>
          <w:rFonts w:ascii="GHEA Grapalat" w:eastAsia="Times New Roman" w:hAnsi="GHEA Grapalat" w:cs="Times New Roman"/>
          <w:color w:val="000000"/>
          <w:sz w:val="24"/>
          <w:szCs w:val="24"/>
          <w:lang w:val="hy-AM"/>
        </w:rPr>
        <w:t>վարկային միջոցներ ներգրավելու նպատակով</w:t>
      </w:r>
      <w:r w:rsidR="000931B6" w:rsidRPr="001F13EC">
        <w:rPr>
          <w:rFonts w:ascii="GHEA Grapalat" w:eastAsia="Times New Roman" w:hAnsi="GHEA Grapalat" w:cs="Times New Roman"/>
          <w:color w:val="000000"/>
          <w:sz w:val="24"/>
          <w:szCs w:val="24"/>
          <w:lang w:val="hy-AM"/>
        </w:rPr>
        <w:t>, որպես</w:t>
      </w:r>
      <w:r w:rsidR="00C35A6D" w:rsidRPr="001F13EC">
        <w:rPr>
          <w:rFonts w:ascii="GHEA Grapalat" w:hAnsi="GHEA Grapalat" w:cs="Arial"/>
          <w:sz w:val="24"/>
          <w:szCs w:val="24"/>
          <w:lang w:val="hy-AM"/>
        </w:rPr>
        <w:t xml:space="preserve"> </w:t>
      </w:r>
      <w:r w:rsidR="00585770" w:rsidRPr="001F13EC">
        <w:rPr>
          <w:rFonts w:ascii="GHEA Grapalat" w:hAnsi="GHEA Grapalat" w:cs="Arial"/>
          <w:sz w:val="24"/>
          <w:szCs w:val="24"/>
          <w:lang w:val="hy-AM"/>
        </w:rPr>
        <w:t>ապահովման միջոց</w:t>
      </w:r>
      <w:r w:rsidR="000931B6"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սեփականության իրավունքով «Լիորմանդ Հոլդինգզ Լիմիթեդ» ընկերությանը պատկանող</w:t>
      </w:r>
      <w:r w:rsidR="00C35A6D"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30</w:t>
      </w:r>
      <w:r w:rsidR="00B26CF6"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00004</w:t>
      </w:r>
      <w:r w:rsidR="0092643C" w:rsidRPr="001F13EC">
        <w:rPr>
          <w:rFonts w:ascii="GHEA Grapalat" w:eastAsia="Times New Roman" w:hAnsi="GHEA Grapalat" w:cs="Times New Roman"/>
          <w:color w:val="000000"/>
          <w:sz w:val="24"/>
          <w:szCs w:val="24"/>
          <w:lang w:val="hy-AM"/>
        </w:rPr>
        <w:t>1</w:t>
      </w:r>
      <w:r w:rsidRPr="001F13EC">
        <w:rPr>
          <w:rFonts w:ascii="GHEA Grapalat" w:eastAsia="Times New Roman" w:hAnsi="GHEA Grapalat" w:cs="Times New Roman"/>
          <w:color w:val="000000"/>
          <w:sz w:val="24"/>
          <w:szCs w:val="24"/>
          <w:lang w:val="hy-AM"/>
        </w:rPr>
        <w:t xml:space="preserve"> տոկոսը կազմող՝ 73927 հատ սովորական բաժնետոմսերի և «Տաշիր Կապիտալ» փակ բաժնետիրական ընկերությանը պատկանող</w:t>
      </w:r>
      <w:r w:rsidR="00C35A6D"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69,999959 տոկոսը կազմող՝ 172496 հատ սովորական բաժնետոմսերի</w:t>
      </w:r>
      <w:r w:rsidR="00274AC6" w:rsidRPr="001F13EC">
        <w:rPr>
          <w:rFonts w:ascii="GHEA Grapalat" w:eastAsia="Times New Roman" w:hAnsi="GHEA Grapalat" w:cs="Times New Roman"/>
          <w:color w:val="000000"/>
          <w:sz w:val="24"/>
          <w:szCs w:val="24"/>
          <w:lang w:val="hy-AM"/>
        </w:rPr>
        <w:t xml:space="preserve">, </w:t>
      </w:r>
      <w:r w:rsidR="0016012C" w:rsidRPr="001F13EC">
        <w:rPr>
          <w:rFonts w:ascii="GHEA Grapalat" w:eastAsia="Times New Roman" w:hAnsi="GHEA Grapalat" w:cs="Times New Roman"/>
          <w:color w:val="000000"/>
          <w:sz w:val="24"/>
          <w:szCs w:val="24"/>
          <w:lang w:val="hy-AM"/>
        </w:rPr>
        <w:t xml:space="preserve">ընդամենը՝ «Հայաստանի էլեկտրական ցանցեր» փակ բաժնետիրական ընկերության կանոնադրական կապիտալի 100 տոկոսը կազմող՝ 246423 հատ սովորական բաժնետոմսերի, ինչպես նաև ապագայում թողարկվող </w:t>
      </w:r>
      <w:r w:rsidR="0016012C" w:rsidRPr="001F13EC">
        <w:rPr>
          <w:rFonts w:ascii="GHEA Grapalat" w:eastAsia="Times New Roman" w:hAnsi="GHEA Grapalat" w:cs="Times New Roman"/>
          <w:color w:val="000000"/>
          <w:sz w:val="24"/>
          <w:szCs w:val="24"/>
          <w:lang w:val="hy-AM"/>
        </w:rPr>
        <w:lastRenderedPageBreak/>
        <w:t xml:space="preserve">բաժնետոմսերի, եթե այդպիսիք լինեն, </w:t>
      </w:r>
      <w:r w:rsidRPr="001F13EC">
        <w:rPr>
          <w:rFonts w:ascii="GHEA Grapalat" w:eastAsia="Times New Roman" w:hAnsi="GHEA Grapalat" w:cs="Times New Roman"/>
          <w:color w:val="000000"/>
          <w:sz w:val="24"/>
          <w:szCs w:val="24"/>
          <w:lang w:val="hy-AM"/>
        </w:rPr>
        <w:t>գրավադրման համար,</w:t>
      </w:r>
      <w:r w:rsidR="009C0151" w:rsidRPr="001F13EC">
        <w:rPr>
          <w:rFonts w:ascii="GHEA Grapalat" w:eastAsia="Times New Roman" w:hAnsi="GHEA Grapalat" w:cs="Times New Roman"/>
          <w:color w:val="000000"/>
          <w:sz w:val="24"/>
          <w:szCs w:val="24"/>
          <w:lang w:val="hy-AM"/>
        </w:rPr>
        <w:t xml:space="preserve"> ի</w:t>
      </w:r>
      <w:r w:rsidR="00AD4764" w:rsidRPr="001F13EC">
        <w:rPr>
          <w:rFonts w:ascii="GHEA Grapalat" w:eastAsia="Times New Roman" w:hAnsi="GHEA Grapalat" w:cs="Times New Roman"/>
          <w:color w:val="000000"/>
          <w:sz w:val="24"/>
          <w:szCs w:val="24"/>
          <w:lang w:val="hy-AM"/>
        </w:rPr>
        <w:t>նչպես նաև այն</w:t>
      </w:r>
      <w:r w:rsidRPr="001F13EC">
        <w:rPr>
          <w:rFonts w:ascii="GHEA Grapalat" w:eastAsia="Times New Roman" w:hAnsi="GHEA Grapalat" w:cs="Times New Roman"/>
          <w:color w:val="000000"/>
          <w:sz w:val="24"/>
          <w:szCs w:val="24"/>
          <w:lang w:val="hy-AM"/>
        </w:rPr>
        <w:t xml:space="preserve">, որ «Լիորմանդ Հոլդինգզ Լիմիթեդ» ընկերության, «Տաշիր Կապիտալ» փակ բաժնետիրական ընկերության և «Կասկադ-Էներգացանց» սահմանափակ պատասխանատվությամբ ընկերության միջև 2017 թվականի ապրիլի 13-ին կնքված համաձայնագրով՝ «Կասկադ-Էներգացանց» սահմանափակ պատասխանատվությամբ ընկերությունը համապարտ պատասխանատվություն է ստանձնել Հայաստանի Հանրապետության կառավարության և «Միդլենդ Ռեսուրսիս Հոլդինգ Լիմիթեդ» ընկերության միջև 2002 թվականի օգոստոսի </w:t>
      </w:r>
      <w:r w:rsidR="00373785"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26-ին կնքված</w:t>
      </w:r>
      <w:r w:rsidR="00E54F8B" w:rsidRPr="00E54F8B">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բաժնետոմսերի վաճառքի պայմանագրից (հետագա բոլոր լրացումներով), ինչպես նաև Հայաստանի Հանրապետության կառավարության, «Լիորմանդ Հոլդինգզ Լիմիթեդ» ընկերության և «Կասկադ-Էներգացանց» սահմանափակ պատասխանատվությամբ ընկերության միջև 2015 թվականի հոկտեմբերի 30-ին կնքված համաձայնագրից, «Էներգետիկայի մասին», «Երևանի էլեկտրացանց», «Հյուսիսային էլեկտրացանց», «Հարավային էլեկտրացանց» և «Կենտրոնական էլեկտրացանց» փակ բաժնետիրական ընկերությունների մասնավորեցման մասին» Հայաստանի Հանրապետության օրենքներից բխող՝ «Լիորմանդ Հոլդինգզ Լիմիթեդ» ընկերության (գնորդի) և «Տաշիր Կապիտալ» փակ բաժնետիրական ընկերության (գնորդի) բոլոր պարտավորությունների համար</w:t>
      </w:r>
      <w:r w:rsidR="00AD4764" w:rsidRPr="001F13EC">
        <w:rPr>
          <w:rFonts w:ascii="GHEA Grapalat" w:eastAsia="Times New Roman" w:hAnsi="GHEA Grapalat" w:cs="Times New Roman"/>
          <w:color w:val="000000"/>
          <w:sz w:val="24"/>
          <w:szCs w:val="24"/>
          <w:lang w:val="hy-AM"/>
        </w:rPr>
        <w:t xml:space="preserve">՝ ներառյալ նաև այն, որ </w:t>
      </w:r>
      <w:r w:rsidR="00274AC6" w:rsidRPr="001F13EC">
        <w:rPr>
          <w:rFonts w:ascii="GHEA Grapalat" w:eastAsia="Times New Roman" w:hAnsi="GHEA Grapalat" w:cs="Times New Roman"/>
          <w:color w:val="000000"/>
          <w:sz w:val="24"/>
          <w:szCs w:val="24"/>
          <w:lang w:val="hy-AM"/>
        </w:rPr>
        <w:t xml:space="preserve"> </w:t>
      </w:r>
      <w:r w:rsidR="00D02FF1" w:rsidRPr="001F13EC">
        <w:rPr>
          <w:rFonts w:ascii="GHEA Grapalat" w:eastAsia="Times New Roman" w:hAnsi="GHEA Grapalat" w:cs="Times New Roman"/>
          <w:color w:val="000000"/>
          <w:sz w:val="24"/>
          <w:szCs w:val="24"/>
          <w:lang w:val="hy-AM"/>
        </w:rPr>
        <w:t>Հայաստանի Հանրապետության կառավարության և «Միդլենդ Ռեսուրսիս Հոլդինգ Լիմիթեդ» ընկերության միջև 2002 թվականի օգոստոսի  26-ին կնքված</w:t>
      </w:r>
      <w:r w:rsidR="00D02FF1" w:rsidRPr="00E54F8B">
        <w:rPr>
          <w:rFonts w:ascii="GHEA Grapalat" w:eastAsia="Times New Roman" w:hAnsi="GHEA Grapalat" w:cs="Times New Roman"/>
          <w:color w:val="000000"/>
          <w:sz w:val="24"/>
          <w:szCs w:val="24"/>
          <w:lang w:val="hy-AM"/>
        </w:rPr>
        <w:t>`</w:t>
      </w:r>
      <w:r w:rsidR="00D02FF1"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բաժնետոմսերի վաճառքի պայմանագրի </w:t>
      </w:r>
      <w:r w:rsidR="004E51D2">
        <w:rPr>
          <w:rFonts w:ascii="GHEA Grapalat" w:eastAsia="Times New Roman" w:hAnsi="GHEA Grapalat" w:cs="Times New Roman"/>
          <w:color w:val="000000"/>
          <w:sz w:val="24"/>
          <w:szCs w:val="24"/>
          <w:lang w:val="hy-AM"/>
        </w:rPr>
        <w:t>6.</w:t>
      </w:r>
      <w:bookmarkStart w:id="0" w:name="_GoBack"/>
      <w:bookmarkEnd w:id="0"/>
      <w:r w:rsidR="00D02FF1" w:rsidRPr="00D02FF1">
        <w:rPr>
          <w:rFonts w:ascii="GHEA Grapalat" w:eastAsia="Times New Roman" w:hAnsi="GHEA Grapalat" w:cs="Times New Roman"/>
          <w:color w:val="000000"/>
          <w:sz w:val="24"/>
          <w:szCs w:val="24"/>
          <w:lang w:val="hy-AM"/>
        </w:rPr>
        <w:t xml:space="preserve">2 </w:t>
      </w:r>
      <w:r w:rsidR="0076713F">
        <w:rPr>
          <w:rFonts w:ascii="GHEA Grapalat" w:eastAsia="Times New Roman" w:hAnsi="GHEA Grapalat" w:cs="Times New Roman"/>
          <w:color w:val="000000"/>
          <w:sz w:val="24"/>
          <w:szCs w:val="24"/>
          <w:lang w:val="hy-AM"/>
        </w:rPr>
        <w:t>կետի</w:t>
      </w:r>
      <w:r w:rsidR="00D02FF1" w:rsidRPr="00D02FF1">
        <w:rPr>
          <w:rFonts w:ascii="GHEA Grapalat" w:eastAsia="Times New Roman" w:hAnsi="GHEA Grapalat" w:cs="Times New Roman"/>
          <w:color w:val="000000"/>
          <w:sz w:val="24"/>
          <w:szCs w:val="24"/>
          <w:lang w:val="hy-AM"/>
        </w:rPr>
        <w:t xml:space="preserve"> համաձայն՝ </w:t>
      </w:r>
      <w:r w:rsidRPr="001F13EC">
        <w:rPr>
          <w:rFonts w:ascii="GHEA Grapalat" w:eastAsia="Times New Roman" w:hAnsi="GHEA Grapalat" w:cs="Times New Roman"/>
          <w:color w:val="000000"/>
          <w:sz w:val="24"/>
          <w:szCs w:val="24"/>
          <w:lang w:val="hy-AM"/>
        </w:rPr>
        <w:t>գնորդը չպետք է «Հայաստանի էլեկտրական ցանցեր» փակ բաժնետիրական ընկերության 67 տոկոս բաժնետոմսերը ծանրաբեռնի կամ օտարի՝ առանց նախօրոք ստանալու Հայաստանի Հանրապետության կառավարության և Հայաստանի Հանրապետության հանրային ծառայությունները կարգավորող հանձնա</w:t>
      </w:r>
      <w:r w:rsidR="0088600D" w:rsidRPr="001F13EC">
        <w:rPr>
          <w:rFonts w:ascii="GHEA Grapalat" w:eastAsia="Times New Roman" w:hAnsi="GHEA Grapalat" w:cs="Times New Roman"/>
          <w:color w:val="000000"/>
          <w:sz w:val="24"/>
          <w:szCs w:val="24"/>
          <w:lang w:val="hy-AM"/>
        </w:rPr>
        <w:t>ժողովի գրավոր համաձայնությունը</w:t>
      </w:r>
      <w:r w:rsidRPr="001F13EC">
        <w:rPr>
          <w:rFonts w:ascii="GHEA Grapalat" w:eastAsia="Times New Roman" w:hAnsi="GHEA Grapalat" w:cs="Times New Roman"/>
          <w:color w:val="000000"/>
          <w:sz w:val="24"/>
          <w:szCs w:val="24"/>
          <w:lang w:val="hy-AM"/>
        </w:rPr>
        <w:t>՝ Հայաստանի Հանրապետության կառավարությունը</w:t>
      </w:r>
      <w:r w:rsidRPr="001F13EC">
        <w:rPr>
          <w:rFonts w:ascii="Sylfaen" w:eastAsia="Times New Roman" w:hAnsi="Sylfaen" w:cs="Calibri"/>
          <w:color w:val="000000"/>
          <w:sz w:val="24"/>
          <w:szCs w:val="24"/>
          <w:lang w:val="hy-AM"/>
        </w:rPr>
        <w:t> </w:t>
      </w:r>
      <w:r w:rsidRPr="001F13EC">
        <w:rPr>
          <w:rFonts w:ascii="GHEA Grapalat" w:eastAsia="Times New Roman" w:hAnsi="GHEA Grapalat" w:cs="Times New Roman"/>
          <w:bCs/>
          <w:i/>
          <w:iCs/>
          <w:color w:val="000000"/>
          <w:sz w:val="24"/>
          <w:szCs w:val="24"/>
          <w:lang w:val="hy-AM"/>
        </w:rPr>
        <w:t>որոշում է.</w:t>
      </w:r>
    </w:p>
    <w:p w:rsidR="0088600D" w:rsidRPr="001F13EC" w:rsidRDefault="00783079" w:rsidP="00230E22">
      <w:pPr>
        <w:pStyle w:val="ListParagraph"/>
        <w:numPr>
          <w:ilvl w:val="0"/>
          <w:numId w:val="1"/>
        </w:numPr>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 xml:space="preserve">Հաստատել </w:t>
      </w:r>
      <w:r w:rsidR="00623355" w:rsidRPr="001F13EC">
        <w:rPr>
          <w:rFonts w:ascii="GHEA Grapalat" w:eastAsia="Times New Roman" w:hAnsi="GHEA Grapalat" w:cs="Times New Roman"/>
          <w:color w:val="000000"/>
          <w:sz w:val="24"/>
          <w:szCs w:val="24"/>
          <w:lang w:val="hy-AM"/>
        </w:rPr>
        <w:t xml:space="preserve">«Հայաստանի էլեկտրական ցանցեր» փակ բաժնետիրական ընկերության կողմից Վերակառուցման և զարգացման եվրոպական բանկից և Ասիական </w:t>
      </w:r>
      <w:r w:rsidR="00623355" w:rsidRPr="001F13EC">
        <w:rPr>
          <w:rFonts w:ascii="GHEA Grapalat" w:eastAsia="Times New Roman" w:hAnsi="GHEA Grapalat" w:cs="Times New Roman"/>
          <w:color w:val="000000"/>
          <w:sz w:val="24"/>
          <w:szCs w:val="24"/>
          <w:lang w:val="hy-AM"/>
        </w:rPr>
        <w:lastRenderedPageBreak/>
        <w:t>զարգացման բանկից վարկային միջոցներ ներգրավելու նպատակով, որպես ապահովման միջոց</w:t>
      </w:r>
      <w:r w:rsidR="00E54F8B" w:rsidRPr="00E54F8B">
        <w:rPr>
          <w:rFonts w:ascii="GHEA Grapalat" w:eastAsia="Times New Roman" w:hAnsi="GHEA Grapalat" w:cs="Times New Roman"/>
          <w:color w:val="000000"/>
          <w:sz w:val="24"/>
          <w:szCs w:val="24"/>
          <w:lang w:val="hy-AM"/>
        </w:rPr>
        <w:t>,</w:t>
      </w:r>
      <w:r w:rsidR="00623355"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«Լիորմանդ Հոլդինգզ Լիմիթեդ» ընկերությանը պատկանող</w:t>
      </w:r>
      <w:r w:rsidR="00461F89"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w:t>
      </w:r>
      <w:r w:rsidR="00C422D9" w:rsidRPr="001F13EC">
        <w:rPr>
          <w:rFonts w:ascii="GHEA Grapalat" w:eastAsia="Times New Roman" w:hAnsi="GHEA Grapalat" w:cs="Times New Roman"/>
          <w:color w:val="000000"/>
          <w:sz w:val="24"/>
          <w:szCs w:val="24"/>
          <w:lang w:val="hy-AM"/>
        </w:rPr>
        <w:t>30</w:t>
      </w:r>
      <w:r w:rsidR="00B26CF6" w:rsidRPr="001F13EC">
        <w:rPr>
          <w:rFonts w:ascii="GHEA Grapalat" w:eastAsia="Times New Roman" w:hAnsi="GHEA Grapalat" w:cs="Times New Roman"/>
          <w:color w:val="000000"/>
          <w:sz w:val="24"/>
          <w:szCs w:val="24"/>
          <w:lang w:val="hy-AM"/>
        </w:rPr>
        <w:t>,</w:t>
      </w:r>
      <w:r w:rsidR="00D90075" w:rsidRPr="001F13EC">
        <w:rPr>
          <w:rFonts w:ascii="GHEA Grapalat" w:eastAsia="Times New Roman" w:hAnsi="GHEA Grapalat" w:cs="Times New Roman"/>
          <w:color w:val="000000"/>
          <w:sz w:val="24"/>
          <w:szCs w:val="24"/>
          <w:lang w:val="hy-AM"/>
        </w:rPr>
        <w:t>000041</w:t>
      </w:r>
      <w:r w:rsidR="00C422D9"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 xml:space="preserve">տոկոսը կազմող՝ 73927 հատ սովորական բաժնետոմսերի և «Տաշիր Կապիտալ» փակ բաժնետիրական ընկերությանը պատկանող՝ «Հայաստանի էլեկտրական ցանցեր» փակ բաժնետիրական ընկերության կանոնադրական կապիտալի </w:t>
      </w:r>
      <w:r w:rsidR="00D90075" w:rsidRPr="001F13EC">
        <w:rPr>
          <w:rFonts w:ascii="GHEA Grapalat" w:eastAsia="Times New Roman" w:hAnsi="GHEA Grapalat" w:cs="Times New Roman"/>
          <w:color w:val="000000"/>
          <w:sz w:val="24"/>
          <w:szCs w:val="24"/>
          <w:lang w:val="hy-AM"/>
        </w:rPr>
        <w:t>69,999959</w:t>
      </w:r>
      <w:r w:rsidR="00C422D9"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տոկոսը կազմող՝ 172496 հատ սովորական բաժնետոմսերի, ընդամենը՝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 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եթե այդպիսիք լինեն,</w:t>
      </w:r>
      <w:r w:rsidRPr="001F13EC">
        <w:rPr>
          <w:rFonts w:ascii="GHEA Grapalat" w:eastAsia="Times New Roman" w:hAnsi="GHEA Grapalat" w:cs="Times New Roman"/>
          <w:color w:val="000000"/>
          <w:sz w:val="24"/>
          <w:szCs w:val="24"/>
          <w:lang w:val="hy-AM"/>
        </w:rPr>
        <w:t xml:space="preserve"> գրավադրման </w:t>
      </w:r>
      <w:r w:rsidR="0080249B">
        <w:rPr>
          <w:rFonts w:ascii="GHEA Grapalat" w:eastAsia="Times New Roman" w:hAnsi="GHEA Grapalat" w:cs="Times New Roman"/>
          <w:color w:val="000000"/>
          <w:sz w:val="24"/>
          <w:szCs w:val="24"/>
          <w:lang w:val="hy-AM"/>
        </w:rPr>
        <w:t xml:space="preserve">գործարքի </w:t>
      </w:r>
      <w:r w:rsidRPr="001F13EC">
        <w:rPr>
          <w:rFonts w:ascii="GHEA Grapalat" w:eastAsia="Times New Roman" w:hAnsi="GHEA Grapalat" w:cs="Times New Roman"/>
          <w:color w:val="000000"/>
          <w:sz w:val="24"/>
          <w:szCs w:val="24"/>
          <w:lang w:val="hy-AM"/>
        </w:rPr>
        <w:t>համա</w:t>
      </w:r>
      <w:r w:rsidR="00122C90" w:rsidRPr="001F13EC">
        <w:rPr>
          <w:rFonts w:ascii="GHEA Grapalat" w:eastAsia="Times New Roman" w:hAnsi="GHEA Grapalat" w:cs="Times New Roman"/>
          <w:color w:val="000000"/>
          <w:sz w:val="24"/>
          <w:szCs w:val="24"/>
          <w:lang w:val="hy-AM"/>
        </w:rPr>
        <w:t xml:space="preserve">ձայնությունը՝ </w:t>
      </w:r>
      <w:r w:rsidR="00623355" w:rsidRPr="001F13EC">
        <w:rPr>
          <w:rFonts w:ascii="GHEA Grapalat" w:eastAsia="Times New Roman" w:hAnsi="GHEA Grapalat" w:cs="Times New Roman"/>
          <w:color w:val="000000"/>
          <w:sz w:val="24"/>
          <w:szCs w:val="24"/>
          <w:lang w:val="hy-AM"/>
        </w:rPr>
        <w:t xml:space="preserve">համաձայն </w:t>
      </w:r>
      <w:r w:rsidR="00770A97" w:rsidRPr="001F13EC">
        <w:rPr>
          <w:rFonts w:ascii="GHEA Grapalat" w:eastAsia="Times New Roman" w:hAnsi="GHEA Grapalat" w:cs="Times New Roman"/>
          <w:color w:val="000000"/>
          <w:sz w:val="24"/>
          <w:szCs w:val="24"/>
          <w:lang w:val="hy-AM"/>
        </w:rPr>
        <w:t>N</w:t>
      </w:r>
      <w:r w:rsidR="00623355" w:rsidRPr="001F13EC">
        <w:rPr>
          <w:rFonts w:ascii="GHEA Grapalat" w:eastAsia="Times New Roman" w:hAnsi="GHEA Grapalat" w:cs="Times New Roman"/>
          <w:color w:val="000000"/>
          <w:sz w:val="24"/>
          <w:szCs w:val="24"/>
          <w:lang w:val="hy-AM"/>
        </w:rPr>
        <w:t xml:space="preserve">1 </w:t>
      </w:r>
      <w:r w:rsidR="003F77E7" w:rsidRPr="001F13EC">
        <w:rPr>
          <w:rFonts w:ascii="GHEA Grapalat" w:eastAsia="Times New Roman" w:hAnsi="GHEA Grapalat" w:cs="Times New Roman"/>
          <w:color w:val="000000"/>
          <w:sz w:val="24"/>
          <w:szCs w:val="24"/>
          <w:lang w:val="hy-AM"/>
        </w:rPr>
        <w:t>հ</w:t>
      </w:r>
      <w:r w:rsidR="00623355" w:rsidRPr="001F13EC">
        <w:rPr>
          <w:rFonts w:ascii="GHEA Grapalat" w:eastAsia="Times New Roman" w:hAnsi="GHEA Grapalat" w:cs="Times New Roman"/>
          <w:color w:val="000000"/>
          <w:sz w:val="24"/>
          <w:szCs w:val="24"/>
          <w:lang w:val="hy-AM"/>
        </w:rPr>
        <w:t>ավելված</w:t>
      </w:r>
      <w:r w:rsidR="00122C90" w:rsidRPr="001F13EC">
        <w:rPr>
          <w:rFonts w:ascii="GHEA Grapalat" w:eastAsia="Times New Roman" w:hAnsi="GHEA Grapalat" w:cs="Times New Roman"/>
          <w:color w:val="000000"/>
          <w:sz w:val="24"/>
          <w:szCs w:val="24"/>
          <w:lang w:val="hy-AM"/>
        </w:rPr>
        <w:t>ի</w:t>
      </w:r>
      <w:r w:rsidRPr="001F13EC">
        <w:rPr>
          <w:rFonts w:ascii="GHEA Grapalat" w:eastAsia="Times New Roman" w:hAnsi="GHEA Grapalat" w:cs="Times New Roman"/>
          <w:color w:val="000000"/>
          <w:sz w:val="24"/>
          <w:szCs w:val="24"/>
          <w:lang w:val="hy-AM"/>
        </w:rPr>
        <w:t>:</w:t>
      </w:r>
    </w:p>
    <w:p w:rsidR="0088600D" w:rsidRPr="001F13EC" w:rsidRDefault="00623355" w:rsidP="00230E22">
      <w:pPr>
        <w:pStyle w:val="ListParagraph"/>
        <w:numPr>
          <w:ilvl w:val="0"/>
          <w:numId w:val="1"/>
        </w:numPr>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Հաստատել «Հայաստանի էլեկտրական ցանցեր» փակ բաժնետիրական ընկերության կողմից Միջազգային ֆինանսական կորպորացիայից վարկային միջոցներ ներգրավելու նպատակով, որպես ապահովման միջոց</w:t>
      </w:r>
      <w:r w:rsidR="00E54F8B" w:rsidRPr="00E54F8B">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«Լիորմանդ Հոլդինգզ Լիմիթեդ» ընկերությանը պատկանող</w:t>
      </w:r>
      <w:r w:rsidR="00461F89"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w:t>
      </w:r>
      <w:r w:rsidR="001215E0" w:rsidRPr="001F13EC">
        <w:rPr>
          <w:rFonts w:ascii="GHEA Grapalat" w:eastAsia="Times New Roman" w:hAnsi="GHEA Grapalat" w:cs="Times New Roman"/>
          <w:color w:val="000000"/>
          <w:sz w:val="24"/>
          <w:szCs w:val="24"/>
          <w:lang w:val="hy-AM"/>
        </w:rPr>
        <w:t>30</w:t>
      </w:r>
      <w:r w:rsidR="00B26CF6" w:rsidRPr="001F13EC">
        <w:rPr>
          <w:rFonts w:ascii="GHEA Grapalat" w:eastAsia="Times New Roman" w:hAnsi="GHEA Grapalat" w:cs="Times New Roman"/>
          <w:color w:val="000000"/>
          <w:sz w:val="24"/>
          <w:szCs w:val="24"/>
          <w:lang w:val="hy-AM"/>
        </w:rPr>
        <w:t>,</w:t>
      </w:r>
      <w:r w:rsidR="00CA479D" w:rsidRPr="001F13EC">
        <w:rPr>
          <w:rFonts w:ascii="GHEA Grapalat" w:eastAsia="Times New Roman" w:hAnsi="GHEA Grapalat" w:cs="Times New Roman"/>
          <w:color w:val="000000"/>
          <w:sz w:val="24"/>
          <w:szCs w:val="24"/>
          <w:lang w:val="hy-AM"/>
        </w:rPr>
        <w:t>000041</w:t>
      </w:r>
      <w:r w:rsidR="001215E0"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 xml:space="preserve">տոկոսը կազմող՝ 73927 հատ սովորական բաժնետոմսերի և «Տաշիր Կապիտալ» փակ բաժնետիրական ընկերությանը պատկանող՝ «Հայաստանի էլեկտրական ցանցեր» փակ բաժնետիրական ընկերության կանոնադրական կապիտալի </w:t>
      </w:r>
      <w:r w:rsidR="00CA479D" w:rsidRPr="001F13EC">
        <w:rPr>
          <w:rFonts w:ascii="GHEA Grapalat" w:eastAsia="Times New Roman" w:hAnsi="GHEA Grapalat" w:cs="Times New Roman"/>
          <w:color w:val="000000"/>
          <w:sz w:val="24"/>
          <w:szCs w:val="24"/>
          <w:lang w:val="hy-AM"/>
        </w:rPr>
        <w:t>69,999959</w:t>
      </w:r>
      <w:r w:rsidR="001215E0"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տոկոսը կազմող՝ 172496 հատ սովորական բաժնետոմսերի, ընդամենը՝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 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եթե այդպիսիք լինեն,</w:t>
      </w:r>
      <w:r w:rsidRPr="001F13EC">
        <w:rPr>
          <w:rFonts w:ascii="GHEA Grapalat" w:eastAsia="Times New Roman" w:hAnsi="GHEA Grapalat" w:cs="Times New Roman"/>
          <w:color w:val="000000"/>
          <w:sz w:val="24"/>
          <w:szCs w:val="24"/>
          <w:lang w:val="hy-AM"/>
        </w:rPr>
        <w:t xml:space="preserve"> գրավադրման </w:t>
      </w:r>
      <w:r w:rsidR="00B2334C">
        <w:rPr>
          <w:rFonts w:ascii="GHEA Grapalat" w:eastAsia="Times New Roman" w:hAnsi="GHEA Grapalat" w:cs="Times New Roman"/>
          <w:color w:val="000000"/>
          <w:sz w:val="24"/>
          <w:szCs w:val="24"/>
          <w:lang w:val="hy-AM"/>
        </w:rPr>
        <w:t xml:space="preserve">գործարքի </w:t>
      </w:r>
      <w:r w:rsidRPr="001F13EC">
        <w:rPr>
          <w:rFonts w:ascii="GHEA Grapalat" w:eastAsia="Times New Roman" w:hAnsi="GHEA Grapalat" w:cs="Times New Roman"/>
          <w:color w:val="000000"/>
          <w:sz w:val="24"/>
          <w:szCs w:val="24"/>
          <w:lang w:val="hy-AM"/>
        </w:rPr>
        <w:t xml:space="preserve">համաձայնությունը՝ համաձայն </w:t>
      </w:r>
      <w:r w:rsidR="00770A97" w:rsidRPr="001F13EC">
        <w:rPr>
          <w:rFonts w:ascii="GHEA Grapalat" w:eastAsia="Times New Roman" w:hAnsi="GHEA Grapalat" w:cs="Times New Roman"/>
          <w:color w:val="000000"/>
          <w:sz w:val="24"/>
          <w:szCs w:val="24"/>
          <w:lang w:val="hy-AM"/>
        </w:rPr>
        <w:t>N</w:t>
      </w:r>
      <w:r w:rsidRPr="001F13EC">
        <w:rPr>
          <w:rFonts w:ascii="GHEA Grapalat" w:eastAsia="Times New Roman" w:hAnsi="GHEA Grapalat" w:cs="Times New Roman"/>
          <w:color w:val="000000"/>
          <w:sz w:val="24"/>
          <w:szCs w:val="24"/>
          <w:lang w:val="hy-AM"/>
        </w:rPr>
        <w:t xml:space="preserve">2 </w:t>
      </w:r>
      <w:r w:rsidR="003F77E7" w:rsidRPr="001F13EC">
        <w:rPr>
          <w:rFonts w:ascii="GHEA Grapalat" w:eastAsia="Times New Roman" w:hAnsi="GHEA Grapalat" w:cs="Times New Roman"/>
          <w:color w:val="000000"/>
          <w:sz w:val="24"/>
          <w:szCs w:val="24"/>
          <w:lang w:val="hy-AM"/>
        </w:rPr>
        <w:t>հ</w:t>
      </w:r>
      <w:r w:rsidRPr="001F13EC">
        <w:rPr>
          <w:rFonts w:ascii="GHEA Grapalat" w:eastAsia="Times New Roman" w:hAnsi="GHEA Grapalat" w:cs="Times New Roman"/>
          <w:color w:val="000000"/>
          <w:sz w:val="24"/>
          <w:szCs w:val="24"/>
          <w:lang w:val="hy-AM"/>
        </w:rPr>
        <w:t>ավելվածի:</w:t>
      </w:r>
    </w:p>
    <w:p w:rsidR="00783079" w:rsidRPr="001F13EC" w:rsidRDefault="00783079" w:rsidP="00230E22">
      <w:pPr>
        <w:pStyle w:val="ListParagraph"/>
        <w:numPr>
          <w:ilvl w:val="0"/>
          <w:numId w:val="1"/>
        </w:numPr>
        <w:shd w:val="clear" w:color="auto" w:fill="FFFFFF"/>
        <w:spacing w:after="0" w:line="360" w:lineRule="auto"/>
        <w:ind w:left="0"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 xml:space="preserve">Լիազորել Հայաստանի Հանրապետության </w:t>
      </w:r>
      <w:r w:rsidR="00AC0B5B" w:rsidRPr="001F13EC">
        <w:rPr>
          <w:rFonts w:ascii="GHEA Grapalat" w:eastAsia="Times New Roman" w:hAnsi="GHEA Grapalat" w:cs="Times New Roman"/>
          <w:color w:val="000000"/>
          <w:sz w:val="24"/>
          <w:szCs w:val="24"/>
          <w:lang w:val="hy-AM"/>
        </w:rPr>
        <w:t>տարածքային կառավարման և ենթակ</w:t>
      </w:r>
      <w:r w:rsidR="00C2301C" w:rsidRPr="001F13EC">
        <w:rPr>
          <w:rFonts w:ascii="GHEA Grapalat" w:eastAsia="Times New Roman" w:hAnsi="GHEA Grapalat" w:cs="Times New Roman"/>
          <w:color w:val="000000"/>
          <w:sz w:val="24"/>
          <w:szCs w:val="24"/>
          <w:lang w:val="hy-AM"/>
        </w:rPr>
        <w:t>առուցվածքնե</w:t>
      </w:r>
      <w:r w:rsidR="00AC0B5B" w:rsidRPr="001F13EC">
        <w:rPr>
          <w:rFonts w:ascii="GHEA Grapalat" w:eastAsia="Times New Roman" w:hAnsi="GHEA Grapalat" w:cs="Times New Roman"/>
          <w:color w:val="000000"/>
          <w:sz w:val="24"/>
          <w:szCs w:val="24"/>
          <w:lang w:val="hy-AM"/>
        </w:rPr>
        <w:t>րի</w:t>
      </w:r>
      <w:r w:rsidRPr="001F13EC">
        <w:rPr>
          <w:rFonts w:ascii="GHEA Grapalat" w:eastAsia="Times New Roman" w:hAnsi="GHEA Grapalat" w:cs="Times New Roman"/>
          <w:color w:val="000000"/>
          <w:sz w:val="24"/>
          <w:szCs w:val="24"/>
          <w:lang w:val="hy-AM"/>
        </w:rPr>
        <w:t xml:space="preserve"> նախարարին Հայաստանի Հանրապետության կառավարության անունից ստորագրել «Հայաստանի էլեկտրական ցանցեր» փակ բաժնետիրական ընկերության կանոնադրական կապիտալի 100 տոկոսը կազմող՝ 246423 հատ սովորական </w:t>
      </w:r>
      <w:r w:rsidRPr="001F13EC">
        <w:rPr>
          <w:rFonts w:ascii="GHEA Grapalat" w:eastAsia="Times New Roman" w:hAnsi="GHEA Grapalat" w:cs="Times New Roman"/>
          <w:color w:val="000000"/>
          <w:sz w:val="24"/>
          <w:szCs w:val="24"/>
          <w:lang w:val="hy-AM"/>
        </w:rPr>
        <w:lastRenderedPageBreak/>
        <w:t>բաժնետոմսերի</w:t>
      </w:r>
      <w:r w:rsidR="00E54F8B" w:rsidRPr="0011024E">
        <w:rPr>
          <w:rFonts w:ascii="GHEA Grapalat" w:eastAsia="Times New Roman" w:hAnsi="GHEA Grapalat" w:cs="Times New Roman"/>
          <w:color w:val="000000"/>
          <w:sz w:val="24"/>
          <w:szCs w:val="24"/>
          <w:lang w:val="hy-AM"/>
        </w:rPr>
        <w:t>,</w:t>
      </w:r>
      <w:r w:rsidR="00695DFC" w:rsidRPr="001F13EC">
        <w:rPr>
          <w:rFonts w:ascii="GHEA Grapalat" w:eastAsia="Times New Roman" w:hAnsi="GHEA Grapalat" w:cs="Times New Roman"/>
          <w:color w:val="000000"/>
          <w:sz w:val="24"/>
          <w:szCs w:val="24"/>
          <w:lang w:val="hy-AM"/>
        </w:rPr>
        <w:t xml:space="preserve"> </w:t>
      </w:r>
      <w:r w:rsidR="00FB570D" w:rsidRPr="001F13EC">
        <w:rPr>
          <w:rFonts w:ascii="GHEA Grapalat" w:eastAsia="Times New Roman" w:hAnsi="GHEA Grapalat" w:cs="Times New Roman"/>
          <w:color w:val="000000"/>
          <w:sz w:val="24"/>
          <w:szCs w:val="24"/>
          <w:lang w:val="hy-AM"/>
        </w:rPr>
        <w:t>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եթե այդպիսիք լինեն,</w:t>
      </w:r>
      <w:r w:rsidRPr="001F13EC">
        <w:rPr>
          <w:rFonts w:ascii="GHEA Grapalat" w:eastAsia="Times New Roman" w:hAnsi="GHEA Grapalat" w:cs="Times New Roman"/>
          <w:color w:val="000000"/>
          <w:sz w:val="24"/>
          <w:szCs w:val="24"/>
          <w:lang w:val="hy-AM"/>
        </w:rPr>
        <w:t xml:space="preserve"> գրավադրման պայմանների համաձայնություն</w:t>
      </w:r>
      <w:r w:rsidR="00294848" w:rsidRPr="001F13EC">
        <w:rPr>
          <w:rFonts w:ascii="GHEA Grapalat" w:eastAsia="Times New Roman" w:hAnsi="GHEA Grapalat" w:cs="Times New Roman"/>
          <w:color w:val="000000"/>
          <w:sz w:val="24"/>
          <w:szCs w:val="24"/>
          <w:lang w:val="hy-AM"/>
        </w:rPr>
        <w:t>ներ</w:t>
      </w:r>
      <w:r w:rsidRPr="001F13EC">
        <w:rPr>
          <w:rFonts w:ascii="GHEA Grapalat" w:eastAsia="Times New Roman" w:hAnsi="GHEA Grapalat" w:cs="Times New Roman"/>
          <w:color w:val="000000"/>
          <w:sz w:val="24"/>
          <w:szCs w:val="24"/>
          <w:lang w:val="hy-AM"/>
        </w:rPr>
        <w:t>ը:</w:t>
      </w:r>
    </w:p>
    <w:p w:rsidR="00783079" w:rsidRPr="001F13EC" w:rsidRDefault="00783079" w:rsidP="007409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F13EC">
        <w:rPr>
          <w:rFonts w:ascii="Sylfaen" w:eastAsia="Times New Roman" w:hAnsi="Sylfaen" w:cs="Calibri"/>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062"/>
        <w:gridCol w:w="14"/>
        <w:gridCol w:w="5062"/>
      </w:tblGrid>
      <w:tr w:rsidR="00783079" w:rsidRPr="00230E22" w:rsidTr="00783079">
        <w:trPr>
          <w:tblCellSpacing w:w="7" w:type="dxa"/>
        </w:trPr>
        <w:tc>
          <w:tcPr>
            <w:tcW w:w="4500" w:type="dxa"/>
            <w:shd w:val="clear" w:color="auto" w:fill="FFFFFF"/>
            <w:vAlign w:val="center"/>
            <w:hideMark/>
          </w:tcPr>
          <w:p w:rsidR="00783079" w:rsidRPr="001F13EC" w:rsidRDefault="00783079" w:rsidP="00740944">
            <w:pPr>
              <w:spacing w:before="100" w:beforeAutospacing="1" w:after="100" w:afterAutospacing="1" w:line="360" w:lineRule="auto"/>
              <w:jc w:val="center"/>
              <w:rPr>
                <w:rFonts w:ascii="GHEA Grapalat" w:eastAsia="Times New Roman" w:hAnsi="GHEA Grapalat" w:cs="Times New Roman"/>
                <w:color w:val="000000"/>
                <w:sz w:val="24"/>
                <w:szCs w:val="24"/>
                <w:lang w:val="hy-AM"/>
              </w:rPr>
            </w:pPr>
          </w:p>
          <w:p w:rsidR="006538E1" w:rsidRPr="001F13EC" w:rsidRDefault="006538E1" w:rsidP="00740944">
            <w:pPr>
              <w:spacing w:before="100" w:beforeAutospacing="1" w:after="100" w:afterAutospacing="1" w:line="360" w:lineRule="auto"/>
              <w:jc w:val="center"/>
              <w:rPr>
                <w:rFonts w:ascii="GHEA Grapalat" w:eastAsia="Times New Roman" w:hAnsi="GHEA Grapalat" w:cs="Times New Roman"/>
                <w:color w:val="000000"/>
                <w:sz w:val="24"/>
                <w:szCs w:val="24"/>
                <w:lang w:val="hy-AM"/>
              </w:rPr>
            </w:pPr>
          </w:p>
        </w:tc>
        <w:tc>
          <w:tcPr>
            <w:tcW w:w="0" w:type="auto"/>
            <w:gridSpan w:val="2"/>
            <w:shd w:val="clear" w:color="auto" w:fill="FFFFFF"/>
            <w:vAlign w:val="bottom"/>
            <w:hideMark/>
          </w:tcPr>
          <w:p w:rsidR="00783079" w:rsidRPr="001F13EC" w:rsidRDefault="00783079" w:rsidP="00740944">
            <w:pPr>
              <w:spacing w:after="0" w:line="360" w:lineRule="auto"/>
              <w:jc w:val="right"/>
              <w:rPr>
                <w:rFonts w:ascii="GHEA Grapalat" w:eastAsia="Times New Roman" w:hAnsi="GHEA Grapalat" w:cs="Times New Roman"/>
                <w:color w:val="000000"/>
                <w:sz w:val="24"/>
                <w:szCs w:val="24"/>
                <w:lang w:val="hy-AM"/>
              </w:rPr>
            </w:pPr>
          </w:p>
        </w:tc>
      </w:tr>
      <w:tr w:rsidR="00783079" w:rsidRPr="00230E22" w:rsidTr="00783079">
        <w:trPr>
          <w:tblCellSpacing w:w="7" w:type="dxa"/>
        </w:trPr>
        <w:tc>
          <w:tcPr>
            <w:tcW w:w="4500" w:type="dxa"/>
            <w:shd w:val="clear" w:color="auto" w:fill="FFFFFF"/>
            <w:vAlign w:val="center"/>
            <w:hideMark/>
          </w:tcPr>
          <w:p w:rsidR="00783079" w:rsidRPr="001F13EC" w:rsidRDefault="00783079" w:rsidP="00740944">
            <w:pPr>
              <w:spacing w:after="0" w:line="360" w:lineRule="auto"/>
              <w:jc w:val="center"/>
              <w:rPr>
                <w:rFonts w:ascii="GHEA Grapalat" w:eastAsia="Times New Roman" w:hAnsi="GHEA Grapalat" w:cs="Times New Roman"/>
                <w:color w:val="000000"/>
                <w:sz w:val="24"/>
                <w:szCs w:val="24"/>
                <w:lang w:val="hy-AM"/>
              </w:rPr>
            </w:pPr>
          </w:p>
        </w:tc>
        <w:tc>
          <w:tcPr>
            <w:tcW w:w="0" w:type="auto"/>
            <w:gridSpan w:val="2"/>
            <w:shd w:val="clear" w:color="auto" w:fill="FFFFFF"/>
            <w:vAlign w:val="bottom"/>
            <w:hideMark/>
          </w:tcPr>
          <w:p w:rsidR="00783079" w:rsidRDefault="00783079"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Default="00230E22" w:rsidP="00740944">
            <w:pPr>
              <w:spacing w:after="0" w:line="360" w:lineRule="auto"/>
              <w:jc w:val="both"/>
              <w:rPr>
                <w:rFonts w:ascii="GHEA Grapalat" w:eastAsia="Times New Roman" w:hAnsi="GHEA Grapalat" w:cs="Times New Roman"/>
                <w:color w:val="000000"/>
                <w:sz w:val="24"/>
                <w:szCs w:val="24"/>
                <w:lang w:val="hy-AM"/>
              </w:rPr>
            </w:pPr>
          </w:p>
          <w:p w:rsidR="00230E22" w:rsidRPr="001F13EC" w:rsidRDefault="00230E22" w:rsidP="00740944">
            <w:pPr>
              <w:spacing w:after="0" w:line="360" w:lineRule="auto"/>
              <w:jc w:val="both"/>
              <w:rPr>
                <w:rFonts w:ascii="GHEA Grapalat" w:eastAsia="Times New Roman" w:hAnsi="GHEA Grapalat" w:cs="Times New Roman"/>
                <w:color w:val="000000"/>
                <w:sz w:val="24"/>
                <w:szCs w:val="24"/>
                <w:lang w:val="hy-AM"/>
              </w:rPr>
            </w:pPr>
          </w:p>
        </w:tc>
      </w:tr>
      <w:tr w:rsidR="00783079" w:rsidRPr="00230E22" w:rsidTr="00783079">
        <w:trPr>
          <w:tblCellSpacing w:w="7" w:type="dxa"/>
        </w:trPr>
        <w:tc>
          <w:tcPr>
            <w:tcW w:w="0" w:type="auto"/>
            <w:gridSpan w:val="2"/>
            <w:shd w:val="clear" w:color="auto" w:fill="FFFFFF"/>
            <w:vAlign w:val="center"/>
            <w:hideMark/>
          </w:tcPr>
          <w:p w:rsidR="00783079" w:rsidRPr="00230E22" w:rsidRDefault="00783079" w:rsidP="00740944">
            <w:pPr>
              <w:spacing w:after="0" w:line="360" w:lineRule="auto"/>
              <w:jc w:val="both"/>
              <w:rPr>
                <w:rFonts w:ascii="GHEA Grapalat" w:eastAsia="Times New Roman" w:hAnsi="GHEA Grapalat" w:cs="Times New Roman"/>
                <w:b/>
                <w:color w:val="000000"/>
                <w:sz w:val="24"/>
                <w:szCs w:val="24"/>
                <w:highlight w:val="yellow"/>
                <w:lang w:val="hy-AM"/>
              </w:rPr>
            </w:pPr>
            <w:r w:rsidRPr="00230E22">
              <w:rPr>
                <w:rFonts w:ascii="Sylfaen" w:eastAsia="Times New Roman" w:hAnsi="Sylfaen" w:cs="Calibri"/>
                <w:b/>
                <w:color w:val="000000"/>
                <w:sz w:val="24"/>
                <w:szCs w:val="24"/>
                <w:lang w:val="hy-AM"/>
              </w:rPr>
              <w:lastRenderedPageBreak/>
              <w:t> </w:t>
            </w:r>
          </w:p>
        </w:tc>
        <w:tc>
          <w:tcPr>
            <w:tcW w:w="4500" w:type="dxa"/>
            <w:shd w:val="clear" w:color="auto" w:fill="FFFFFF"/>
            <w:vAlign w:val="bottom"/>
            <w:hideMark/>
          </w:tcPr>
          <w:p w:rsidR="00783079" w:rsidRPr="00230E22" w:rsidRDefault="00740944" w:rsidP="00740944">
            <w:pPr>
              <w:spacing w:after="0" w:line="360" w:lineRule="auto"/>
              <w:jc w:val="right"/>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Հ</w:t>
            </w:r>
            <w:r w:rsidR="00783079" w:rsidRPr="00230E22">
              <w:rPr>
                <w:rFonts w:ascii="GHEA Grapalat" w:eastAsia="Times New Roman" w:hAnsi="GHEA Grapalat" w:cs="Times New Roman"/>
                <w:b/>
                <w:bCs/>
                <w:color w:val="000000"/>
                <w:sz w:val="24"/>
                <w:szCs w:val="24"/>
                <w:lang w:val="hy-AM"/>
              </w:rPr>
              <w:t>ավելված</w:t>
            </w:r>
            <w:r w:rsidRPr="00230E22">
              <w:rPr>
                <w:rFonts w:ascii="GHEA Grapalat" w:eastAsia="Times New Roman" w:hAnsi="GHEA Grapalat" w:cs="Times New Roman"/>
                <w:b/>
                <w:bCs/>
                <w:color w:val="000000"/>
                <w:sz w:val="24"/>
                <w:szCs w:val="24"/>
                <w:lang w:val="hy-AM"/>
              </w:rPr>
              <w:t xml:space="preserve"> N 1</w:t>
            </w:r>
            <w:r w:rsidR="00783079" w:rsidRPr="00230E22">
              <w:rPr>
                <w:rFonts w:ascii="GHEA Grapalat" w:eastAsia="Times New Roman" w:hAnsi="GHEA Grapalat" w:cs="Times New Roman"/>
                <w:b/>
                <w:bCs/>
                <w:color w:val="000000"/>
                <w:sz w:val="24"/>
                <w:szCs w:val="24"/>
                <w:lang w:val="hy-AM"/>
              </w:rPr>
              <w:br/>
            </w:r>
            <w:r w:rsidR="008A711C" w:rsidRPr="00230E22">
              <w:rPr>
                <w:rFonts w:ascii="GHEA Grapalat" w:eastAsia="Times New Roman" w:hAnsi="GHEA Grapalat" w:cs="Times New Roman"/>
                <w:b/>
                <w:bCs/>
                <w:color w:val="000000"/>
                <w:sz w:val="24"/>
                <w:szCs w:val="24"/>
                <w:lang w:val="hy-AM"/>
              </w:rPr>
              <w:t>ՀՀ կառավարության 2021</w:t>
            </w:r>
            <w:r w:rsidR="00783079" w:rsidRPr="00230E22">
              <w:rPr>
                <w:rFonts w:ascii="GHEA Grapalat" w:eastAsia="Times New Roman" w:hAnsi="GHEA Grapalat" w:cs="Times New Roman"/>
                <w:b/>
                <w:bCs/>
                <w:color w:val="000000"/>
                <w:sz w:val="24"/>
                <w:szCs w:val="24"/>
                <w:lang w:val="hy-AM"/>
              </w:rPr>
              <w:t xml:space="preserve"> թվականի</w:t>
            </w:r>
            <w:r w:rsidR="00783079" w:rsidRPr="00230E22">
              <w:rPr>
                <w:rFonts w:ascii="GHEA Grapalat" w:eastAsia="Times New Roman" w:hAnsi="GHEA Grapalat" w:cs="Times New Roman"/>
                <w:b/>
                <w:bCs/>
                <w:color w:val="000000"/>
                <w:sz w:val="24"/>
                <w:szCs w:val="24"/>
                <w:lang w:val="hy-AM"/>
              </w:rPr>
              <w:br/>
            </w:r>
            <w:r w:rsidR="008154FD" w:rsidRPr="00230E22">
              <w:rPr>
                <w:rFonts w:ascii="GHEA Grapalat" w:eastAsia="Times New Roman" w:hAnsi="GHEA Grapalat" w:cs="Times New Roman"/>
                <w:b/>
                <w:bCs/>
                <w:color w:val="000000"/>
                <w:sz w:val="24"/>
                <w:szCs w:val="24"/>
                <w:lang w:val="hy-AM"/>
              </w:rPr>
              <w:t>____________</w:t>
            </w:r>
            <w:r w:rsidR="005A3DED" w:rsidRPr="00230E22">
              <w:rPr>
                <w:rFonts w:ascii="GHEA Grapalat" w:eastAsia="Times New Roman" w:hAnsi="GHEA Grapalat" w:cs="Times New Roman"/>
                <w:b/>
                <w:bCs/>
                <w:color w:val="000000"/>
                <w:sz w:val="24"/>
                <w:szCs w:val="24"/>
                <w:lang w:val="hy-AM"/>
              </w:rPr>
              <w:t xml:space="preserve"> </w:t>
            </w:r>
            <w:r w:rsidR="008154FD" w:rsidRPr="00230E22">
              <w:rPr>
                <w:rFonts w:ascii="GHEA Grapalat" w:eastAsia="Times New Roman" w:hAnsi="GHEA Grapalat" w:cs="Times New Roman"/>
                <w:b/>
                <w:bCs/>
                <w:color w:val="000000"/>
                <w:sz w:val="24"/>
                <w:szCs w:val="24"/>
                <w:lang w:val="hy-AM"/>
              </w:rPr>
              <w:t>___</w:t>
            </w:r>
            <w:r w:rsidR="00783079" w:rsidRPr="00230E22">
              <w:rPr>
                <w:rFonts w:ascii="GHEA Grapalat" w:eastAsia="Times New Roman" w:hAnsi="GHEA Grapalat" w:cs="Times New Roman"/>
                <w:b/>
                <w:bCs/>
                <w:color w:val="000000"/>
                <w:sz w:val="24"/>
                <w:szCs w:val="24"/>
                <w:lang w:val="hy-AM"/>
              </w:rPr>
              <w:t xml:space="preserve">-ի N </w:t>
            </w:r>
            <w:r w:rsidR="001A3B4D" w:rsidRPr="00230E22">
              <w:rPr>
                <w:rFonts w:ascii="GHEA Grapalat" w:eastAsia="Times New Roman" w:hAnsi="GHEA Grapalat" w:cs="Times New Roman"/>
                <w:b/>
                <w:bCs/>
                <w:color w:val="000000"/>
                <w:sz w:val="24"/>
                <w:szCs w:val="24"/>
                <w:lang w:val="hy-AM"/>
              </w:rPr>
              <w:t>___</w:t>
            </w:r>
            <w:r w:rsidR="00783079" w:rsidRPr="00230E22">
              <w:rPr>
                <w:rFonts w:ascii="GHEA Grapalat" w:eastAsia="Times New Roman" w:hAnsi="GHEA Grapalat" w:cs="Times New Roman"/>
                <w:b/>
                <w:bCs/>
                <w:color w:val="000000"/>
                <w:sz w:val="24"/>
                <w:szCs w:val="24"/>
                <w:lang w:val="hy-AM"/>
              </w:rPr>
              <w:t>-Ա որոշման</w:t>
            </w:r>
          </w:p>
        </w:tc>
      </w:tr>
    </w:tbl>
    <w:p w:rsidR="00783079" w:rsidRPr="00230E22" w:rsidRDefault="00783079" w:rsidP="00740944">
      <w:pPr>
        <w:shd w:val="clear" w:color="auto" w:fill="FFFFFF"/>
        <w:spacing w:after="0" w:line="360" w:lineRule="auto"/>
        <w:ind w:firstLine="375"/>
        <w:jc w:val="both"/>
        <w:rPr>
          <w:rFonts w:ascii="GHEA Grapalat" w:eastAsia="Times New Roman" w:hAnsi="GHEA Grapalat" w:cs="Times New Roman"/>
          <w:b/>
          <w:color w:val="000000"/>
          <w:sz w:val="24"/>
          <w:szCs w:val="24"/>
          <w:lang w:val="hy-AM"/>
        </w:rPr>
      </w:pPr>
      <w:r w:rsidRPr="00230E22">
        <w:rPr>
          <w:rFonts w:ascii="Sylfaen" w:eastAsia="Times New Roman" w:hAnsi="Sylfaen" w:cs="Calibri"/>
          <w:b/>
          <w:color w:val="000000"/>
          <w:sz w:val="24"/>
          <w:szCs w:val="24"/>
          <w:lang w:val="hy-AM"/>
        </w:rPr>
        <w:t> </w:t>
      </w:r>
    </w:p>
    <w:p w:rsidR="00783079" w:rsidRPr="00230E22" w:rsidRDefault="00783079"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Հ Ա Մ Ա Ձ Ա Յ Ն ՈՒ Թ Յ ՈՒ Ն</w:t>
      </w:r>
    </w:p>
    <w:p w:rsidR="00783079" w:rsidRPr="001F13EC" w:rsidRDefault="00783079" w:rsidP="007409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F13EC">
        <w:rPr>
          <w:rFonts w:ascii="Sylfaen" w:eastAsia="Times New Roman" w:hAnsi="Sylfaen" w:cs="Calibri"/>
          <w:color w:val="000000"/>
          <w:sz w:val="24"/>
          <w:szCs w:val="24"/>
          <w:lang w:val="hy-AM"/>
        </w:rPr>
        <w:t> </w:t>
      </w:r>
    </w:p>
    <w:p w:rsidR="00C17E27" w:rsidRPr="001F13EC" w:rsidRDefault="00783079"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Հայաստանի Հանրապետության կառավարությունը սույն համաձայնությամբ տալիս է պատշաճ կերպով հաստատված իր համաձայնությունը</w:t>
      </w:r>
      <w:r w:rsidR="0011024E" w:rsidRPr="0011024E">
        <w:rPr>
          <w:rFonts w:ascii="GHEA Grapalat" w:eastAsia="Times New Roman" w:hAnsi="GHEA Grapalat" w:cs="Times New Roman"/>
          <w:color w:val="000000"/>
          <w:sz w:val="24"/>
          <w:szCs w:val="24"/>
          <w:lang w:val="hy-AM"/>
        </w:rPr>
        <w:t>,</w:t>
      </w:r>
      <w:r w:rsidR="0052167D" w:rsidRPr="001F13EC">
        <w:rPr>
          <w:rFonts w:ascii="GHEA Grapalat" w:eastAsia="Times New Roman" w:hAnsi="GHEA Grapalat" w:cs="Times New Roman"/>
          <w:color w:val="000000"/>
          <w:sz w:val="24"/>
          <w:szCs w:val="24"/>
          <w:lang w:val="hy-AM"/>
        </w:rPr>
        <w:t xml:space="preserve"> </w:t>
      </w:r>
      <w:r w:rsidR="00FB570D" w:rsidRPr="001F13EC">
        <w:rPr>
          <w:rFonts w:ascii="GHEA Grapalat" w:eastAsia="Times New Roman" w:hAnsi="GHEA Grapalat" w:cs="Times New Roman"/>
          <w:color w:val="000000"/>
          <w:sz w:val="24"/>
          <w:szCs w:val="24"/>
          <w:lang w:val="hy-AM"/>
        </w:rPr>
        <w:t xml:space="preserve">որպես </w:t>
      </w:r>
      <w:r w:rsidR="00725B6C" w:rsidRPr="001F13EC">
        <w:rPr>
          <w:rFonts w:ascii="GHEA Grapalat" w:hAnsi="GHEA Grapalat" w:cs="Arial"/>
          <w:sz w:val="24"/>
          <w:szCs w:val="24"/>
          <w:lang w:val="hy-AM"/>
        </w:rPr>
        <w:t xml:space="preserve">«Հայաստանի էլեկտրական ցանցեր» փակ բաժնետիրական ընկերության և Վերակառուցման և </w:t>
      </w:r>
      <w:r w:rsidR="00821BCD" w:rsidRPr="001F13EC">
        <w:rPr>
          <w:rFonts w:ascii="GHEA Grapalat" w:hAnsi="GHEA Grapalat" w:cs="Arial"/>
          <w:sz w:val="24"/>
          <w:szCs w:val="24"/>
          <w:lang w:val="hy-AM"/>
        </w:rPr>
        <w:t>զ</w:t>
      </w:r>
      <w:r w:rsidR="00725B6C" w:rsidRPr="001F13EC">
        <w:rPr>
          <w:rFonts w:ascii="GHEA Grapalat" w:hAnsi="GHEA Grapalat" w:cs="Arial"/>
          <w:sz w:val="24"/>
          <w:szCs w:val="24"/>
          <w:lang w:val="hy-AM"/>
        </w:rPr>
        <w:t xml:space="preserve">արգացման </w:t>
      </w:r>
      <w:r w:rsidR="00821BCD" w:rsidRPr="001F13EC">
        <w:rPr>
          <w:rFonts w:ascii="GHEA Grapalat" w:hAnsi="GHEA Grapalat" w:cs="Arial"/>
          <w:sz w:val="24"/>
          <w:szCs w:val="24"/>
          <w:lang w:val="hy-AM"/>
        </w:rPr>
        <w:t>ե</w:t>
      </w:r>
      <w:r w:rsidR="00725B6C" w:rsidRPr="001F13EC">
        <w:rPr>
          <w:rFonts w:ascii="GHEA Grapalat" w:hAnsi="GHEA Grapalat" w:cs="Arial"/>
          <w:sz w:val="24"/>
          <w:szCs w:val="24"/>
          <w:lang w:val="hy-AM"/>
        </w:rPr>
        <w:t xml:space="preserve">վրոպական </w:t>
      </w:r>
      <w:r w:rsidR="00821BCD" w:rsidRPr="001F13EC">
        <w:rPr>
          <w:rFonts w:ascii="GHEA Grapalat" w:hAnsi="GHEA Grapalat" w:cs="Arial"/>
          <w:sz w:val="24"/>
          <w:szCs w:val="24"/>
          <w:lang w:val="hy-AM"/>
        </w:rPr>
        <w:t>բ</w:t>
      </w:r>
      <w:r w:rsidR="00725B6C" w:rsidRPr="001F13EC">
        <w:rPr>
          <w:rFonts w:ascii="GHEA Grapalat" w:hAnsi="GHEA Grapalat" w:cs="Arial"/>
          <w:sz w:val="24"/>
          <w:szCs w:val="24"/>
          <w:lang w:val="hy-AM"/>
        </w:rPr>
        <w:t>անկ</w:t>
      </w:r>
      <w:r w:rsidR="00FB570D" w:rsidRPr="001F13EC">
        <w:rPr>
          <w:rFonts w:ascii="GHEA Grapalat" w:hAnsi="GHEA Grapalat" w:cs="Arial"/>
          <w:sz w:val="24"/>
          <w:szCs w:val="24"/>
          <w:lang w:val="hy-AM"/>
        </w:rPr>
        <w:t>ի</w:t>
      </w:r>
      <w:r w:rsidR="005A3DED" w:rsidRPr="001F13EC">
        <w:rPr>
          <w:rFonts w:ascii="GHEA Grapalat" w:hAnsi="GHEA Grapalat" w:cs="Arial"/>
          <w:sz w:val="24"/>
          <w:szCs w:val="24"/>
          <w:lang w:val="hy-AM"/>
        </w:rPr>
        <w:t xml:space="preserve"> միջև 2021 թվականի օգոստոսի 10-ին կնքված </w:t>
      </w:r>
      <w:r w:rsidR="00725B6C" w:rsidRPr="001F13EC">
        <w:rPr>
          <w:rFonts w:ascii="GHEA Grapalat" w:hAnsi="GHEA Grapalat" w:cs="Arial"/>
          <w:sz w:val="24"/>
          <w:szCs w:val="24"/>
          <w:lang w:val="hy-AM"/>
        </w:rPr>
        <w:t xml:space="preserve">և </w:t>
      </w:r>
      <w:r w:rsidR="005A3DED" w:rsidRPr="001F13EC">
        <w:rPr>
          <w:rFonts w:ascii="GHEA Grapalat" w:hAnsi="GHEA Grapalat" w:cs="Arial"/>
          <w:sz w:val="24"/>
          <w:szCs w:val="24"/>
          <w:lang w:val="hy-AM"/>
        </w:rPr>
        <w:t xml:space="preserve">«Հայաստանի էլեկտրական ցանցեր» փակ բաժնետիրական ընկերության և </w:t>
      </w:r>
      <w:r w:rsidR="00725B6C" w:rsidRPr="001F13EC">
        <w:rPr>
          <w:rFonts w:ascii="GHEA Grapalat" w:hAnsi="GHEA Grapalat" w:cs="Arial"/>
          <w:sz w:val="24"/>
          <w:szCs w:val="24"/>
          <w:lang w:val="hy-AM"/>
        </w:rPr>
        <w:t xml:space="preserve">Ասիական </w:t>
      </w:r>
      <w:r w:rsidR="00821BCD" w:rsidRPr="001F13EC">
        <w:rPr>
          <w:rFonts w:ascii="GHEA Grapalat" w:hAnsi="GHEA Grapalat" w:cs="Arial"/>
          <w:sz w:val="24"/>
          <w:szCs w:val="24"/>
          <w:lang w:val="hy-AM"/>
        </w:rPr>
        <w:t>զ</w:t>
      </w:r>
      <w:r w:rsidR="00725B6C" w:rsidRPr="001F13EC">
        <w:rPr>
          <w:rFonts w:ascii="GHEA Grapalat" w:hAnsi="GHEA Grapalat" w:cs="Arial"/>
          <w:sz w:val="24"/>
          <w:szCs w:val="24"/>
          <w:lang w:val="hy-AM"/>
        </w:rPr>
        <w:t xml:space="preserve">արգացման </w:t>
      </w:r>
      <w:r w:rsidR="00821BCD" w:rsidRPr="001F13EC">
        <w:rPr>
          <w:rFonts w:ascii="GHEA Grapalat" w:hAnsi="GHEA Grapalat" w:cs="Arial"/>
          <w:sz w:val="24"/>
          <w:szCs w:val="24"/>
          <w:lang w:val="hy-AM"/>
        </w:rPr>
        <w:t>բ</w:t>
      </w:r>
      <w:r w:rsidR="00725B6C" w:rsidRPr="001F13EC">
        <w:rPr>
          <w:rFonts w:ascii="GHEA Grapalat" w:hAnsi="GHEA Grapalat" w:cs="Arial"/>
          <w:sz w:val="24"/>
          <w:szCs w:val="24"/>
          <w:lang w:val="hy-AM"/>
        </w:rPr>
        <w:t xml:space="preserve">անկի միջև </w:t>
      </w:r>
      <w:r w:rsidR="005A3DED" w:rsidRPr="001F13EC">
        <w:rPr>
          <w:rFonts w:ascii="GHEA Grapalat" w:hAnsi="GHEA Grapalat" w:cs="Arial"/>
          <w:sz w:val="24"/>
          <w:szCs w:val="24"/>
          <w:lang w:val="hy-AM"/>
        </w:rPr>
        <w:t xml:space="preserve">2021 թվականի օգոստոսի 11-ին </w:t>
      </w:r>
      <w:r w:rsidR="00725B6C" w:rsidRPr="001F13EC">
        <w:rPr>
          <w:rFonts w:ascii="GHEA Grapalat" w:hAnsi="GHEA Grapalat" w:cs="Arial"/>
          <w:sz w:val="24"/>
          <w:szCs w:val="24"/>
          <w:lang w:val="hy-AM"/>
        </w:rPr>
        <w:t xml:space="preserve">կնքված վարկային </w:t>
      </w:r>
      <w:r w:rsidR="005A3DED" w:rsidRPr="001F13EC">
        <w:rPr>
          <w:rFonts w:ascii="GHEA Grapalat" w:hAnsi="GHEA Grapalat" w:cs="Arial"/>
          <w:sz w:val="24"/>
          <w:szCs w:val="24"/>
          <w:lang w:val="hy-AM"/>
        </w:rPr>
        <w:t>պայմանագրերից</w:t>
      </w:r>
      <w:r w:rsidR="00725B6C" w:rsidRPr="001F13EC">
        <w:rPr>
          <w:rFonts w:ascii="GHEA Grapalat" w:hAnsi="GHEA Grapalat" w:cs="Arial"/>
          <w:sz w:val="24"/>
          <w:szCs w:val="24"/>
          <w:lang w:val="hy-AM"/>
        </w:rPr>
        <w:t xml:space="preserve"> բխող</w:t>
      </w:r>
      <w:r w:rsidR="003A32A6" w:rsidRPr="001F13EC">
        <w:rPr>
          <w:rFonts w:ascii="GHEA Grapalat" w:hAnsi="GHEA Grapalat" w:cs="Arial"/>
          <w:sz w:val="24"/>
          <w:szCs w:val="24"/>
          <w:lang w:val="hy-AM"/>
        </w:rPr>
        <w:t xml:space="preserve"> </w:t>
      </w:r>
      <w:r w:rsidR="00725B6C" w:rsidRPr="001F13EC">
        <w:rPr>
          <w:rFonts w:ascii="GHEA Grapalat" w:hAnsi="GHEA Grapalat" w:cs="Arial"/>
          <w:sz w:val="24"/>
          <w:szCs w:val="24"/>
          <w:lang w:val="hy-AM"/>
        </w:rPr>
        <w:t>պարտավորությունների կատարման ապահովման միջոց</w:t>
      </w:r>
      <w:r w:rsidR="0011024E" w:rsidRPr="0011024E">
        <w:rPr>
          <w:rFonts w:ascii="GHEA Grapalat" w:hAnsi="GHEA Grapalat" w:cs="Arial"/>
          <w:sz w:val="24"/>
          <w:szCs w:val="24"/>
          <w:lang w:val="hy-AM"/>
        </w:rPr>
        <w:t>,</w:t>
      </w:r>
      <w:r w:rsidRPr="001F13EC">
        <w:rPr>
          <w:rFonts w:ascii="GHEA Grapalat" w:eastAsia="Times New Roman" w:hAnsi="GHEA Grapalat" w:cs="Times New Roman"/>
          <w:color w:val="000000"/>
          <w:sz w:val="24"/>
          <w:szCs w:val="24"/>
          <w:lang w:val="hy-AM"/>
        </w:rPr>
        <w:t xml:space="preserve"> «Լիորմանդ Հոլդինգզ Լիմիթեդ» ընկերությանը պատկանող</w:t>
      </w:r>
      <w:r w:rsidR="00461F89"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w:t>
      </w:r>
      <w:r w:rsidR="0005253F" w:rsidRPr="001F13EC">
        <w:rPr>
          <w:rFonts w:ascii="GHEA Grapalat" w:eastAsia="Times New Roman" w:hAnsi="GHEA Grapalat" w:cs="Times New Roman"/>
          <w:color w:val="000000"/>
          <w:sz w:val="24"/>
          <w:szCs w:val="24"/>
          <w:lang w:val="hy-AM"/>
        </w:rPr>
        <w:t>30</w:t>
      </w:r>
      <w:r w:rsidR="00B26CF6" w:rsidRPr="001F13EC">
        <w:rPr>
          <w:rFonts w:ascii="GHEA Grapalat" w:eastAsia="Times New Roman" w:hAnsi="GHEA Grapalat" w:cs="Times New Roman"/>
          <w:color w:val="000000"/>
          <w:sz w:val="24"/>
          <w:szCs w:val="24"/>
          <w:lang w:val="hy-AM"/>
        </w:rPr>
        <w:t>,</w:t>
      </w:r>
      <w:r w:rsidR="00D90075" w:rsidRPr="001F13EC">
        <w:rPr>
          <w:rFonts w:ascii="GHEA Grapalat" w:eastAsia="Times New Roman" w:hAnsi="GHEA Grapalat" w:cs="Times New Roman"/>
          <w:color w:val="000000"/>
          <w:sz w:val="24"/>
          <w:szCs w:val="24"/>
          <w:lang w:val="hy-AM"/>
        </w:rPr>
        <w:t>000041</w:t>
      </w:r>
      <w:r w:rsidR="0005253F" w:rsidRPr="001F13EC">
        <w:rPr>
          <w:rFonts w:ascii="GHEA Grapalat" w:eastAsia="Times New Roman" w:hAnsi="GHEA Grapalat" w:cs="Times New Roman"/>
          <w:color w:val="000000"/>
          <w:sz w:val="24"/>
          <w:szCs w:val="24"/>
          <w:lang w:val="hy-AM"/>
        </w:rPr>
        <w:t xml:space="preserve"> </w:t>
      </w:r>
      <w:r w:rsidRPr="001F13EC">
        <w:rPr>
          <w:rFonts w:ascii="GHEA Grapalat" w:eastAsia="Times New Roman" w:hAnsi="GHEA Grapalat" w:cs="Times New Roman"/>
          <w:color w:val="000000"/>
          <w:sz w:val="24"/>
          <w:szCs w:val="24"/>
          <w:lang w:val="hy-AM"/>
        </w:rPr>
        <w:t>տոկոսը կազմող՝ 73927 հատ սովորական բաժնետոմսերի և «Տաշիր Կապիտալ» փակ բաժնետիրական ընկերությանը պատկանող՝ «Հայաստանի էլեկտրական ցանցեր» փակ բաժնետիրական ընկերության կանոնադրական կապիտալի 69,999959 տոկոսը կազմող՝ 172496 հատ սովորական բաժնետոմսերի, ընդամենը՝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 ինչպես նաև</w:t>
      </w:r>
      <w:r w:rsidR="003A32A6" w:rsidRPr="001F13EC">
        <w:rPr>
          <w:rFonts w:ascii="GHEA Grapalat" w:eastAsia="Times New Roman" w:hAnsi="GHEA Grapalat" w:cs="Times New Roman"/>
          <w:color w:val="000000"/>
          <w:sz w:val="24"/>
          <w:szCs w:val="24"/>
          <w:lang w:val="hy-AM"/>
        </w:rPr>
        <w:t xml:space="preserve"> </w:t>
      </w:r>
      <w:r w:rsidR="00695DFC" w:rsidRPr="001F13EC">
        <w:rPr>
          <w:rFonts w:ascii="GHEA Grapalat" w:eastAsia="Times New Roman" w:hAnsi="GHEA Grapalat" w:cs="Times New Roman"/>
          <w:color w:val="000000"/>
          <w:sz w:val="24"/>
          <w:szCs w:val="24"/>
          <w:lang w:val="hy-AM"/>
        </w:rPr>
        <w:t>ապագայում թողարկվող բաժնետոմսերի, եթե այդպիսիք լինեն,</w:t>
      </w:r>
      <w:r w:rsidRPr="001F13EC">
        <w:rPr>
          <w:rFonts w:ascii="GHEA Grapalat" w:eastAsia="Times New Roman" w:hAnsi="GHEA Grapalat" w:cs="Times New Roman"/>
          <w:color w:val="000000"/>
          <w:sz w:val="24"/>
          <w:szCs w:val="24"/>
          <w:lang w:val="hy-AM"/>
        </w:rPr>
        <w:t xml:space="preserve"> գրավադրման գործարքին` </w:t>
      </w:r>
      <w:r w:rsidR="00C17E27" w:rsidRPr="001F13EC">
        <w:rPr>
          <w:rFonts w:ascii="GHEA Grapalat" w:eastAsia="Times New Roman" w:hAnsi="GHEA Grapalat" w:cs="Times New Roman"/>
          <w:color w:val="000000"/>
          <w:sz w:val="24"/>
          <w:szCs w:val="24"/>
          <w:lang w:val="hy-AM"/>
        </w:rPr>
        <w:t>հետևյալ պայմաններով՝</w:t>
      </w:r>
    </w:p>
    <w:p w:rsidR="00C17E27" w:rsidRPr="001F13EC" w:rsidRDefault="00C17E27"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1</w:t>
      </w:r>
      <w:r w:rsidR="00F469A4">
        <w:rPr>
          <w:rFonts w:ascii="MS Mincho" w:eastAsia="MS Mincho" w:hAnsi="MS Mincho" w:cs="MS Mincho"/>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համաձայնությունն ուժի մեջ կմտնի և վավերական կդառնա միայն՝</w:t>
      </w:r>
    </w:p>
    <w:p w:rsidR="007A2CFE" w:rsidRPr="001F13EC" w:rsidRDefault="00F469A4"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sidRPr="00F469A4">
        <w:rPr>
          <w:rFonts w:ascii="GHEA Grapalat" w:eastAsia="Times New Roman" w:hAnsi="GHEA Grapalat" w:cs="Times New Roman"/>
          <w:color w:val="000000"/>
          <w:sz w:val="24"/>
          <w:szCs w:val="24"/>
          <w:lang w:val="hy-AM"/>
        </w:rPr>
        <w:t>)</w:t>
      </w:r>
      <w:r w:rsidR="00D46FA2" w:rsidRPr="001F13EC">
        <w:rPr>
          <w:rFonts w:ascii="GHEA Grapalat" w:eastAsia="Times New Roman" w:hAnsi="GHEA Grapalat" w:cs="Times New Roman"/>
          <w:color w:val="000000"/>
          <w:sz w:val="24"/>
          <w:szCs w:val="24"/>
          <w:lang w:val="hy-AM"/>
        </w:rPr>
        <w:t xml:space="preserve"> </w:t>
      </w:r>
      <w:r w:rsidR="00C17E27" w:rsidRPr="001F13EC">
        <w:rPr>
          <w:rFonts w:ascii="GHEA Grapalat" w:eastAsia="Times New Roman" w:hAnsi="GHEA Grapalat" w:cs="Times New Roman"/>
          <w:color w:val="000000"/>
          <w:sz w:val="24"/>
          <w:szCs w:val="24"/>
          <w:lang w:val="hy-AM"/>
        </w:rPr>
        <w:t xml:space="preserve">եթե Վերակառուցման և զարգացման եվրոպական բանկի և Ասիական զարգացման բանկի հետ </w:t>
      </w:r>
      <w:r w:rsidR="0087491B" w:rsidRPr="001F13EC">
        <w:rPr>
          <w:rFonts w:ascii="GHEA Grapalat" w:eastAsia="Times New Roman" w:hAnsi="GHEA Grapalat" w:cs="Times New Roman"/>
          <w:color w:val="000000"/>
          <w:sz w:val="24"/>
          <w:szCs w:val="24"/>
          <w:lang w:val="hy-AM"/>
        </w:rPr>
        <w:t>կնքվ</w:t>
      </w:r>
      <w:r w:rsidR="00036DDD">
        <w:rPr>
          <w:rFonts w:ascii="GHEA Grapalat" w:eastAsia="Times New Roman" w:hAnsi="GHEA Grapalat" w:cs="Times New Roman"/>
          <w:color w:val="000000"/>
          <w:sz w:val="24"/>
          <w:szCs w:val="24"/>
          <w:lang w:val="hy-AM"/>
        </w:rPr>
        <w:t>ելիք</w:t>
      </w:r>
      <w:r w:rsidR="00C17E27" w:rsidRPr="001F13EC">
        <w:rPr>
          <w:rFonts w:ascii="GHEA Grapalat" w:eastAsia="Times New Roman" w:hAnsi="GHEA Grapalat" w:cs="Times New Roman"/>
          <w:color w:val="000000"/>
          <w:sz w:val="24"/>
          <w:szCs w:val="24"/>
          <w:lang w:val="hy-AM"/>
        </w:rPr>
        <w:t>՝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w:t>
      </w:r>
      <w:r w:rsidR="00695DFC" w:rsidRPr="001F13EC">
        <w:rPr>
          <w:rFonts w:ascii="GHEA Grapalat" w:eastAsia="Times New Roman" w:hAnsi="GHEA Grapalat" w:cs="Times New Roman"/>
          <w:color w:val="000000"/>
          <w:sz w:val="24"/>
          <w:szCs w:val="24"/>
          <w:lang w:val="hy-AM"/>
        </w:rPr>
        <w:t xml:space="preserve"> </w:t>
      </w:r>
      <w:r w:rsidR="00FB570D" w:rsidRPr="001F13EC">
        <w:rPr>
          <w:rFonts w:ascii="GHEA Grapalat" w:eastAsia="Times New Roman" w:hAnsi="GHEA Grapalat" w:cs="Times New Roman"/>
          <w:color w:val="000000"/>
          <w:sz w:val="24"/>
          <w:szCs w:val="24"/>
          <w:lang w:val="hy-AM"/>
        </w:rPr>
        <w:t>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w:t>
      </w:r>
      <w:r w:rsidR="00695DFC" w:rsidRPr="001F13EC">
        <w:rPr>
          <w:rFonts w:ascii="GHEA Grapalat" w:eastAsia="Times New Roman" w:hAnsi="GHEA Grapalat" w:cs="Times New Roman"/>
          <w:color w:val="000000"/>
          <w:sz w:val="24"/>
          <w:szCs w:val="24"/>
          <w:lang w:val="hy-AM"/>
        </w:rPr>
        <w:lastRenderedPageBreak/>
        <w:t>եթե այդպիսիք լինեն,</w:t>
      </w:r>
      <w:r w:rsidR="00C17E27" w:rsidRPr="001F13EC">
        <w:rPr>
          <w:rFonts w:ascii="GHEA Grapalat" w:eastAsia="Times New Roman" w:hAnsi="GHEA Grapalat" w:cs="Times New Roman"/>
          <w:color w:val="000000"/>
          <w:sz w:val="24"/>
          <w:szCs w:val="24"/>
          <w:lang w:val="hy-AM"/>
        </w:rPr>
        <w:t xml:space="preserve"> գրավի պայմանագրի (այսուհետ՝ գրավի պայմանագիր) համաձայն գրավի առարկայի վրա բռնագանձում տարածելու կարգում ներառվեն պայմաններ, որոնցով բացառվի բաժնետոմսերի նկատմամբ սեփականության իրավունքի փոխանցումը՝ առանց Հայաստանի Հանրապետության կառավարության և Հայաստանի Հանրապետության հանրային ծառայությունները կարգավորող հանձնաժողովի գրավոր համաձայնությունների,</w:t>
      </w:r>
    </w:p>
    <w:p w:rsidR="00D46FA2" w:rsidRPr="001F13EC" w:rsidRDefault="00F469A4"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469A4">
        <w:rPr>
          <w:rFonts w:ascii="GHEA Grapalat" w:eastAsia="Times New Roman" w:hAnsi="GHEA Grapalat" w:cs="Times New Roman"/>
          <w:color w:val="000000"/>
          <w:sz w:val="24"/>
          <w:szCs w:val="24"/>
          <w:lang w:val="hy-AM"/>
        </w:rPr>
        <w:t>2)</w:t>
      </w:r>
      <w:r w:rsidRPr="001F13EC">
        <w:rPr>
          <w:rFonts w:ascii="GHEA Grapalat" w:eastAsia="Times New Roman" w:hAnsi="GHEA Grapalat" w:cs="Times New Roman"/>
          <w:color w:val="000000"/>
          <w:sz w:val="24"/>
          <w:szCs w:val="24"/>
          <w:lang w:val="hy-AM"/>
        </w:rPr>
        <w:t xml:space="preserve"> </w:t>
      </w:r>
      <w:r w:rsidR="00D46FA2" w:rsidRPr="001F13EC">
        <w:rPr>
          <w:rFonts w:ascii="GHEA Grapalat" w:eastAsia="Times New Roman" w:hAnsi="GHEA Grapalat" w:cs="Times New Roman"/>
          <w:color w:val="000000"/>
          <w:sz w:val="24"/>
          <w:szCs w:val="24"/>
          <w:lang w:val="hy-AM"/>
        </w:rPr>
        <w:t>«Կասկադ-Էներգացանց» սահմանափակ պատասխանատվությամբ ընկերության կողմից սույն համաձայնության պայմանների գրավոր ընդունումից հետո.</w:t>
      </w:r>
    </w:p>
    <w:p w:rsidR="00783079" w:rsidRPr="001F13EC" w:rsidRDefault="00783079"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2</w:t>
      </w:r>
      <w:r w:rsidR="00F469A4" w:rsidRPr="00F469A4">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համաձայնությունը վավերական է այնքան ժամանակ, քանի դեռ վավերական են սույն համաձայնության 1-ին կետում նշված պայմանները, և ուժի մեջ է գրավի պայմանագիրը:</w:t>
      </w:r>
    </w:p>
    <w:p w:rsidR="00783079" w:rsidRPr="001F13EC" w:rsidRDefault="00783079"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Գրավի պայմանագիրը որևէ պատճառով անվավեր կամ ուժը կորցրած ճանաչվելու դեպքում սույն համաձայնությունը համարվում է հետ կանչված և անվավեր՝ բոլոր նպատակների համար, իսկ «Կասկադ-Էներգացանց» սահմանափակ պատասխանատվությամբ ընկերությունը շարունակում է պատասխանատու մնալ Հայաստանի Հանրապետության օրենսդրությամբ և 2002 թվականի օգոստոսի 26-ին Հայաստանի Հանրապետության կառավարության ու «Միդլենդ Ռեսուրսիս Հոլդինգ Լիմիթեդ» ընկերության միջև կնքված «Հայաստանի էլեկտրական ցանցեր» փակ բաժնետիրական ընկերության բաժնետոմսերի վաճառքի պայմանագրով, Հայաստանի Հանրապետության կառավարության, «Լիորմանդ Հոլդինգզ Լիմիթեդ» և «Կասկադ Էներգացանց» ընկերությունների միջև 2015 թվականի հոկտեմբերի 30-ին կնքված լրացուցիչ համաձայնագրով, ինչպես նաև «Լիորմանդ Հոլդինգզ Լիմիթեդ» ընկերության, «Տաշիր Կապիտալ» փակ բաժնետիրական ընկերության և «Կասկադ-Էներգացանց» սահմանափակ պատասխանատվությամբ ընկերության միջև 2017 թվականի ապրիլի 13-ին կնքված համաձայնագրով նախատեսված բաժնետիրոջ բոլոր պարտավորությունների համար.</w:t>
      </w:r>
    </w:p>
    <w:p w:rsidR="00783079" w:rsidRPr="001F13EC" w:rsidRDefault="00783079"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3</w:t>
      </w:r>
      <w:r w:rsidR="00F469A4" w:rsidRPr="00F469A4">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համաձայնությունը կարգավորվում է Ամերիկայի Միացյալ Նահանգների Նյու Յորք նահանգի օրենսդրությամբ: Սույ</w:t>
      </w:r>
      <w:r w:rsidR="00F037B2" w:rsidRPr="001F13EC">
        <w:rPr>
          <w:rFonts w:ascii="GHEA Grapalat" w:eastAsia="Times New Roman" w:hAnsi="GHEA Grapalat" w:cs="Times New Roman"/>
          <w:color w:val="000000"/>
          <w:sz w:val="24"/>
          <w:szCs w:val="24"/>
          <w:lang w:val="hy-AM"/>
        </w:rPr>
        <w:t xml:space="preserve">ն համաձայնությունից, ինչպես նաև </w:t>
      </w:r>
      <w:r w:rsidRPr="001F13EC">
        <w:rPr>
          <w:rFonts w:ascii="GHEA Grapalat" w:eastAsia="Times New Roman" w:hAnsi="GHEA Grapalat" w:cs="Times New Roman"/>
          <w:color w:val="000000"/>
          <w:sz w:val="24"/>
          <w:szCs w:val="24"/>
          <w:lang w:val="hy-AM"/>
        </w:rPr>
        <w:lastRenderedPageBreak/>
        <w:t>համաձայնագր</w:t>
      </w:r>
      <w:r w:rsidR="00443445" w:rsidRPr="001F13EC">
        <w:rPr>
          <w:rFonts w:ascii="GHEA Grapalat" w:eastAsia="Times New Roman" w:hAnsi="GHEA Grapalat" w:cs="Times New Roman"/>
          <w:color w:val="000000"/>
          <w:sz w:val="24"/>
          <w:szCs w:val="24"/>
          <w:lang w:val="hy-AM"/>
        </w:rPr>
        <w:t>ի</w:t>
      </w:r>
      <w:r w:rsidRPr="001F13EC">
        <w:rPr>
          <w:rFonts w:ascii="GHEA Grapalat" w:eastAsia="Times New Roman" w:hAnsi="GHEA Grapalat" w:cs="Times New Roman"/>
          <w:color w:val="000000"/>
          <w:sz w:val="24"/>
          <w:szCs w:val="24"/>
          <w:lang w:val="hy-AM"/>
        </w:rPr>
        <w:t>ց ծագած բոլոր վեճերի նկատմամբ կիրառվելու է 2002 թվականի օգոստոսի 26-ին «Միդլենդ Ռեսուրսիս Հոլդինգ Լիմիթեդ» ընկերության և Հայաստանի Հանրապետության կառավարության միջև կնքված` «Հայաստանի էլեկտրական ցանցեր» փակ բաժնետիրական ընկերության բաժնետոմսերի վաճառքի պայմանագրի 10.12-րդ կետով նախատեսված՝ վեճերի լուծման վերաբերյալ դրույթը:</w:t>
      </w:r>
    </w:p>
    <w:p w:rsidR="00FA5256" w:rsidRDefault="00FA5256" w:rsidP="00230E22">
      <w:pPr>
        <w:ind w:firstLine="720"/>
        <w:rPr>
          <w:rFonts w:ascii="Sylfaen" w:hAnsi="Sylfaen"/>
          <w:lang w:val="hy-AM"/>
        </w:rPr>
      </w:pPr>
      <w:r w:rsidRPr="00D17F85">
        <w:rPr>
          <w:lang w:val="hy-AM"/>
        </w:rPr>
        <w:br w:type="page"/>
      </w:r>
    </w:p>
    <w:p w:rsidR="00230E22" w:rsidRPr="00230E22" w:rsidRDefault="00230E22" w:rsidP="00230E22">
      <w:pPr>
        <w:ind w:firstLine="720"/>
        <w:rPr>
          <w:rFonts w:ascii="Sylfaen" w:hAnsi="Sylfaen"/>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617"/>
        <w:gridCol w:w="4521"/>
      </w:tblGrid>
      <w:tr w:rsidR="001A3B4D" w:rsidRPr="00230E22" w:rsidTr="009526A2">
        <w:trPr>
          <w:tblCellSpacing w:w="7" w:type="dxa"/>
        </w:trPr>
        <w:tc>
          <w:tcPr>
            <w:tcW w:w="0" w:type="auto"/>
            <w:shd w:val="clear" w:color="auto" w:fill="FFFFFF"/>
            <w:vAlign w:val="center"/>
            <w:hideMark/>
          </w:tcPr>
          <w:p w:rsidR="001A3B4D" w:rsidRPr="00230E22" w:rsidRDefault="00783079" w:rsidP="00740944">
            <w:pPr>
              <w:spacing w:after="0" w:line="360" w:lineRule="auto"/>
              <w:jc w:val="both"/>
              <w:rPr>
                <w:rFonts w:ascii="GHEA Grapalat" w:eastAsia="Times New Roman" w:hAnsi="GHEA Grapalat" w:cs="Times New Roman"/>
                <w:b/>
                <w:color w:val="000000"/>
                <w:sz w:val="24"/>
                <w:szCs w:val="24"/>
                <w:highlight w:val="yellow"/>
                <w:lang w:val="hy-AM"/>
              </w:rPr>
            </w:pPr>
            <w:r w:rsidRPr="00230E22">
              <w:rPr>
                <w:rFonts w:ascii="Sylfaen" w:eastAsia="Times New Roman" w:hAnsi="Sylfaen" w:cs="Calibri"/>
                <w:b/>
                <w:color w:val="000000"/>
                <w:sz w:val="24"/>
                <w:szCs w:val="24"/>
                <w:lang w:val="hy-AM"/>
              </w:rPr>
              <w:t> </w:t>
            </w:r>
            <w:r w:rsidR="001A3B4D" w:rsidRPr="00230E22">
              <w:rPr>
                <w:rFonts w:ascii="Sylfaen" w:eastAsia="Times New Roman" w:hAnsi="Sylfaen" w:cs="Calibri"/>
                <w:b/>
                <w:color w:val="000000"/>
                <w:sz w:val="24"/>
                <w:szCs w:val="24"/>
                <w:lang w:val="hy-AM"/>
              </w:rPr>
              <w:t> </w:t>
            </w:r>
          </w:p>
        </w:tc>
        <w:tc>
          <w:tcPr>
            <w:tcW w:w="4500" w:type="dxa"/>
            <w:shd w:val="clear" w:color="auto" w:fill="FFFFFF"/>
            <w:vAlign w:val="bottom"/>
            <w:hideMark/>
          </w:tcPr>
          <w:p w:rsidR="001A3B4D" w:rsidRPr="00230E22" w:rsidRDefault="00740944" w:rsidP="00740944">
            <w:pPr>
              <w:spacing w:after="0" w:line="360" w:lineRule="auto"/>
              <w:jc w:val="right"/>
              <w:rPr>
                <w:rFonts w:ascii="GHEA Grapalat" w:eastAsia="Times New Roman" w:hAnsi="GHEA Grapalat" w:cs="Times New Roman"/>
                <w:b/>
                <w:color w:val="000000"/>
                <w:sz w:val="24"/>
                <w:szCs w:val="24"/>
                <w:highlight w:val="yellow"/>
                <w:lang w:val="hy-AM"/>
              </w:rPr>
            </w:pPr>
            <w:r w:rsidRPr="00230E22">
              <w:rPr>
                <w:rFonts w:ascii="GHEA Grapalat" w:eastAsia="Times New Roman" w:hAnsi="GHEA Grapalat" w:cs="Times New Roman"/>
                <w:b/>
                <w:bCs/>
                <w:color w:val="000000"/>
                <w:sz w:val="24"/>
                <w:szCs w:val="24"/>
                <w:lang w:val="hy-AM"/>
              </w:rPr>
              <w:t>Հ</w:t>
            </w:r>
            <w:r w:rsidR="001A3B4D" w:rsidRPr="00230E22">
              <w:rPr>
                <w:rFonts w:ascii="GHEA Grapalat" w:eastAsia="Times New Roman" w:hAnsi="GHEA Grapalat" w:cs="Times New Roman"/>
                <w:b/>
                <w:bCs/>
                <w:color w:val="000000"/>
                <w:sz w:val="24"/>
                <w:szCs w:val="24"/>
                <w:lang w:val="hy-AM"/>
              </w:rPr>
              <w:t>ավելված</w:t>
            </w:r>
            <w:r w:rsidRPr="00230E22">
              <w:rPr>
                <w:rFonts w:ascii="GHEA Grapalat" w:eastAsia="Times New Roman" w:hAnsi="GHEA Grapalat" w:cs="Times New Roman"/>
                <w:b/>
                <w:bCs/>
                <w:color w:val="000000"/>
                <w:sz w:val="24"/>
                <w:szCs w:val="24"/>
                <w:lang w:val="hy-AM"/>
              </w:rPr>
              <w:t xml:space="preserve"> N 2</w:t>
            </w:r>
            <w:r w:rsidR="008A711C" w:rsidRPr="00230E22">
              <w:rPr>
                <w:rFonts w:ascii="GHEA Grapalat" w:eastAsia="Times New Roman" w:hAnsi="GHEA Grapalat" w:cs="Times New Roman"/>
                <w:b/>
                <w:bCs/>
                <w:color w:val="000000"/>
                <w:sz w:val="24"/>
                <w:szCs w:val="24"/>
                <w:lang w:val="hy-AM"/>
              </w:rPr>
              <w:br/>
              <w:t>ՀՀ կառավարության 2021</w:t>
            </w:r>
            <w:r w:rsidR="001A3B4D" w:rsidRPr="00230E22">
              <w:rPr>
                <w:rFonts w:ascii="GHEA Grapalat" w:eastAsia="Times New Roman" w:hAnsi="GHEA Grapalat" w:cs="Times New Roman"/>
                <w:b/>
                <w:bCs/>
                <w:color w:val="000000"/>
                <w:sz w:val="24"/>
                <w:szCs w:val="24"/>
                <w:lang w:val="hy-AM"/>
              </w:rPr>
              <w:t xml:space="preserve"> թվականի</w:t>
            </w:r>
            <w:r w:rsidR="001A3B4D" w:rsidRPr="00230E22">
              <w:rPr>
                <w:rFonts w:ascii="GHEA Grapalat" w:eastAsia="Times New Roman" w:hAnsi="GHEA Grapalat" w:cs="Times New Roman"/>
                <w:b/>
                <w:bCs/>
                <w:color w:val="000000"/>
                <w:sz w:val="24"/>
                <w:szCs w:val="24"/>
                <w:lang w:val="hy-AM"/>
              </w:rPr>
              <w:br/>
            </w:r>
            <w:r w:rsidR="000A4824" w:rsidRPr="00230E22">
              <w:rPr>
                <w:rFonts w:ascii="GHEA Grapalat" w:eastAsia="Times New Roman" w:hAnsi="GHEA Grapalat" w:cs="Times New Roman"/>
                <w:b/>
                <w:bCs/>
                <w:color w:val="000000"/>
                <w:sz w:val="24"/>
                <w:szCs w:val="24"/>
                <w:lang w:val="hy-AM"/>
              </w:rPr>
              <w:t>___________</w:t>
            </w:r>
            <w:r w:rsidR="005A3DED" w:rsidRPr="00230E22">
              <w:rPr>
                <w:rFonts w:ascii="GHEA Grapalat" w:eastAsia="Times New Roman" w:hAnsi="GHEA Grapalat" w:cs="Times New Roman"/>
                <w:b/>
                <w:bCs/>
                <w:color w:val="000000"/>
                <w:sz w:val="24"/>
                <w:szCs w:val="24"/>
                <w:lang w:val="hy-AM"/>
              </w:rPr>
              <w:t xml:space="preserve"> </w:t>
            </w:r>
            <w:r w:rsidR="000A4824" w:rsidRPr="00230E22">
              <w:rPr>
                <w:rFonts w:ascii="GHEA Grapalat" w:eastAsia="Times New Roman" w:hAnsi="GHEA Grapalat" w:cs="Times New Roman"/>
                <w:b/>
                <w:bCs/>
                <w:color w:val="000000"/>
                <w:sz w:val="24"/>
                <w:szCs w:val="24"/>
                <w:lang w:val="hy-AM"/>
              </w:rPr>
              <w:t>____</w:t>
            </w:r>
            <w:r w:rsidR="001A3B4D" w:rsidRPr="00230E22">
              <w:rPr>
                <w:rFonts w:ascii="GHEA Grapalat" w:eastAsia="Times New Roman" w:hAnsi="GHEA Grapalat" w:cs="Times New Roman"/>
                <w:b/>
                <w:bCs/>
                <w:color w:val="000000"/>
                <w:sz w:val="24"/>
                <w:szCs w:val="24"/>
                <w:lang w:val="hy-AM"/>
              </w:rPr>
              <w:t>-ի N ___-Ա որոշման</w:t>
            </w:r>
          </w:p>
        </w:tc>
      </w:tr>
    </w:tbl>
    <w:p w:rsidR="00122C90" w:rsidRPr="00230E22" w:rsidRDefault="00122C90" w:rsidP="00740944">
      <w:pPr>
        <w:spacing w:line="360" w:lineRule="auto"/>
        <w:rPr>
          <w:rFonts w:ascii="GHEA Grapalat" w:hAnsi="GHEA Grapalat"/>
          <w:b/>
          <w:sz w:val="24"/>
          <w:szCs w:val="24"/>
          <w:lang w:val="hy-AM"/>
        </w:rPr>
      </w:pPr>
    </w:p>
    <w:p w:rsidR="00122C90" w:rsidRPr="00230E22" w:rsidRDefault="00122C90" w:rsidP="00740944">
      <w:pPr>
        <w:shd w:val="clear" w:color="auto" w:fill="FFFFFF"/>
        <w:spacing w:after="0" w:line="360" w:lineRule="auto"/>
        <w:ind w:firstLine="375"/>
        <w:jc w:val="center"/>
        <w:rPr>
          <w:rFonts w:ascii="GHEA Grapalat" w:eastAsia="Times New Roman" w:hAnsi="GHEA Grapalat" w:cs="Times New Roman"/>
          <w:b/>
          <w:color w:val="000000"/>
          <w:sz w:val="24"/>
          <w:szCs w:val="24"/>
          <w:lang w:val="hy-AM"/>
        </w:rPr>
      </w:pPr>
      <w:r w:rsidRPr="00230E22">
        <w:rPr>
          <w:rFonts w:ascii="GHEA Grapalat" w:eastAsia="Times New Roman" w:hAnsi="GHEA Grapalat" w:cs="Times New Roman"/>
          <w:b/>
          <w:bCs/>
          <w:color w:val="000000"/>
          <w:sz w:val="24"/>
          <w:szCs w:val="24"/>
          <w:lang w:val="hy-AM"/>
        </w:rPr>
        <w:t>Հ Ա Մ Ա Ձ Ա Յ Ն ՈՒ Թ Յ ՈՒ Ն</w:t>
      </w:r>
    </w:p>
    <w:p w:rsidR="00122C90" w:rsidRPr="001F13EC" w:rsidRDefault="00122C90" w:rsidP="00740944">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1F13EC">
        <w:rPr>
          <w:rFonts w:ascii="Sylfaen" w:eastAsia="Times New Roman" w:hAnsi="Sylfaen" w:cs="Calibri"/>
          <w:color w:val="000000"/>
          <w:sz w:val="24"/>
          <w:szCs w:val="24"/>
          <w:lang w:val="hy-AM"/>
        </w:rPr>
        <w:t> </w:t>
      </w:r>
    </w:p>
    <w:p w:rsidR="00122C90" w:rsidRPr="001F13EC" w:rsidRDefault="00122C90"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 xml:space="preserve">Հայաստանի Հանրապետության կառավարությունը սույն համաձայնությամբ տալիս է պատշաճ կերպով հաստատված իր համաձայնությունը` </w:t>
      </w:r>
      <w:r w:rsidR="00BE52B7"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Հայաստանի էլեկտրական ցանցեր» փակ բաժնետիրական ընկերության</w:t>
      </w:r>
      <w:r w:rsidR="00BE52B7" w:rsidRPr="001F13EC">
        <w:rPr>
          <w:rFonts w:ascii="GHEA Grapalat" w:eastAsia="Times New Roman" w:hAnsi="GHEA Grapalat" w:cs="Times New Roman"/>
          <w:color w:val="000000"/>
          <w:sz w:val="24"/>
          <w:szCs w:val="24"/>
          <w:lang w:val="hy-AM"/>
        </w:rPr>
        <w:t xml:space="preserve"> կողմից Միջազգային ֆինանսական կորպորացիայից վարկային միջոցներ ներգրավելու նպատակով որպես ապահովման միջոց</w:t>
      </w:r>
      <w:r w:rsidRPr="001F13EC">
        <w:rPr>
          <w:rFonts w:ascii="GHEA Grapalat" w:eastAsia="Times New Roman" w:hAnsi="GHEA Grapalat" w:cs="Times New Roman"/>
          <w:color w:val="000000"/>
          <w:sz w:val="24"/>
          <w:szCs w:val="24"/>
          <w:lang w:val="hy-AM"/>
        </w:rPr>
        <w:t xml:space="preserve"> «Լիորմանդ Հոլդինգզ Լիմիթեդ» ընկերությանը պատկանող</w:t>
      </w:r>
      <w:r w:rsidR="00FB570D"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«Հայաստանի էլեկտրական ցանցեր» փակ բաժնետիրական ընկերության կանոնադրական կապիտալի 30</w:t>
      </w:r>
      <w:r w:rsidR="002D0670"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00004</w:t>
      </w:r>
      <w:r w:rsidR="00D90075" w:rsidRPr="001F13EC">
        <w:rPr>
          <w:rFonts w:ascii="GHEA Grapalat" w:eastAsia="Times New Roman" w:hAnsi="GHEA Grapalat" w:cs="Times New Roman"/>
          <w:color w:val="000000"/>
          <w:sz w:val="24"/>
          <w:szCs w:val="24"/>
          <w:lang w:val="hy-AM"/>
        </w:rPr>
        <w:t>1</w:t>
      </w:r>
      <w:r w:rsidRPr="001F13EC">
        <w:rPr>
          <w:rFonts w:ascii="GHEA Grapalat" w:eastAsia="Times New Roman" w:hAnsi="GHEA Grapalat" w:cs="Times New Roman"/>
          <w:color w:val="000000"/>
          <w:sz w:val="24"/>
          <w:szCs w:val="24"/>
          <w:lang w:val="hy-AM"/>
        </w:rPr>
        <w:t xml:space="preserve"> տոկոսը կազմող՝ 73927 հատ սովորական բաժնետոմսերի և «Տաշիր Կապիտալ» փակ բաժնետիրական ընկերությանը պատկանող՝ «Հայաստանի էլեկտրական ցանցեր» փակ բաժնետիրական ընկերության կանոնադրական կապիտալի 69,999959 տոկոսը կազմող՝ 172496 հատ սովորական բաժնետոմսերի, ընդամենը՝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 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եթե այդպիսիք լինեն,</w:t>
      </w:r>
      <w:r w:rsidRPr="001F13EC">
        <w:rPr>
          <w:rFonts w:ascii="GHEA Grapalat" w:eastAsia="Times New Roman" w:hAnsi="GHEA Grapalat" w:cs="Times New Roman"/>
          <w:color w:val="000000"/>
          <w:sz w:val="24"/>
          <w:szCs w:val="24"/>
          <w:lang w:val="hy-AM"/>
        </w:rPr>
        <w:t xml:space="preserve"> գրավադրման գործարքին` հետևյալ պայմաններով՝</w:t>
      </w:r>
    </w:p>
    <w:p w:rsidR="00C17E27" w:rsidRPr="001F13EC" w:rsidRDefault="00C17E27"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1</w:t>
      </w:r>
      <w:r w:rsidR="00F469A4" w:rsidRPr="00F469A4">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համաձայնությունն ուժի մեջ կմտնի և վավերական կդառնա միայն՝</w:t>
      </w:r>
    </w:p>
    <w:p w:rsidR="00BA344E" w:rsidRPr="001F13EC" w:rsidRDefault="00F469A4"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469A4">
        <w:rPr>
          <w:rFonts w:ascii="GHEA Grapalat" w:eastAsia="Times New Roman" w:hAnsi="GHEA Grapalat" w:cs="Times New Roman"/>
          <w:color w:val="000000"/>
          <w:sz w:val="24"/>
          <w:szCs w:val="24"/>
          <w:lang w:val="hy-AM"/>
        </w:rPr>
        <w:t>1)</w:t>
      </w:r>
      <w:r w:rsidR="00D46FA2" w:rsidRPr="001F13EC">
        <w:rPr>
          <w:rFonts w:ascii="GHEA Grapalat" w:eastAsia="Times New Roman" w:hAnsi="GHEA Grapalat" w:cs="Times New Roman"/>
          <w:color w:val="000000"/>
          <w:sz w:val="24"/>
          <w:szCs w:val="24"/>
          <w:lang w:val="hy-AM"/>
        </w:rPr>
        <w:t xml:space="preserve"> </w:t>
      </w:r>
      <w:r w:rsidR="00C17E27" w:rsidRPr="001F13EC">
        <w:rPr>
          <w:rFonts w:ascii="GHEA Grapalat" w:eastAsia="Times New Roman" w:hAnsi="GHEA Grapalat" w:cs="Times New Roman"/>
          <w:color w:val="000000"/>
          <w:sz w:val="24"/>
          <w:szCs w:val="24"/>
          <w:lang w:val="hy-AM"/>
        </w:rPr>
        <w:t>եթե Միջազգային ֆինանսական կորպորացիայի հետ կնքվելիք՝ «Հայաստանի էլեկտրական ցանցեր» փակ բաժնետիրական ընկերության կանոնադրական կապիտալի 100 տոկոսը կազմող՝ 246423 հատ սովորական բաժնետոմսերի</w:t>
      </w:r>
      <w:r w:rsidR="00FB570D" w:rsidRPr="001F13EC">
        <w:rPr>
          <w:rFonts w:ascii="GHEA Grapalat" w:eastAsia="Times New Roman" w:hAnsi="GHEA Grapalat" w:cs="Times New Roman"/>
          <w:color w:val="000000"/>
          <w:sz w:val="24"/>
          <w:szCs w:val="24"/>
          <w:lang w:val="hy-AM"/>
        </w:rPr>
        <w:t>, ինչպես նաև</w:t>
      </w:r>
      <w:r w:rsidR="00695DFC" w:rsidRPr="001F13EC">
        <w:rPr>
          <w:rFonts w:ascii="GHEA Grapalat" w:eastAsia="Times New Roman" w:hAnsi="GHEA Grapalat" w:cs="Times New Roman"/>
          <w:color w:val="000000"/>
          <w:sz w:val="24"/>
          <w:szCs w:val="24"/>
          <w:lang w:val="hy-AM"/>
        </w:rPr>
        <w:t xml:space="preserve"> ապագայում թողարկվող բաժնետոմսերի, եթե այդպիսիք լինեն,</w:t>
      </w:r>
      <w:r w:rsidR="00C17E27" w:rsidRPr="001F13EC">
        <w:rPr>
          <w:rFonts w:ascii="GHEA Grapalat" w:eastAsia="Times New Roman" w:hAnsi="GHEA Grapalat" w:cs="Times New Roman"/>
          <w:color w:val="000000"/>
          <w:sz w:val="24"/>
          <w:szCs w:val="24"/>
          <w:lang w:val="hy-AM"/>
        </w:rPr>
        <w:t xml:space="preserve"> գրա</w:t>
      </w:r>
      <w:r w:rsidR="00F037B2" w:rsidRPr="001F13EC">
        <w:rPr>
          <w:rFonts w:ascii="GHEA Grapalat" w:eastAsia="Times New Roman" w:hAnsi="GHEA Grapalat" w:cs="Times New Roman"/>
          <w:color w:val="000000"/>
          <w:sz w:val="24"/>
          <w:szCs w:val="24"/>
          <w:lang w:val="hy-AM"/>
        </w:rPr>
        <w:t>վի պայմանագրի (այսուհետ՝ Գ</w:t>
      </w:r>
      <w:r w:rsidR="00C17E27" w:rsidRPr="001F13EC">
        <w:rPr>
          <w:rFonts w:ascii="GHEA Grapalat" w:eastAsia="Times New Roman" w:hAnsi="GHEA Grapalat" w:cs="Times New Roman"/>
          <w:color w:val="000000"/>
          <w:sz w:val="24"/>
          <w:szCs w:val="24"/>
          <w:lang w:val="hy-AM"/>
        </w:rPr>
        <w:t xml:space="preserve">րավի պայմանագիր) համաձայն գրավի առարկայի վրա բռնագանձում տարածելու կարգում ներառվեն պայմաններ, որոնցով բացառվի բաժնետոմսերի նկատմամբ </w:t>
      </w:r>
      <w:r w:rsidR="00C17E27" w:rsidRPr="001F13EC">
        <w:rPr>
          <w:rFonts w:ascii="GHEA Grapalat" w:eastAsia="Times New Roman" w:hAnsi="GHEA Grapalat" w:cs="Times New Roman"/>
          <w:color w:val="000000"/>
          <w:sz w:val="24"/>
          <w:szCs w:val="24"/>
          <w:lang w:val="hy-AM"/>
        </w:rPr>
        <w:lastRenderedPageBreak/>
        <w:t>սեփականության իրավունքի փոխանցումը՝ առանց Հայաստանի Հանրապետության կառավարության և Հայաստանի Հանրապետության հանրային ծառայությունները կարգավորող հանձնաժողովի գրավոր համաձայնությունների,</w:t>
      </w:r>
    </w:p>
    <w:p w:rsidR="00D46FA2" w:rsidRPr="001F13EC" w:rsidRDefault="00F469A4"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F469A4">
        <w:rPr>
          <w:rFonts w:ascii="GHEA Grapalat" w:eastAsia="Times New Roman" w:hAnsi="GHEA Grapalat" w:cs="Times New Roman"/>
          <w:color w:val="000000"/>
          <w:sz w:val="24"/>
          <w:szCs w:val="24"/>
          <w:lang w:val="hy-AM"/>
        </w:rPr>
        <w:t>2)</w:t>
      </w:r>
      <w:r w:rsidRPr="001F13EC">
        <w:rPr>
          <w:rFonts w:ascii="GHEA Grapalat" w:eastAsia="Times New Roman" w:hAnsi="GHEA Grapalat" w:cs="Times New Roman"/>
          <w:color w:val="000000"/>
          <w:sz w:val="24"/>
          <w:szCs w:val="24"/>
          <w:lang w:val="hy-AM"/>
        </w:rPr>
        <w:t xml:space="preserve"> </w:t>
      </w:r>
      <w:r w:rsidR="00D46FA2" w:rsidRPr="001F13EC">
        <w:rPr>
          <w:rFonts w:ascii="GHEA Grapalat" w:eastAsia="Times New Roman" w:hAnsi="GHEA Grapalat" w:cs="Times New Roman"/>
          <w:color w:val="000000"/>
          <w:sz w:val="24"/>
          <w:szCs w:val="24"/>
          <w:lang w:val="hy-AM"/>
        </w:rPr>
        <w:t>«Կասկադ-Էներգացանց» սահմանափակ պատասխանատվությամբ ընկերության կողմից սույն համաձայնության պայմանների գրավոր ընդունումից հետո.</w:t>
      </w:r>
    </w:p>
    <w:p w:rsidR="00122C90" w:rsidRPr="001F13EC" w:rsidRDefault="00122C90"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2</w:t>
      </w:r>
      <w:r w:rsidR="00F469A4" w:rsidRPr="00F469A4">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համաձայնությունը վավերական է այնքան ժամանակ, քանի դեռ վավերական են սույն համաձայնության 1-ին կետում նշված պայմանները, և ուժի մեջ է գրավի պայմանագիրը:</w:t>
      </w:r>
    </w:p>
    <w:p w:rsidR="00122C90" w:rsidRPr="001F13EC" w:rsidRDefault="00122C90"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Գրավի պայմանագիրը որևէ պատճառով անվավեր կամ ուժը կորցրած ճանաչվելու դեպքում սույն համաձայնությունը համարվում է հետ կանչված և անվավեր՝ բոլոր նպատակների համար, իսկ «Կասկադ-Էներգացանց» սահմանափակ պատասխանատվությամբ ընկերությունը շարունակում է պատասխանատու մնալ Հայաստանի Հանրապետության օրենսդրությամբ և 2002 թվականի օգոստոսի 26-ին Հայաստանի Հանրապետության կառավարության ու «Միդլենդ Ռեսուրսիս Հոլդինգ Լիմիթեդ» ընկերության միջև կնքված «Հայաստանի էլեկտրական ցանցեր» փակ բաժնետիրական ընկերության բաժնետոմսերի վաճառքի պայմանագրով, Հայաստանի Հանրապետության կառավարության, «Լիորմանդ Հոլդինգզ Լիմիթեդ» և «Կասկադ</w:t>
      </w:r>
      <w:r w:rsidR="00314469" w:rsidRPr="001F13EC">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Էներգացանց» ընկերությունների միջև 2015 թվականի հոկտեմբերի 30-ին կնքված լրացուցիչ համաձայնագրով, ինչպես նաև «Լիորմանդ Հոլդինգզ Լիմիթեդ» ընկերության, «Տաշիր Կապիտալ» փակ բաժնետիրական ընկերության և «Կասկադ-Էներգացանց» սահմանափակ պատասխանատվությամբ ընկերության միջև 2017 թվականի ապրիլի 13-ին կնքված համաձայնագրով նախատեսված բաժնետիրոջ բոլոր պարտավորությունների համար.</w:t>
      </w:r>
    </w:p>
    <w:p w:rsidR="00122C90" w:rsidRPr="001F13EC" w:rsidRDefault="00122C90" w:rsidP="00230E2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1F13EC">
        <w:rPr>
          <w:rFonts w:ascii="GHEA Grapalat" w:eastAsia="Times New Roman" w:hAnsi="GHEA Grapalat" w:cs="Times New Roman"/>
          <w:color w:val="000000"/>
          <w:sz w:val="24"/>
          <w:szCs w:val="24"/>
          <w:lang w:val="hy-AM"/>
        </w:rPr>
        <w:t>3</w:t>
      </w:r>
      <w:r w:rsidR="00F469A4" w:rsidRPr="00F469A4">
        <w:rPr>
          <w:rFonts w:ascii="GHEA Grapalat" w:eastAsia="Times New Roman" w:hAnsi="GHEA Grapalat" w:cs="Times New Roman"/>
          <w:color w:val="000000"/>
          <w:sz w:val="24"/>
          <w:szCs w:val="24"/>
          <w:lang w:val="hy-AM"/>
        </w:rPr>
        <w:t>.</w:t>
      </w:r>
      <w:r w:rsidRPr="001F13EC">
        <w:rPr>
          <w:rFonts w:ascii="GHEA Grapalat" w:eastAsia="Times New Roman" w:hAnsi="GHEA Grapalat" w:cs="Times New Roman"/>
          <w:color w:val="000000"/>
          <w:sz w:val="24"/>
          <w:szCs w:val="24"/>
          <w:lang w:val="hy-AM"/>
        </w:rPr>
        <w:t xml:space="preserve"> սույն համաձայնությունը կարգավորվում է Ամերիկայի Միացյալ Նահանգների Նյու Յորք նահանգի օրենսդրությամբ: Սույն համաձայնությունից, ինչպես նաև </w:t>
      </w:r>
      <w:r w:rsidR="00F037B2" w:rsidRPr="001F13EC">
        <w:rPr>
          <w:rFonts w:ascii="GHEA Grapalat" w:eastAsia="Times New Roman" w:hAnsi="GHEA Grapalat" w:cs="Times New Roman"/>
          <w:color w:val="000000"/>
          <w:sz w:val="24"/>
          <w:szCs w:val="24"/>
          <w:lang w:val="hy-AM"/>
        </w:rPr>
        <w:t xml:space="preserve">համաձայնագրից </w:t>
      </w:r>
      <w:r w:rsidRPr="001F13EC">
        <w:rPr>
          <w:rFonts w:ascii="GHEA Grapalat" w:eastAsia="Times New Roman" w:hAnsi="GHEA Grapalat" w:cs="Times New Roman"/>
          <w:color w:val="000000"/>
          <w:sz w:val="24"/>
          <w:szCs w:val="24"/>
          <w:lang w:val="hy-AM"/>
        </w:rPr>
        <w:t xml:space="preserve">ծագած բոլոր վեճերի նկատմամբ կիրառվելու է 2002 թվականի օգոստոսի 26-ին «Միդլենդ Ռեսուրսիս Հոլդինգ Լիմիթեդ» ընկերության և Հայաստանի Հանրապետության կառավարության միջև կնքված` «Հայաստանի էլեկտրական ցանցեր» </w:t>
      </w:r>
      <w:r w:rsidRPr="001F13EC">
        <w:rPr>
          <w:rFonts w:ascii="GHEA Grapalat" w:eastAsia="Times New Roman" w:hAnsi="GHEA Grapalat" w:cs="Times New Roman"/>
          <w:color w:val="000000"/>
          <w:sz w:val="24"/>
          <w:szCs w:val="24"/>
          <w:lang w:val="hy-AM"/>
        </w:rPr>
        <w:lastRenderedPageBreak/>
        <w:t>փակ բաժնետիրական ընկերության բաժնետոմսերի վաճառքի պայմանագրի 10.12-րդ կետով նախատեսված՝ վեճերի լուծման վերաբերյալ դրույթը:</w:t>
      </w:r>
      <w:r w:rsidR="00BE52B7" w:rsidRPr="001F13EC">
        <w:rPr>
          <w:rFonts w:ascii="GHEA Grapalat" w:eastAsia="Times New Roman" w:hAnsi="GHEA Grapalat" w:cs="Times New Roman"/>
          <w:color w:val="000000"/>
          <w:sz w:val="24"/>
          <w:szCs w:val="24"/>
          <w:lang w:val="hy-AM"/>
        </w:rPr>
        <w:t xml:space="preserve"> </w:t>
      </w:r>
    </w:p>
    <w:p w:rsidR="00122C90" w:rsidRPr="001F13EC" w:rsidRDefault="00122C90" w:rsidP="00230E22">
      <w:pPr>
        <w:shd w:val="clear" w:color="auto" w:fill="FFFFFF"/>
        <w:spacing w:after="0" w:line="360" w:lineRule="auto"/>
        <w:ind w:firstLine="720"/>
        <w:jc w:val="both"/>
        <w:rPr>
          <w:rFonts w:ascii="GHEA Grapalat" w:hAnsi="GHEA Grapalat"/>
          <w:sz w:val="24"/>
          <w:szCs w:val="24"/>
          <w:lang w:val="hy-AM"/>
        </w:rPr>
      </w:pPr>
      <w:r w:rsidRPr="001F13EC">
        <w:rPr>
          <w:rFonts w:ascii="Sylfaen" w:eastAsia="Times New Roman" w:hAnsi="Sylfaen" w:cs="Calibri"/>
          <w:color w:val="000000"/>
          <w:sz w:val="24"/>
          <w:szCs w:val="24"/>
          <w:lang w:val="hy-AM"/>
        </w:rPr>
        <w:t> </w:t>
      </w:r>
    </w:p>
    <w:sectPr w:rsidR="00122C90" w:rsidRPr="001F13EC" w:rsidSect="00230E22">
      <w:headerReference w:type="default" r:id="rId8"/>
      <w:pgSz w:w="12240" w:h="15840"/>
      <w:pgMar w:top="720" w:right="990" w:bottom="720" w:left="117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B8A5F" w16cid:durableId="230B149C"/>
  <w16cid:commentId w16cid:paraId="154FDAA7" w16cid:durableId="230B14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96" w:rsidRDefault="00C02696" w:rsidP="00685BE7">
      <w:pPr>
        <w:spacing w:after="0" w:line="240" w:lineRule="auto"/>
      </w:pPr>
      <w:r>
        <w:separator/>
      </w:r>
    </w:p>
  </w:endnote>
  <w:endnote w:type="continuationSeparator" w:id="0">
    <w:p w:rsidR="00C02696" w:rsidRDefault="00C02696" w:rsidP="006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96" w:rsidRDefault="00C02696" w:rsidP="00685BE7">
      <w:pPr>
        <w:spacing w:after="0" w:line="240" w:lineRule="auto"/>
      </w:pPr>
      <w:r>
        <w:separator/>
      </w:r>
    </w:p>
  </w:footnote>
  <w:footnote w:type="continuationSeparator" w:id="0">
    <w:p w:rsidR="00C02696" w:rsidRDefault="00C02696" w:rsidP="006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E7" w:rsidRPr="0088600D" w:rsidRDefault="00685BE7" w:rsidP="00685BE7">
    <w:pPr>
      <w:pStyle w:val="Header"/>
      <w:jc w:val="right"/>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ACA"/>
    <w:multiLevelType w:val="hybridMultilevel"/>
    <w:tmpl w:val="16C0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3097"/>
    <w:rsid w:val="00002CDC"/>
    <w:rsid w:val="000051B1"/>
    <w:rsid w:val="000206C4"/>
    <w:rsid w:val="00036DDD"/>
    <w:rsid w:val="0005253F"/>
    <w:rsid w:val="000549ED"/>
    <w:rsid w:val="00060A31"/>
    <w:rsid w:val="00063EC0"/>
    <w:rsid w:val="00087F6E"/>
    <w:rsid w:val="000931B6"/>
    <w:rsid w:val="000A4824"/>
    <w:rsid w:val="000E5DAA"/>
    <w:rsid w:val="0011024E"/>
    <w:rsid w:val="001215E0"/>
    <w:rsid w:val="00122C90"/>
    <w:rsid w:val="0016012C"/>
    <w:rsid w:val="00160A37"/>
    <w:rsid w:val="00184103"/>
    <w:rsid w:val="00186C54"/>
    <w:rsid w:val="001A17AE"/>
    <w:rsid w:val="001A3B4D"/>
    <w:rsid w:val="001B2A22"/>
    <w:rsid w:val="001F13EC"/>
    <w:rsid w:val="002043E5"/>
    <w:rsid w:val="00230E22"/>
    <w:rsid w:val="0023412A"/>
    <w:rsid w:val="00250319"/>
    <w:rsid w:val="00273097"/>
    <w:rsid w:val="00274AC6"/>
    <w:rsid w:val="00276009"/>
    <w:rsid w:val="00285324"/>
    <w:rsid w:val="00294848"/>
    <w:rsid w:val="002B47A4"/>
    <w:rsid w:val="002B77AD"/>
    <w:rsid w:val="002C30FD"/>
    <w:rsid w:val="002D0670"/>
    <w:rsid w:val="002E5822"/>
    <w:rsid w:val="002E7D1D"/>
    <w:rsid w:val="00314469"/>
    <w:rsid w:val="003346C4"/>
    <w:rsid w:val="003377CC"/>
    <w:rsid w:val="00340291"/>
    <w:rsid w:val="00356CAF"/>
    <w:rsid w:val="00370DB5"/>
    <w:rsid w:val="00373785"/>
    <w:rsid w:val="00396270"/>
    <w:rsid w:val="00397E62"/>
    <w:rsid w:val="003A32A6"/>
    <w:rsid w:val="003B116B"/>
    <w:rsid w:val="003B1B9A"/>
    <w:rsid w:val="003C189E"/>
    <w:rsid w:val="003F6BDC"/>
    <w:rsid w:val="003F77E7"/>
    <w:rsid w:val="0042065C"/>
    <w:rsid w:val="00421CF6"/>
    <w:rsid w:val="00430D2E"/>
    <w:rsid w:val="00443445"/>
    <w:rsid w:val="00461F89"/>
    <w:rsid w:val="00472B44"/>
    <w:rsid w:val="00490645"/>
    <w:rsid w:val="004E51D2"/>
    <w:rsid w:val="00505FD1"/>
    <w:rsid w:val="0052167D"/>
    <w:rsid w:val="005410C3"/>
    <w:rsid w:val="005430C1"/>
    <w:rsid w:val="005725AD"/>
    <w:rsid w:val="00585770"/>
    <w:rsid w:val="005A3DED"/>
    <w:rsid w:val="005B2969"/>
    <w:rsid w:val="005D2A14"/>
    <w:rsid w:val="005E7E4A"/>
    <w:rsid w:val="00623355"/>
    <w:rsid w:val="00623ED7"/>
    <w:rsid w:val="006538E1"/>
    <w:rsid w:val="00685BE7"/>
    <w:rsid w:val="0068619D"/>
    <w:rsid w:val="00695DFC"/>
    <w:rsid w:val="006D0876"/>
    <w:rsid w:val="006D7BBC"/>
    <w:rsid w:val="006E5CBF"/>
    <w:rsid w:val="006F0CA9"/>
    <w:rsid w:val="00725B6C"/>
    <w:rsid w:val="00740944"/>
    <w:rsid w:val="0076713F"/>
    <w:rsid w:val="00770A97"/>
    <w:rsid w:val="00783079"/>
    <w:rsid w:val="007A2CFE"/>
    <w:rsid w:val="007B7779"/>
    <w:rsid w:val="007D181B"/>
    <w:rsid w:val="007D46EA"/>
    <w:rsid w:val="007F2311"/>
    <w:rsid w:val="0080249B"/>
    <w:rsid w:val="008154FD"/>
    <w:rsid w:val="008155AC"/>
    <w:rsid w:val="00821BCD"/>
    <w:rsid w:val="008243F9"/>
    <w:rsid w:val="0084179B"/>
    <w:rsid w:val="0084523F"/>
    <w:rsid w:val="00865317"/>
    <w:rsid w:val="00870A21"/>
    <w:rsid w:val="0087491B"/>
    <w:rsid w:val="0088600D"/>
    <w:rsid w:val="008974BA"/>
    <w:rsid w:val="008A05CE"/>
    <w:rsid w:val="008A711C"/>
    <w:rsid w:val="008C05FF"/>
    <w:rsid w:val="008E0453"/>
    <w:rsid w:val="00904687"/>
    <w:rsid w:val="00923085"/>
    <w:rsid w:val="00926245"/>
    <w:rsid w:val="0092643C"/>
    <w:rsid w:val="00932043"/>
    <w:rsid w:val="00956D62"/>
    <w:rsid w:val="009747D4"/>
    <w:rsid w:val="00975E52"/>
    <w:rsid w:val="009768B7"/>
    <w:rsid w:val="00991561"/>
    <w:rsid w:val="009A0993"/>
    <w:rsid w:val="009B6407"/>
    <w:rsid w:val="009C0151"/>
    <w:rsid w:val="009E2A5D"/>
    <w:rsid w:val="009F31AA"/>
    <w:rsid w:val="00A1150B"/>
    <w:rsid w:val="00A26FF1"/>
    <w:rsid w:val="00A51947"/>
    <w:rsid w:val="00A85F48"/>
    <w:rsid w:val="00AB4CC1"/>
    <w:rsid w:val="00AC0B5B"/>
    <w:rsid w:val="00AC160A"/>
    <w:rsid w:val="00AD2C64"/>
    <w:rsid w:val="00AD4764"/>
    <w:rsid w:val="00AD68D4"/>
    <w:rsid w:val="00AE5826"/>
    <w:rsid w:val="00AF02B7"/>
    <w:rsid w:val="00AF72EF"/>
    <w:rsid w:val="00B03F71"/>
    <w:rsid w:val="00B0575E"/>
    <w:rsid w:val="00B14B1F"/>
    <w:rsid w:val="00B22CB3"/>
    <w:rsid w:val="00B2334C"/>
    <w:rsid w:val="00B26CF6"/>
    <w:rsid w:val="00B55CED"/>
    <w:rsid w:val="00B755B2"/>
    <w:rsid w:val="00B944F0"/>
    <w:rsid w:val="00BA344E"/>
    <w:rsid w:val="00BC4191"/>
    <w:rsid w:val="00BE0035"/>
    <w:rsid w:val="00BE52B7"/>
    <w:rsid w:val="00C02696"/>
    <w:rsid w:val="00C17E27"/>
    <w:rsid w:val="00C2301C"/>
    <w:rsid w:val="00C35A6D"/>
    <w:rsid w:val="00C422D9"/>
    <w:rsid w:val="00C84E99"/>
    <w:rsid w:val="00CA479D"/>
    <w:rsid w:val="00CC147E"/>
    <w:rsid w:val="00CE4181"/>
    <w:rsid w:val="00D02FF1"/>
    <w:rsid w:val="00D17F85"/>
    <w:rsid w:val="00D46FA2"/>
    <w:rsid w:val="00D56C20"/>
    <w:rsid w:val="00D90075"/>
    <w:rsid w:val="00D90E1E"/>
    <w:rsid w:val="00DC5E0E"/>
    <w:rsid w:val="00DE7090"/>
    <w:rsid w:val="00E0572B"/>
    <w:rsid w:val="00E20107"/>
    <w:rsid w:val="00E54F8B"/>
    <w:rsid w:val="00E779D4"/>
    <w:rsid w:val="00E84BF3"/>
    <w:rsid w:val="00E85BBB"/>
    <w:rsid w:val="00ED3167"/>
    <w:rsid w:val="00F037B2"/>
    <w:rsid w:val="00F04F8D"/>
    <w:rsid w:val="00F361EC"/>
    <w:rsid w:val="00F45C4B"/>
    <w:rsid w:val="00F469A4"/>
    <w:rsid w:val="00F46F95"/>
    <w:rsid w:val="00F71E45"/>
    <w:rsid w:val="00F82AA8"/>
    <w:rsid w:val="00FA5256"/>
    <w:rsid w:val="00FB570D"/>
    <w:rsid w:val="00FD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232B"/>
  <w15:docId w15:val="{F887C62B-1243-4794-8B82-2B3602F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079"/>
    <w:rPr>
      <w:b/>
      <w:bCs/>
    </w:rPr>
  </w:style>
  <w:style w:type="character" w:styleId="Emphasis">
    <w:name w:val="Emphasis"/>
    <w:basedOn w:val="DefaultParagraphFont"/>
    <w:uiPriority w:val="20"/>
    <w:qFormat/>
    <w:rsid w:val="00783079"/>
    <w:rPr>
      <w:i/>
      <w:iCs/>
    </w:rPr>
  </w:style>
  <w:style w:type="paragraph" w:styleId="Header">
    <w:name w:val="header"/>
    <w:basedOn w:val="Normal"/>
    <w:link w:val="HeaderChar"/>
    <w:uiPriority w:val="99"/>
    <w:unhideWhenUsed/>
    <w:rsid w:val="0068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BE7"/>
  </w:style>
  <w:style w:type="paragraph" w:styleId="Footer">
    <w:name w:val="footer"/>
    <w:basedOn w:val="Normal"/>
    <w:link w:val="FooterChar"/>
    <w:uiPriority w:val="99"/>
    <w:unhideWhenUsed/>
    <w:rsid w:val="0068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BE7"/>
  </w:style>
  <w:style w:type="paragraph" w:styleId="ListParagraph">
    <w:name w:val="List Paragraph"/>
    <w:basedOn w:val="Normal"/>
    <w:uiPriority w:val="34"/>
    <w:qFormat/>
    <w:rsid w:val="00AC0B5B"/>
    <w:pPr>
      <w:ind w:left="720"/>
      <w:contextualSpacing/>
    </w:pPr>
  </w:style>
  <w:style w:type="paragraph" w:styleId="BalloonText">
    <w:name w:val="Balloon Text"/>
    <w:basedOn w:val="Normal"/>
    <w:link w:val="BalloonTextChar"/>
    <w:uiPriority w:val="99"/>
    <w:semiHidden/>
    <w:unhideWhenUsed/>
    <w:rsid w:val="00E8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F3"/>
    <w:rPr>
      <w:rFonts w:ascii="Segoe UI" w:hAnsi="Segoe UI" w:cs="Segoe UI"/>
      <w:sz w:val="18"/>
      <w:szCs w:val="18"/>
    </w:rPr>
  </w:style>
  <w:style w:type="character" w:styleId="CommentReference">
    <w:name w:val="annotation reference"/>
    <w:basedOn w:val="DefaultParagraphFont"/>
    <w:uiPriority w:val="99"/>
    <w:semiHidden/>
    <w:unhideWhenUsed/>
    <w:rsid w:val="003C189E"/>
    <w:rPr>
      <w:sz w:val="16"/>
      <w:szCs w:val="16"/>
    </w:rPr>
  </w:style>
  <w:style w:type="paragraph" w:styleId="CommentText">
    <w:name w:val="annotation text"/>
    <w:basedOn w:val="Normal"/>
    <w:link w:val="CommentTextChar"/>
    <w:uiPriority w:val="99"/>
    <w:semiHidden/>
    <w:unhideWhenUsed/>
    <w:rsid w:val="003C189E"/>
    <w:pPr>
      <w:spacing w:line="240" w:lineRule="auto"/>
    </w:pPr>
    <w:rPr>
      <w:sz w:val="20"/>
      <w:szCs w:val="20"/>
    </w:rPr>
  </w:style>
  <w:style w:type="character" w:customStyle="1" w:styleId="CommentTextChar">
    <w:name w:val="Comment Text Char"/>
    <w:basedOn w:val="DefaultParagraphFont"/>
    <w:link w:val="CommentText"/>
    <w:uiPriority w:val="99"/>
    <w:semiHidden/>
    <w:rsid w:val="003C189E"/>
    <w:rPr>
      <w:sz w:val="20"/>
      <w:szCs w:val="20"/>
    </w:rPr>
  </w:style>
  <w:style w:type="paragraph" w:styleId="CommentSubject">
    <w:name w:val="annotation subject"/>
    <w:basedOn w:val="CommentText"/>
    <w:next w:val="CommentText"/>
    <w:link w:val="CommentSubjectChar"/>
    <w:uiPriority w:val="99"/>
    <w:semiHidden/>
    <w:unhideWhenUsed/>
    <w:rsid w:val="003C189E"/>
    <w:rPr>
      <w:b/>
      <w:bCs/>
    </w:rPr>
  </w:style>
  <w:style w:type="character" w:customStyle="1" w:styleId="CommentSubjectChar">
    <w:name w:val="Comment Subject Char"/>
    <w:basedOn w:val="CommentTextChar"/>
    <w:link w:val="CommentSubject"/>
    <w:uiPriority w:val="99"/>
    <w:semiHidden/>
    <w:rsid w:val="003C1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8137">
      <w:bodyDiv w:val="1"/>
      <w:marLeft w:val="0"/>
      <w:marRight w:val="0"/>
      <w:marTop w:val="0"/>
      <w:marBottom w:val="0"/>
      <w:divBdr>
        <w:top w:val="none" w:sz="0" w:space="0" w:color="auto"/>
        <w:left w:val="none" w:sz="0" w:space="0" w:color="auto"/>
        <w:bottom w:val="none" w:sz="0" w:space="0" w:color="auto"/>
        <w:right w:val="none" w:sz="0" w:space="0" w:color="auto"/>
      </w:divBdr>
    </w:div>
    <w:div w:id="1021122552">
      <w:bodyDiv w:val="1"/>
      <w:marLeft w:val="0"/>
      <w:marRight w:val="0"/>
      <w:marTop w:val="0"/>
      <w:marBottom w:val="0"/>
      <w:divBdr>
        <w:top w:val="none" w:sz="0" w:space="0" w:color="auto"/>
        <w:left w:val="none" w:sz="0" w:space="0" w:color="auto"/>
        <w:bottom w:val="none" w:sz="0" w:space="0" w:color="auto"/>
        <w:right w:val="none" w:sz="0" w:space="0" w:color="auto"/>
      </w:divBdr>
    </w:div>
    <w:div w:id="19173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1DA7-3007-459A-8E8E-B172A539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 Lilit N.</dc:creator>
  <cp:lastModifiedBy>Astghik Melkonyan</cp:lastModifiedBy>
  <cp:revision>35</cp:revision>
  <cp:lastPrinted>2020-09-04T11:59:00Z</cp:lastPrinted>
  <dcterms:created xsi:type="dcterms:W3CDTF">2021-08-12T05:15:00Z</dcterms:created>
  <dcterms:modified xsi:type="dcterms:W3CDTF">2021-08-26T05:56:00Z</dcterms:modified>
</cp:coreProperties>
</file>