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beforeAutospacing="0" w:before="0" w:afterAutospacing="0" w:after="0"/>
        <w:ind w:firstLine="375"/>
        <w:jc w:val="center"/>
        <w:rPr>
          <w:rFonts w:ascii="GHEA Grapalat" w:hAnsi="GHEA Grapalat"/>
          <w:b/>
          <w:b/>
          <w:bCs/>
        </w:rPr>
      </w:pPr>
      <w:r>
        <w:rPr>
          <w:rStyle w:val="Strong"/>
          <w:rFonts w:ascii="GHEA Grapalat" w:hAnsi="GHEA Grapalat"/>
        </w:rPr>
        <w:t>ԱՄՓՈՓԱԹԵՐԹ</w:t>
      </w:r>
    </w:p>
    <w:p>
      <w:pPr>
        <w:pStyle w:val="NormalWeb"/>
        <w:shd w:val="clear" w:color="auto" w:fill="FFFFFF"/>
        <w:spacing w:beforeAutospacing="0" w:before="0" w:afterAutospacing="0" w:after="0"/>
        <w:ind w:firstLine="375"/>
        <w:jc w:val="center"/>
        <w:rPr>
          <w:rFonts w:ascii="GHEA Grapalat" w:hAnsi="GHEA Grapalat"/>
          <w:b/>
          <w:b/>
          <w:bCs/>
        </w:rPr>
      </w:pPr>
      <w:r>
        <w:rPr>
          <w:rFonts w:cs="Calibri" w:ascii="Calibri" w:hAnsi="Calibri"/>
          <w:b/>
          <w:bCs/>
        </w:rPr>
        <w:t>  </w:t>
      </w:r>
      <w:r>
        <w:rPr>
          <w:rFonts w:cs="Sylfaen" w:ascii="GHEA Grapalat" w:hAnsi="GHEA Grapalat"/>
          <w:b/>
          <w:bCs/>
          <w:sz w:val="24"/>
          <w:szCs w:val="24"/>
          <w:lang w:val="hy-AM"/>
        </w:rPr>
        <w:t>««ՀԱՅԱՍՏԱՆԻ</w:t>
      </w:r>
      <w:r>
        <w:rPr>
          <w:rFonts w:cs="Sylfaen"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cs="Sylfaen"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cs="Sylfaen" w:ascii="GHEA Grapalat" w:hAnsi="GHEA Grapalat"/>
          <w:b/>
          <w:bCs/>
          <w:sz w:val="24"/>
          <w:szCs w:val="24"/>
          <w:lang w:val="af-ZA"/>
        </w:rPr>
        <w:t xml:space="preserve"> 2</w:t>
      </w:r>
      <w:r>
        <w:rPr>
          <w:rFonts w:cs="Sylfaen" w:ascii="GHEA Grapalat" w:hAnsi="GHEA Grapalat"/>
          <w:b/>
          <w:bCs/>
          <w:sz w:val="24"/>
          <w:szCs w:val="24"/>
          <w:lang w:val="hy-AM"/>
        </w:rPr>
        <w:t>021</w:t>
      </w:r>
      <w:r>
        <w:rPr>
          <w:rFonts w:cs="Sylfaen" w:ascii="GHEA Grapalat" w:hAnsi="GHEA Grapalat"/>
          <w:b/>
          <w:bCs/>
          <w:sz w:val="24"/>
          <w:szCs w:val="24"/>
          <w:lang w:val="af-ZA"/>
        </w:rPr>
        <w:t xml:space="preserve"> ԹՎԱԿԱՆԻ ՊԵՏԱԿԱՆ ԲՅՈՒՋԵ</w:t>
      </w:r>
      <w:r>
        <w:rPr>
          <w:rFonts w:cs="Sylfaen" w:ascii="GHEA Grapalat" w:hAnsi="GHEA Grapalat"/>
          <w:b/>
          <w:bCs/>
          <w:sz w:val="24"/>
          <w:szCs w:val="24"/>
          <w:lang w:val="hy-AM"/>
        </w:rPr>
        <w:t>Ի ՄԱՍԻՆ» ՕՐԵՆՔՈՒՄ</w:t>
      </w:r>
      <w:r>
        <w:rPr>
          <w:rFonts w:cs="Sylfaen" w:ascii="GHEA Grapalat" w:hAnsi="GHEA Grapalat"/>
          <w:b/>
          <w:bCs/>
          <w:sz w:val="24"/>
          <w:szCs w:val="24"/>
          <w:lang w:val="af-ZA"/>
        </w:rPr>
        <w:t xml:space="preserve"> ՎԵՐԱԲԱՇԽՈՒՄ, ԼՐԱՑՈՒՄ </w:t>
      </w:r>
      <w:r>
        <w:rPr>
          <w:rFonts w:cs="Sylfaen"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 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ՈՒ ԼՐԱՑՈՒՄՆԵՐ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ՈՐՈՇՄԱՆ ՆԱԽԱԳԾԻ ՎԵՐԱԲԵՐՅԱԼ  ՇԱՀԱԳՐԳԻՌ ՄԱՐՄԻՆՆԵՐԻՑ ՍՏԱՑՎԱԾ ԱՌԱՋԱՐԿՈՒԹՅՈՒՆՆԵՐԻ ՎԵՐԱԲԵՐՅԱԼ</w:t>
      </w:r>
    </w:p>
    <w:tbl>
      <w:tblPr>
        <w:tblStyle w:val="TableGrid"/>
        <w:tblpPr w:bottomFromText="0" w:horzAnchor="margin" w:leftFromText="180" w:rightFromText="180" w:tblpX="0" w:tblpY="4321" w:topFromText="0" w:vertAnchor="page"/>
        <w:tblW w:w="1360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61"/>
        <w:gridCol w:w="6723"/>
        <w:gridCol w:w="3564"/>
        <w:gridCol w:w="2755"/>
      </w:tblGrid>
      <w:tr>
        <w:trPr>
          <w:trHeight w:val="557" w:hRule="atLeast"/>
        </w:trPr>
        <w:tc>
          <w:tcPr>
            <w:tcW w:w="10848" w:type="dxa"/>
            <w:gridSpan w:val="3"/>
            <w:vMerge w:val="restart"/>
            <w:tcBorders/>
            <w:shd w:color="auto" w:fill="BFBFBF" w:themeFill="background1" w:themeFillShade="bf" w:val="clear"/>
          </w:tcPr>
          <w:p>
            <w:pPr>
              <w:pStyle w:val="Normal"/>
              <w:tabs>
                <w:tab w:val="clear" w:pos="720"/>
                <w:tab w:val="left" w:pos="3375" w:leader="none"/>
                <w:tab w:val="center" w:pos="5316" w:leader="none"/>
              </w:tabs>
              <w:spacing w:lineRule="auto" w:line="276" w:before="0" w:after="0"/>
              <w:rPr>
                <w:rFonts w:ascii="GHEA Grapalat" w:hAnsi="GHEA Grapalat" w:eastAsia="Times New Roman" w:cs="Times New Roman"/>
                <w:sz w:val="24"/>
                <w:szCs w:val="24"/>
                <w:lang w:val="af-ZA"/>
              </w:rPr>
            </w:pPr>
            <w:r>
              <w:rPr>
                <w:rFonts w:eastAsia="Times New Roman" w:cs="Times New Roman" w:ascii="GHEA Grapalat" w:hAnsi="GHEA Grapalat"/>
                <w:sz w:val="24"/>
                <w:szCs w:val="24"/>
                <w:lang w:val="af-ZA"/>
              </w:rPr>
              <w:tab/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left" w:pos="3375" w:leader="none"/>
                <w:tab w:val="center" w:pos="5316" w:leader="none"/>
              </w:tabs>
              <w:spacing w:lineRule="auto" w:line="276" w:before="0" w:after="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eastAsia="Times New Roman" w:cs="Times New Roman"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75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 w:eastAsia="Times New Roman"/>
                <w:sz w:val="24"/>
                <w:szCs w:val="24"/>
                <w:lang w:val="hy-AM" w:eastAsia="ru-RU"/>
              </w:rPr>
            </w:pPr>
            <w:r>
              <w:rPr>
                <w:rFonts w:eastAsia="Times New Roman" w:ascii="GHEA Grapalat" w:hAnsi="GHEA Grapalat"/>
                <w:sz w:val="24"/>
                <w:szCs w:val="24"/>
                <w:lang w:val="hy-AM" w:eastAsia="ru-RU"/>
              </w:rPr>
              <w:t>15</w:t>
            </w:r>
            <w:r>
              <w:rPr>
                <w:rFonts w:eastAsia="Times New Roman" w:cs="Cambria Math" w:ascii="Cambria Math" w:hAnsi="Cambria Math"/>
                <w:sz w:val="24"/>
                <w:szCs w:val="24"/>
                <w:lang w:val="hy-AM" w:eastAsia="ru-RU"/>
              </w:rPr>
              <w:t>․</w:t>
            </w:r>
            <w:r>
              <w:rPr>
                <w:rFonts w:eastAsia="Times New Roman" w:ascii="GHEA Grapalat" w:hAnsi="GHEA Grapalat"/>
                <w:sz w:val="24"/>
                <w:szCs w:val="24"/>
                <w:lang w:val="hy-AM" w:eastAsia="ru-RU"/>
              </w:rPr>
              <w:t>06</w:t>
            </w:r>
            <w:r>
              <w:rPr>
                <w:rFonts w:eastAsia="Times New Roman" w:cs="Cambria Math" w:ascii="Cambria Math" w:hAnsi="Cambria Math"/>
                <w:sz w:val="24"/>
                <w:szCs w:val="24"/>
                <w:lang w:val="hy-AM" w:eastAsia="ru-RU"/>
              </w:rPr>
              <w:t>․</w:t>
            </w:r>
            <w:r>
              <w:rPr>
                <w:rFonts w:eastAsia="Times New Roman" w:ascii="GHEA Grapalat" w:hAnsi="GHEA Grapalat"/>
                <w:sz w:val="24"/>
                <w:szCs w:val="24"/>
                <w:lang w:val="hy-AM" w:eastAsia="ru-RU"/>
              </w:rPr>
              <w:t>2021թ</w:t>
            </w:r>
            <w:r>
              <w:rPr>
                <w:rFonts w:eastAsia="Times New Roman" w:cs="Cambria Math" w:ascii="Cambria Math" w:hAnsi="Cambria Math"/>
                <w:sz w:val="24"/>
                <w:szCs w:val="24"/>
                <w:lang w:val="hy-AM" w:eastAsia="ru-RU"/>
              </w:rPr>
              <w:t>․</w:t>
            </w:r>
          </w:p>
        </w:tc>
      </w:tr>
      <w:tr>
        <w:trPr>
          <w:trHeight w:val="363" w:hRule="atLeast"/>
        </w:trPr>
        <w:tc>
          <w:tcPr>
            <w:tcW w:w="10848" w:type="dxa"/>
            <w:gridSpan w:val="3"/>
            <w:vMerge w:val="continue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</w:tc>
        <w:tc>
          <w:tcPr>
            <w:tcW w:w="275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 w:eastAsia="Times New Roman"/>
                <w:sz w:val="24"/>
                <w:szCs w:val="24"/>
                <w:lang w:val="hy-AM" w:eastAsia="ru-RU"/>
              </w:rPr>
            </w:pPr>
            <w:r>
              <w:rPr>
                <w:rFonts w:eastAsia="Times New Roman" w:ascii="GHEA Grapalat" w:hAnsi="GHEA Grapalat"/>
                <w:sz w:val="24"/>
                <w:szCs w:val="24"/>
                <w:lang w:val="hy-AM" w:eastAsia="ru-RU"/>
              </w:rPr>
              <w:t>01/8-5/9339-2021</w:t>
            </w:r>
          </w:p>
        </w:tc>
      </w:tr>
      <w:tr>
        <w:trPr>
          <w:trHeight w:val="70" w:hRule="atLeast"/>
        </w:trPr>
        <w:tc>
          <w:tcPr>
            <w:tcW w:w="561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76" w:before="0" w:after="0"/>
              <w:ind w:left="306" w:hanging="284"/>
              <w:contextualSpacing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</w:tc>
        <w:tc>
          <w:tcPr>
            <w:tcW w:w="6723" w:type="dxa"/>
            <w:tcBorders/>
            <w:vAlign w:val="center"/>
          </w:tcPr>
          <w:p>
            <w:pPr>
              <w:pStyle w:val="Normal"/>
              <w:spacing w:lineRule="auto" w:line="360" w:before="0" w:after="0"/>
              <w:ind w:firstLine="567"/>
              <w:jc w:val="both"/>
              <w:rPr>
                <w:rFonts w:ascii="GHEA Grapalat" w:hAnsi="GHEA Grapalat" w:eastAsia="Times New Roman"/>
                <w:sz w:val="24"/>
                <w:szCs w:val="24"/>
                <w:lang w:val="hy-AM" w:eastAsia="ru-RU"/>
              </w:rPr>
            </w:pPr>
            <w:r>
              <w:rPr>
                <w:rFonts w:eastAsia="Times New Roman" w:ascii="GHEA Grapalat" w:hAnsi="GHEA Grapalat"/>
                <w:sz w:val="24"/>
                <w:szCs w:val="24"/>
                <w:lang w:val="hy-AM" w:eastAsia="ru-RU"/>
              </w:rPr>
            </w:r>
          </w:p>
          <w:p>
            <w:pPr>
              <w:pStyle w:val="Normal"/>
              <w:spacing w:lineRule="auto" w:line="360" w:before="0" w:after="0"/>
              <w:ind w:firstLine="567"/>
              <w:jc w:val="both"/>
              <w:rPr>
                <w:rFonts w:ascii="GHEA Grapalat" w:hAnsi="GHEA Grapalat" w:eastAsia="Times New Roman"/>
                <w:sz w:val="24"/>
                <w:szCs w:val="24"/>
                <w:lang w:val="hy-AM" w:eastAsia="ru-RU"/>
              </w:rPr>
            </w:pPr>
            <w:r>
              <w:rPr>
                <w:rFonts w:eastAsia="Times New Roman" w:ascii="GHEA Grapalat" w:hAnsi="GHEA Grapalat"/>
                <w:sz w:val="24"/>
                <w:szCs w:val="24"/>
                <w:lang w:val="hy-AM" w:eastAsia="ru-RU"/>
              </w:rPr>
              <w:t>Հայաստանի Հանրապետության ֆինանսների նախարարությունը ՀՀ բարձր տեխնոլոգիական արդյունաբերության նախարարության (այսուհետ՝ Նախարարություն) կողմից ս.թ. մայիսի 25-ի N 01/16.1/3076-2021 գրությամբ ներկայացված՝ ««Հայաստանի Հանրապետության 2021 թվականի պետական բյուջեի մասին» օրենքում վերաբաշխում և Հայաստանի Հանրապետության կառավարության 2020 թվականի դեկտեմբերի 30-ի              N 2215-Ն որոշման մեջ փոփոխություններ ու լրացումներ կատարելու մասին» ՀՀ կառավարության որոշման նախագծի (այսուհետ՝ Նախագիծ) վերաբերյալ հայտնում է հետևյալը.</w:t>
            </w:r>
          </w:p>
          <w:p>
            <w:pPr>
              <w:pStyle w:val="Normal"/>
              <w:spacing w:lineRule="auto" w:line="360" w:before="0" w:after="0"/>
              <w:ind w:firstLine="567"/>
              <w:jc w:val="both"/>
              <w:rPr>
                <w:rFonts w:ascii="GHEA Grapalat" w:hAnsi="GHEA Grapalat" w:eastAsia="Times New Roman"/>
                <w:sz w:val="24"/>
                <w:szCs w:val="24"/>
                <w:lang w:val="hy-AM" w:eastAsia="ru-RU"/>
              </w:rPr>
            </w:pPr>
            <w:r>
              <w:rPr>
                <w:rFonts w:eastAsia="Times New Roman" w:ascii="GHEA Grapalat" w:hAnsi="GHEA Grapalat"/>
                <w:sz w:val="24"/>
                <w:szCs w:val="24"/>
                <w:lang w:val="hy-AM" w:eastAsia="ru-RU"/>
              </w:rPr>
              <w:t>1. 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ախագծով նախատեսվում է 1043 ծրագրի «11007. Շուկաների զարգացում և միջազգային համագործակցություն» միջոցառման մասով «Ընդհանուր բնույթի այլ ծառայություններ» բյուջետային ծախսերի տնտեսագիտական հոդվածից նվազեցնել 18.0 մլն դրամ և ուղղել «Այլ ընթացիկ դրամաշնորհներ» հոդվածին և գումարը առանց մրցույթի՝ դրամաշնորհի տեսքով հատկացնել «Առաջատար տեխնոլոգիաների ձեռնարկությունների միություն» ՀԿ-ին՝ մի շարք միջոցառումների իրականացման համար: Ընդ որում Նախագծին կից տեղեկանքի համաձայն, կազմակերպվող միջոցառումները նախատեսված են 2021 թվականին իրականացման ենթակա միջոցառումների շարքում և ոչ ֆինանսական ցուցանիշների փոփոխության անհրաժեշտություն չի առաջանում։ </w:t>
            </w:r>
          </w:p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նշենք, որ բացակայում է գումարի հատկացման տնտեսագիտական դասակարգման հոդվածի փոփոխության անհրաժեշտության հիմնավորումները (միջոցառումներն իրականացնող կազմակերպության ընտրությունը ՀՀ օրենսդրությամբ սահմանված մրցութային եղանակով ընտրելու խոչընդոտները, առաջարկվող մոտեցման արդյունավետության գնահատումները և այլն), ինչպես նաև չորրորդ եռամսյակում կազմակերպվող միջոցառումների (Դիջիթեք, Բիզնես ինովացիոն ֆորում և ՏՀՏ լիդերների հանդիպում ֆորում) հաշվարկ-հիմնավորումները և գնագոյացման սկզբունքները:</w:t>
            </w:r>
          </w:p>
        </w:tc>
        <w:tc>
          <w:tcPr>
            <w:tcW w:w="6319" w:type="dxa"/>
            <w:gridSpan w:val="2"/>
            <w:tcBorders/>
            <w:vAlign w:val="center"/>
          </w:tcPr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միջոցառումը տարիներ շարունակ իրականացվել է «Առաջատար տեխնոլոգիաների ձեռնարկությունների միություն» ՀԿ-ի կողմից, որը նախատեսված է ՀՀ բարձր տեխնոլոգիական արդյունաբերության նախարարի 2021 թվականի հունվարի 27-ի թիվ 61-Ա հրամանով հաստատաված «11007. Շուկաների զարգացում և միջազգային համագործակցություն» միջոցառման ծրագրով։ </w:t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հիմնավորումը լրամշակվել է։ </w:t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  <w:bookmarkStart w:id="0" w:name="_Hlk75354847"/>
            <w:bookmarkStart w:id="1" w:name="_Hlk75354847"/>
            <w:bookmarkEnd w:id="1"/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r>
          </w:p>
        </w:tc>
      </w:tr>
      <w:tr>
        <w:trPr>
          <w:trHeight w:val="2060" w:hRule="atLeast"/>
        </w:trPr>
        <w:tc>
          <w:tcPr>
            <w:tcW w:w="561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76" w:before="0" w:after="0"/>
              <w:ind w:left="306" w:hanging="284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6723" w:type="dxa"/>
            <w:tcBorders/>
            <w:vAlign w:val="center"/>
          </w:tcPr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</w:pP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>Նախագծով նախատեսվում է Նախարարությանն ամրակցված Երևան քաղաքի Նալբանդյան 28 հասցեում գտնվող վարչական շենքի 3-րդ հարկի 790.8 քառ</w:t>
            </w:r>
            <w:r>
              <w:rPr>
                <w:rFonts w:cs="Cambria Math" w:ascii="Cambria Math" w:hAnsi="Cambria Math"/>
                <w:color w:val="000000"/>
                <w:sz w:val="24"/>
                <w:szCs w:val="24"/>
                <w:lang w:val="fr-FR"/>
              </w:rPr>
              <w:t>․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մետր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տարածքի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սպասարկման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ծառայությունների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մատուցման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համար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հատ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կացնել 5,720.4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հազար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դրամ՝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ՀՀ տարածքային կառավարման և ենթակառուցվածքների նախարարության պետական գույքի կառավարման կոմիտեի կողմից իրականացվող 1079 ծրագրի «11003. Պետական գույքի հաշվառման, գույքագրման, գնահատման, անշարժ գույքի պահառության, սպասարկման աշխատանքների և աճուրդների իրականացման ծառայություններ» միջոցառմանը, որի կապակցությամբ հայտնում ենք, որ անհրաժեշտ է համապատասխան փոփոխություն կատարել նաև ՀՀ կառավարության 30.12.2020թ. N</w:t>
            </w:r>
            <w:r>
              <w:rPr>
                <w:rFonts w:cs="Calibri"/>
                <w:color w:val="000000"/>
                <w:sz w:val="24"/>
                <w:szCs w:val="24"/>
                <w:lang w:val="fr-FR"/>
              </w:rPr>
              <w:t> 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>2215-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Ն</w:t>
            </w:r>
            <w:r>
              <w:rPr>
                <w:rFonts w:cs="Calibri"/>
                <w:color w:val="000000"/>
                <w:sz w:val="24"/>
                <w:szCs w:val="24"/>
                <w:lang w:val="fr-FR"/>
              </w:rPr>
              <w:t> 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որոշման</w:t>
            </w:r>
            <w:r>
              <w:rPr>
                <w:rFonts w:cs="Calibri"/>
                <w:color w:val="000000"/>
                <w:sz w:val="24"/>
                <w:szCs w:val="24"/>
                <w:lang w:val="fr-FR"/>
              </w:rPr>
              <w:t> 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>N 5 հավելվածի N 7-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րդ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աղյուսակում:</w:t>
            </w:r>
          </w:p>
          <w:p>
            <w:pPr>
              <w:pStyle w:val="Normal"/>
              <w:tabs>
                <w:tab w:val="clear" w:pos="720"/>
                <w:tab w:val="left" w:pos="567" w:leader="none"/>
              </w:tabs>
              <w:spacing w:lineRule="auto" w:line="360" w:before="0" w:after="0"/>
              <w:ind w:firstLine="567"/>
              <w:jc w:val="both"/>
              <w:rPr>
                <w:rFonts w:ascii="GHEA Grapalat" w:hAnsi="GHEA Grapalat" w:eastAsia="Times New Roman" w:cs="Sylfaen"/>
                <w:color w:val="FF0000"/>
                <w:sz w:val="24"/>
                <w:szCs w:val="24"/>
                <w:lang w:val="fr-FR"/>
              </w:rPr>
            </w:pPr>
            <w:r>
              <w:rPr>
                <w:rFonts w:eastAsia="Times New Roman" w:cs="Sylfaen" w:ascii="GHEA Grapalat" w:hAnsi="GHEA Grapalat"/>
                <w:color w:val="FF0000"/>
                <w:sz w:val="24"/>
                <w:szCs w:val="24"/>
                <w:lang w:val="fr-FR"/>
              </w:rPr>
            </w:r>
          </w:p>
        </w:tc>
        <w:tc>
          <w:tcPr>
            <w:tcW w:w="6319" w:type="dxa"/>
            <w:gridSpan w:val="2"/>
            <w:tcBorders/>
            <w:vAlign w:val="center"/>
          </w:tcPr>
          <w:p>
            <w:pPr>
              <w:pStyle w:val="Normal"/>
              <w:spacing w:lineRule="auto" w:line="360" w:before="0" w:after="0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կատարվել է համապատասխան փոփոխություն։ </w:t>
            </w:r>
          </w:p>
        </w:tc>
      </w:tr>
      <w:tr>
        <w:trPr/>
        <w:tc>
          <w:tcPr>
            <w:tcW w:w="561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76" w:before="0" w:after="0"/>
              <w:ind w:left="306" w:hanging="284"/>
              <w:contextualSpacing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</w:r>
          </w:p>
        </w:tc>
        <w:tc>
          <w:tcPr>
            <w:tcW w:w="6723" w:type="dxa"/>
            <w:tcBorders/>
            <w:vAlign w:val="center"/>
          </w:tcPr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cs="Times New Roman"/>
                <w:sz w:val="24"/>
                <w:szCs w:val="24"/>
                <w:lang w:val="fr-FR"/>
              </w:rPr>
            </w:pP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 xml:space="preserve">Նախագծով նախատեսվում է 1100 ծրագրի </w:t>
            </w:r>
            <w:r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ձեռք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բերել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վարչական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սարքավորումներ՝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հեռախոսային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սարքեր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ցանցային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բաժանարարներ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բաղադրիչներ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կենցաղային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հանրային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սննդի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նյութեր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անվտանգության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ապահովման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 </w:t>
            </w:r>
            <w:r>
              <w:rPr>
                <w:rFonts w:ascii="GHEA Grapalat" w:hAnsi="GHEA Grapalat"/>
                <w:sz w:val="24"/>
                <w:szCs w:val="24"/>
              </w:rPr>
              <w:t>մինչդեռ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վերջիններիս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ձեռքբերման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բավարար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հիմնավորումներ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չեն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</w:rPr>
              <w:t>Բացի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այդ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կատարել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նորոգման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աշխատանքներ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սակայն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բացակայում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վերջինիս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գծով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թերությունների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ակտը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ընթացիկ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տարվա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կիսամյակի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ճշտված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պլանի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նկատմամբ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5 </w:t>
            </w:r>
            <w:r>
              <w:rPr>
                <w:rFonts w:ascii="GHEA Grapalat" w:hAnsi="GHEA Grapalat"/>
                <w:sz w:val="24"/>
                <w:szCs w:val="24"/>
              </w:rPr>
              <w:t>ամիսների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կտրվածքով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բյուջեի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կատարողականը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կազմում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29.99%, </w:t>
            </w:r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շրջանառվող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նպատակահարմարության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հարցը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քննարկել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Վարչապետի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պաշտոնակատարի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01.06.2021</w:t>
            </w:r>
            <w:r>
              <w:rPr>
                <w:rFonts w:ascii="GHEA Grapalat" w:hAnsi="GHEA Grapalat"/>
                <w:sz w:val="24"/>
                <w:szCs w:val="24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. N 02/16.10/17702-2021 </w:t>
            </w:r>
            <w:r>
              <w:rPr>
                <w:rFonts w:ascii="GHEA Grapalat" w:hAnsi="GHEA Grapalat"/>
                <w:sz w:val="24"/>
                <w:szCs w:val="24"/>
              </w:rPr>
              <w:t>հանձնարարականի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r>
              <w:rPr>
                <w:lang w:val="fr-FR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</w:p>
          <w:p>
            <w:pPr>
              <w:pStyle w:val="Normal"/>
              <w:tabs>
                <w:tab w:val="clear" w:pos="720"/>
                <w:tab w:val="left" w:pos="567" w:leader="none"/>
              </w:tabs>
              <w:spacing w:lineRule="auto" w:line="360" w:before="0" w:after="0"/>
              <w:jc w:val="both"/>
              <w:rPr>
                <w:rFonts w:ascii="GHEA Grapalat" w:hAnsi="GHEA Grapalat" w:eastAsia="Times New Roman" w:cs="Sylfaen"/>
                <w:color w:val="FF0000"/>
                <w:sz w:val="24"/>
                <w:szCs w:val="24"/>
                <w:lang w:val="hy-AM"/>
              </w:rPr>
            </w:pPr>
            <w:r>
              <w:rPr>
                <w:rFonts w:eastAsia="Times New Roman" w:cs="Sylfaen" w:ascii="GHEA Grapalat" w:hAnsi="GHEA Grapalat"/>
                <w:color w:val="FF0000"/>
                <w:sz w:val="24"/>
                <w:szCs w:val="24"/>
                <w:lang w:val="hy-AM"/>
              </w:rPr>
            </w:r>
          </w:p>
        </w:tc>
        <w:tc>
          <w:tcPr>
            <w:tcW w:w="6319" w:type="dxa"/>
            <w:gridSpan w:val="2"/>
            <w:tcBorders/>
            <w:vAlign w:val="center"/>
          </w:tcPr>
          <w:p>
            <w:pPr>
              <w:pStyle w:val="Normal"/>
              <w:spacing w:lineRule="auto" w:line="360" w:before="0" w:after="0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Նշված ծախսերն անհրաժեշտ են ՀՀ բարձր տեխնոլոգիական արդյունաբերության նախարարությանն ամրակցված Երևան քաղաքի Նալբանդյան 28 հասցեում գտնվող վարչական շենքի 3-րդ հարկի 790,8 քառ</w:t>
            </w:r>
            <w:r>
              <w:rPr>
                <w:rFonts w:cs="Cambria Math" w:ascii="Cambria Math" w:hAnsi="Cambria Math"/>
                <w:i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մետր տարածքի սպասարկման ծառայությունների մատուցման, Ռազմարդյունաբերության կոմիտեի բնականոն գործունեության ապահովման համար։   </w:t>
            </w:r>
          </w:p>
        </w:tc>
      </w:tr>
      <w:tr>
        <w:trPr/>
        <w:tc>
          <w:tcPr>
            <w:tcW w:w="561" w:type="dxa"/>
            <w:tcBorders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76" w:before="0" w:after="0"/>
              <w:ind w:left="306" w:hanging="284"/>
              <w:contextualSpacing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</w:r>
          </w:p>
        </w:tc>
        <w:tc>
          <w:tcPr>
            <w:tcW w:w="6723" w:type="dxa"/>
            <w:tcBorders/>
            <w:vAlign w:val="center"/>
          </w:tcPr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Ինչ վերաբերում է Նախագծի տեքստային մասին՝ առաջարկում ենք.</w:t>
            </w:r>
          </w:p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1. Նախագիծը համապատասխանեցնել 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>«Նորմատիվ իրավական ակտերի մասին» օրենքի 11-րդ հոդվածի 1-ին մասի 6-րդ կետին,</w:t>
            </w:r>
          </w:p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</w:pP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>2. Նախագծում նախատեսել ՀՀ կառավարության որոշման ուժի մեջ մտնելու ժամկետը,</w:t>
            </w:r>
          </w:p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eastAsia="Times New Roman" w:cs="Times New Roman"/>
                <w:sz w:val="24"/>
                <w:szCs w:val="24"/>
                <w:lang w:val="fr-FR" w:eastAsia="ru-RU"/>
              </w:rPr>
            </w:pP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3. Նախագծի N 1 հավելվածի վերնագիրը խմբագրել՝ հղում կատարելով </w:t>
            </w:r>
            <w:r>
              <w:rPr>
                <w:rFonts w:eastAsia="Times New Roman" w:ascii="GHEA Grapalat" w:hAnsi="GHEA Grapalat"/>
                <w:sz w:val="24"/>
                <w:szCs w:val="24"/>
                <w:lang w:val="hy-AM" w:eastAsia="ru-RU"/>
              </w:rPr>
              <w:t>«</w:t>
            </w:r>
            <w:r>
              <w:rPr>
                <w:rFonts w:eastAsia="Times New Roman" w:ascii="GHEA Grapalat" w:hAnsi="GHEA Grapalat"/>
                <w:sz w:val="24"/>
                <w:szCs w:val="24"/>
                <w:lang w:eastAsia="ru-RU"/>
              </w:rPr>
              <w:t>Հայաստանի</w:t>
            </w: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eastAsia="Times New Roman" w:ascii="GHEA Grapalat" w:hAnsi="GHEA Grapalat"/>
                <w:sz w:val="24"/>
                <w:szCs w:val="24"/>
                <w:lang w:eastAsia="ru-RU"/>
              </w:rPr>
              <w:t>Հանրապետության</w:t>
            </w: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 xml:space="preserve"> 2021 </w:t>
            </w:r>
            <w:r>
              <w:rPr>
                <w:rFonts w:eastAsia="Times New Roman" w:ascii="GHEA Grapalat" w:hAnsi="GHEA Grapalat"/>
                <w:sz w:val="24"/>
                <w:szCs w:val="24"/>
                <w:lang w:eastAsia="ru-RU"/>
              </w:rPr>
              <w:t>թվականի</w:t>
            </w: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eastAsia="Times New Roman" w:ascii="GHEA Grapalat" w:hAnsi="GHEA Grapalat"/>
                <w:sz w:val="24"/>
                <w:szCs w:val="24"/>
                <w:lang w:eastAsia="ru-RU"/>
              </w:rPr>
              <w:t>պետական</w:t>
            </w: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eastAsia="Times New Roman" w:ascii="GHEA Grapalat" w:hAnsi="GHEA Grapalat"/>
                <w:sz w:val="24"/>
                <w:szCs w:val="24"/>
                <w:lang w:eastAsia="ru-RU"/>
              </w:rPr>
              <w:t>բյուջեի</w:t>
            </w: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eastAsia="Times New Roman" w:ascii="GHEA Grapalat" w:hAnsi="GHEA Grapalat"/>
                <w:sz w:val="24"/>
                <w:szCs w:val="24"/>
                <w:lang w:eastAsia="ru-RU"/>
              </w:rPr>
              <w:t>մասին</w:t>
            </w:r>
            <w:r>
              <w:rPr>
                <w:rFonts w:eastAsia="Times New Roman" w:ascii="GHEA Grapalat" w:hAnsi="GHEA Grapalat"/>
                <w:sz w:val="24"/>
                <w:szCs w:val="24"/>
                <w:lang w:val="hy-AM" w:eastAsia="ru-RU"/>
              </w:rPr>
              <w:t>»</w:t>
            </w: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eastAsia="Times New Roman" w:ascii="GHEA Grapalat" w:hAnsi="GHEA Grapalat"/>
                <w:sz w:val="24"/>
                <w:szCs w:val="24"/>
                <w:lang w:eastAsia="ru-RU"/>
              </w:rPr>
              <w:t>օրենքի</w:t>
            </w: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 xml:space="preserve"> N 1 </w:t>
            </w:r>
            <w:r>
              <w:rPr>
                <w:rFonts w:eastAsia="Times New Roman" w:ascii="GHEA Grapalat" w:hAnsi="GHEA Grapalat"/>
                <w:sz w:val="24"/>
                <w:szCs w:val="24"/>
                <w:lang w:eastAsia="ru-RU"/>
              </w:rPr>
              <w:t>հավելվածի</w:t>
            </w: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 xml:space="preserve"> N 2 </w:t>
            </w:r>
            <w:r>
              <w:rPr>
                <w:rFonts w:eastAsia="Times New Roman" w:ascii="GHEA Grapalat" w:hAnsi="GHEA Grapalat"/>
                <w:sz w:val="24"/>
                <w:szCs w:val="24"/>
                <w:lang w:eastAsia="ru-RU"/>
              </w:rPr>
              <w:t>աղյուսակին</w:t>
            </w: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>,</w:t>
            </w:r>
          </w:p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eastAsia="Calibri" w:cs="Sylfaen"/>
                <w:color w:val="000000"/>
                <w:sz w:val="24"/>
                <w:szCs w:val="24"/>
                <w:lang w:val="fr-FR"/>
              </w:rPr>
            </w:pPr>
            <w:r>
              <w:rPr>
                <w:rFonts w:eastAsia="Times New Roman" w:ascii="GHEA Grapalat" w:hAnsi="GHEA Grapalat"/>
                <w:sz w:val="24"/>
                <w:szCs w:val="24"/>
                <w:lang w:val="fr-FR" w:eastAsia="ru-RU"/>
              </w:rPr>
              <w:t xml:space="preserve">4. 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>Նախագծի NN 4 և 5 հավելվածներում ծրագրի «1001» դասիչը փոխարինել «1100» դասիչով,</w:t>
            </w:r>
          </w:p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cs="Times New Roman"/>
                <w:sz w:val="24"/>
                <w:szCs w:val="24"/>
                <w:lang w:val="fr-FR"/>
              </w:rPr>
            </w:pP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5.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Նախագծի NN 6 և 7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ավելվածներից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հանել 1043 </w:t>
            </w:r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11007 միջոցառման աղյուսակները՝ նկատի ունենալով, որ դրանցում ֆինանսական և ոչ ֆինանսական ցուցանիշների փոփոխություն</w:t>
            </w:r>
            <w:r>
              <w:rPr>
                <w:rFonts w:ascii="GHEA Grapalat" w:hAnsi="GHEA Grapalat"/>
                <w:sz w:val="24"/>
                <w:szCs w:val="24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ներառված չեն, բացի այդ 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>1079 ծրագրի 11003 միջոցառման արդյունքի չափորոշիչների՝ «Անշարժ գույքի պահառություն, հատ» տողում խմբագրել համապատասխան ցուցանիշները՝ փոփոխությունները նախատեսելով համապատասխան տողում,</w:t>
            </w:r>
          </w:p>
          <w:p>
            <w:pPr>
              <w:pStyle w:val="Normal"/>
              <w:spacing w:lineRule="auto" w:line="360" w:before="0" w:after="0"/>
              <w:ind w:firstLine="578"/>
              <w:jc w:val="both"/>
              <w:rPr>
                <w:rFonts w:ascii="GHEA Grapalat" w:hAnsi="GHEA Grapalat" w:eastAsia="Times New Roman" w:cs="Sylfaen"/>
                <w:color w:val="FF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6.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 xml:space="preserve"> 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N 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գնումների պլանում նշել նոր ԳՄԱ կոդերով ձեռքբերման ենթակա գնման առարկաների հերթական համարակալման թվերը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lang w:val="fr-FR"/>
              </w:rPr>
              <w:t>ծրագրի «1001» դասիչը փոխարինել «1100» դասիչով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319" w:type="dxa"/>
            <w:gridSpan w:val="2"/>
            <w:tcBorders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GHEA Grapalat" w:hAnsi="GHEA Grapalat" w:cs="Arial Armenian"/>
                <w:bCs/>
                <w:color w:val="FF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Բոլոր առաջարկներն ընդունվել են, կատարվել են համապատասխան փոփոխություններ</w:t>
            </w:r>
            <w:r>
              <w:rPr>
                <w:rFonts w:cs="Arial Armenian" w:ascii="GHEA Grapalat" w:hAnsi="GHEA Grapalat"/>
                <w:bCs/>
                <w:color w:val="FF0000"/>
                <w:sz w:val="24"/>
                <w:szCs w:val="24"/>
                <w:lang w:val="hy-AM" w:eastAsia="ru-RU"/>
              </w:rPr>
              <w:t>։</w:t>
            </w:r>
          </w:p>
        </w:tc>
      </w:tr>
      <w:tr>
        <w:trPr>
          <w:trHeight w:val="527" w:hRule="atLeast"/>
        </w:trPr>
        <w:tc>
          <w:tcPr>
            <w:tcW w:w="10848" w:type="dxa"/>
            <w:gridSpan w:val="3"/>
            <w:vMerge w:val="restart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ind w:left="360" w:hanging="0"/>
              <w:jc w:val="center"/>
              <w:rPr>
                <w:rFonts w:ascii="GHEA Grapalat" w:hAnsi="GHEA Grapalat" w:eastAsia="Times New Roma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eastAsia="Times New Roman" w:cs="Times New Roman" w:ascii="GHEA Grapalat" w:hAnsi="GHEA Grapalat"/>
                <w:color w:val="000000"/>
                <w:sz w:val="24"/>
                <w:szCs w:val="24"/>
                <w:lang w:val="hy-AM"/>
              </w:rPr>
              <w:t>2.</w:t>
            </w:r>
            <w:r>
              <w:rPr>
                <w:lang w:val="hy-AM"/>
              </w:rPr>
              <w:t xml:space="preserve"> </w:t>
            </w:r>
            <w:r>
              <w:rPr>
                <w:rFonts w:eastAsia="Times New Roman" w:cs="Times New Roman" w:ascii="GHEA Grapalat" w:hAnsi="GHEA Grapalat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>
            <w:pPr>
              <w:pStyle w:val="ListParagraph"/>
              <w:spacing w:lineRule="auto" w:line="276" w:before="0" w:after="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275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>
              <w:rPr>
                <w:rFonts w:cs="Cambria Math"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>
              <w:rPr>
                <w:rFonts w:cs="Cambria Math"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>
              <w:rPr>
                <w:rFonts w:cs="Cambria Math"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>
        <w:trPr/>
        <w:tc>
          <w:tcPr>
            <w:tcW w:w="10848" w:type="dxa"/>
            <w:gridSpan w:val="3"/>
            <w:vMerge w:val="continue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275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ՍՊ//14141-2021</w:t>
            </w:r>
            <w:bookmarkStart w:id="2" w:name="_Hlk67316926"/>
            <w:bookmarkEnd w:id="2"/>
          </w:p>
        </w:tc>
      </w:tr>
      <w:tr>
        <w:trPr/>
        <w:tc>
          <w:tcPr>
            <w:tcW w:w="56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76" w:before="0" w:after="0"/>
              <w:ind w:left="447" w:hanging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6723" w:type="dxa"/>
            <w:tcBorders/>
            <w:vAlign w:val="center"/>
          </w:tcPr>
          <w:p>
            <w:pPr>
              <w:pStyle w:val="Norm"/>
              <w:spacing w:lineRule="auto" w:line="360"/>
              <w:ind w:left="142" w:firstLine="57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«Հայաստանի</w:t>
            </w:r>
            <w:r>
              <w:rPr>
                <w:rFonts w:cs="Sylfaen"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cs="Sylfaen" w:ascii="GHEA Grapalat" w:hAnsi="GHEA Grapalat"/>
                <w:sz w:val="24"/>
                <w:szCs w:val="24"/>
                <w:lang w:val="af-ZA"/>
              </w:rPr>
              <w:t xml:space="preserve"> 2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021</w:t>
            </w:r>
            <w:r>
              <w:rPr>
                <w:rFonts w:cs="Sylfaen" w:ascii="GHEA Grapalat" w:hAnsi="GHEA Grapalat"/>
                <w:sz w:val="24"/>
                <w:szCs w:val="24"/>
                <w:lang w:val="af-ZA"/>
              </w:rPr>
              <w:t xml:space="preserve"> թվականի պետական բյուջե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ի մասին» օրենքում  վերաբաշխում և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անրապետության կառավարության 2020 թվականի դեկտեմբերի 30-ի N 2215-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որոշման մեջ փոփոխություններ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լրացումներ 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կատարելու մասին» Հայաստանի Հանրապետության կառավարության որոշման նախագծի (այսուհետ՝ Նախագիծ) վերաբերյալ դիրքորոշում հայտնելու հետ կապված, առաջարկում ենք.</w:t>
            </w:r>
          </w:p>
          <w:p>
            <w:pPr>
              <w:pStyle w:val="Norm"/>
              <w:spacing w:lineRule="auto" w: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 xml:space="preserve">Նախագծի նախաբանում հղում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կատարել նաև «Նորմատիվ իրավական ակտերի մասին» Հայաստանի Հանրապետության օրենքի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33-րդ և 34-րդ հոդվածներին:</w:t>
            </w:r>
          </w:p>
          <w:p>
            <w:pPr>
              <w:pStyle w:val="Norm"/>
              <w:spacing w:lineRule="auto" w:line="36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</w:tc>
        <w:tc>
          <w:tcPr>
            <w:tcW w:w="6319" w:type="dxa"/>
            <w:gridSpan w:val="2"/>
            <w:tcBorders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</w:tc>
      </w:tr>
      <w:tr>
        <w:trPr/>
        <w:tc>
          <w:tcPr>
            <w:tcW w:w="56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76" w:before="0" w:after="0"/>
              <w:ind w:left="447" w:hanging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6723" w:type="dxa"/>
            <w:tcBorders/>
          </w:tcPr>
          <w:p>
            <w:pPr>
              <w:pStyle w:val="Norm"/>
              <w:spacing w:lineRule="auto" w: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3-րդ Հավելվածում ավելացնել նաև 1079 «Պետական գույքի կառավարում» ծրագրի «Պետական գույքի հաշվառման, գույքագրման, գնահատման, անշարժ գույքի պահառության, սպասարկման աշխատանքների և աճուրդների իրականացման  ծառայություններ» միջոցառումը:</w:t>
            </w:r>
          </w:p>
          <w:p>
            <w:pPr>
              <w:pStyle w:val="Normal"/>
              <w:spacing w:lineRule="auto" w:line="276" w:before="0" w:after="0"/>
              <w:ind w:right="75" w:hanging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</w:tc>
        <w:tc>
          <w:tcPr>
            <w:tcW w:w="6319" w:type="dxa"/>
            <w:gridSpan w:val="2"/>
            <w:tcBorders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</w:tc>
      </w:tr>
      <w:tr>
        <w:trPr/>
        <w:tc>
          <w:tcPr>
            <w:tcW w:w="56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76" w:before="0" w:after="0"/>
              <w:ind w:left="447" w:hanging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6723" w:type="dxa"/>
            <w:tcBorders/>
          </w:tcPr>
          <w:p>
            <w:pPr>
              <w:pStyle w:val="Norm"/>
              <w:spacing w:lineRule="auto" w: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6-րդ և 7-րդ հավելվածներում լրացնել 1079 «Պետական գույքի կառավարում» ծրագրի «Պետական գույքի հաշվառման, գույքագրման, գնահատման, անշարժ գույքի պահառության, սպասարկման աշխատանքների և աճուրդների իրականացման  ծառայություններ» միջոցառման մեջ բացակայող տարի սյունակը, ինչպես նաև նշված միջոցառման «արդյունքի չափորոշիչներ» մասում  «անշարժ գույքի պահառության» մեկ միավորի ավելացումը հեռացնել և փոխարենը «Կառավարական N2, N3, Վ.Սարգսյան 3/3 և Նալբանդյան 28 շենքերի սպասարկվող տարածքը (ք.մ)» դաշտում ավելացնել 790.8 ք.մ-ը:  </w:t>
            </w:r>
          </w:p>
          <w:p>
            <w:pPr>
              <w:pStyle w:val="Normal"/>
              <w:spacing w:lineRule="auto" w:line="276" w:before="0" w:after="0"/>
              <w:ind w:right="75" w:hanging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</w:tc>
        <w:tc>
          <w:tcPr>
            <w:tcW w:w="6319" w:type="dxa"/>
            <w:gridSpan w:val="2"/>
            <w:tcBorders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</w:tc>
      </w:tr>
      <w:tr>
        <w:trPr/>
        <w:tc>
          <w:tcPr>
            <w:tcW w:w="561" w:type="dxa"/>
            <w:tcBorders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76" w:before="0" w:after="0"/>
              <w:ind w:left="447" w:hanging="36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6723" w:type="dxa"/>
            <w:tcBorders/>
          </w:tcPr>
          <w:p>
            <w:pPr>
              <w:pStyle w:val="Norm"/>
              <w:spacing w:lineRule="auto" w:line="36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հիմնավորումներում «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Ծախսերի համար հիմք են հանդիսացել ՀՀ տարածքային կառավարման և ենթակառուցվածքների  նախարարության  պետական գույքի կառավարման կոմիտեի ներկայացված հաշվարկները, համաձայն որի ամսական ծախսը կազմում է 817,2 հազար դրամ։» արտահայտությունը խմբագրել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Ծախսերի համար հիմք են հանդիսացել ՀՀ տարածքային կառավարման և ենթակառուցվածքների  նախարարության  պետական գույքի կառավարման կոմիտեի «Գույքի գնահատման և աճուրդի կենտրոն» ՊՈԱԿ-ի ներկայացված հաշվարկները, համաձայն որի ամսական ծախսը կազմում է 817,2 հազար դրամ։»</w:t>
            </w:r>
            <w:r>
              <w:rPr>
                <w:rFonts w:ascii="GHEA Grapalat" w:hAnsi="GHEA Grapalat"/>
                <w:iCs/>
                <w:sz w:val="24"/>
                <w:szCs w:val="24"/>
              </w:rPr>
              <w:t>: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6319" w:type="dxa"/>
            <w:gridSpan w:val="2"/>
            <w:tcBorders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</w:tc>
      </w:tr>
      <w:tr>
        <w:trPr>
          <w:trHeight w:val="527" w:hRule="atLeast"/>
        </w:trPr>
        <w:tc>
          <w:tcPr>
            <w:tcW w:w="10848" w:type="dxa"/>
            <w:gridSpan w:val="3"/>
            <w:vMerge w:val="restart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ind w:left="360" w:hanging="0"/>
              <w:jc w:val="center"/>
              <w:rPr>
                <w:rFonts w:ascii="GHEA Grapalat" w:hAnsi="GHEA Grapalat" w:eastAsia="Times New Roma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eastAsia="Times New Roman" w:cs="Times New Roman" w:ascii="GHEA Grapalat" w:hAnsi="GHEA Grapalat"/>
                <w:color w:val="000000"/>
                <w:sz w:val="24"/>
                <w:szCs w:val="24"/>
              </w:rPr>
              <w:t>3</w:t>
            </w:r>
            <w:r>
              <w:rPr>
                <w:rFonts w:eastAsia="Times New Roman" w:cs="Times New Roman"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lang w:val="hy-AM"/>
              </w:rPr>
              <w:t xml:space="preserve"> </w:t>
            </w:r>
            <w:r>
              <w:rPr>
                <w:rFonts w:eastAsia="Times New Roman" w:cs="Times New Roman" w:ascii="GHEA Grapalat" w:hAnsi="GHEA Grapalat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>
            <w:pPr>
              <w:pStyle w:val="ListParagraph"/>
              <w:spacing w:lineRule="auto" w:line="276" w:before="0" w:after="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275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21</w:t>
            </w:r>
            <w:r>
              <w:rPr>
                <w:rFonts w:cs="Cambria Math"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>
              <w:rPr>
                <w:rFonts w:cs="Cambria Math"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>
              <w:rPr>
                <w:rFonts w:cs="Cambria Math"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>
        <w:trPr/>
        <w:tc>
          <w:tcPr>
            <w:tcW w:w="10848" w:type="dxa"/>
            <w:gridSpan w:val="3"/>
            <w:vMerge w:val="continue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275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ՍՊ//15499-2021</w:t>
            </w:r>
          </w:p>
        </w:tc>
      </w:tr>
      <w:tr>
        <w:trPr/>
        <w:tc>
          <w:tcPr>
            <w:tcW w:w="561" w:type="dxa"/>
            <w:tcBorders/>
          </w:tcPr>
          <w:p>
            <w:pPr>
              <w:pStyle w:val="ListParagraph"/>
              <w:spacing w:lineRule="auto" w:line="276" w:before="0" w:after="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6723" w:type="dxa"/>
            <w:tcBorders/>
            <w:vAlign w:val="center"/>
          </w:tcPr>
          <w:p>
            <w:pPr>
              <w:pStyle w:val="Norm"/>
              <w:spacing w:lineRule="auto" w: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Ի լրումն ՀՀ բարձր տեխնոլոգիական արդյունաբերության նախարարության կողմից կարծիքի ներկայացված ««Հայաստանի</w:t>
            </w:r>
            <w:r>
              <w:rPr>
                <w:rFonts w:cs="Sylfaen"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cs="Sylfaen" w:ascii="GHEA Grapalat" w:hAnsi="GHEA Grapalat"/>
                <w:sz w:val="24"/>
                <w:szCs w:val="24"/>
                <w:lang w:val="af-ZA"/>
              </w:rPr>
              <w:t xml:space="preserve"> 2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021</w:t>
            </w:r>
            <w:r>
              <w:rPr>
                <w:rFonts w:cs="Sylfaen" w:ascii="GHEA Grapalat" w:hAnsi="GHEA Grapalat"/>
                <w:sz w:val="24"/>
                <w:szCs w:val="24"/>
                <w:lang w:val="af-ZA"/>
              </w:rPr>
              <w:t xml:space="preserve"> թվականի պետական բյուջե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ի մասին» օրենքում  վերաբաշխում և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անրապետության կառավարության 2020 թվականի դեկտեմբերի 30-ի N 2215-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որոշման մեջ փոփոխություններ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լրացումներ 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կատարելու մասին» Հայաստանի Հանրապետության կառավարության որոշման նախագծի (այսուհետ՝ Նախագիծ) վերաբերյալ ՀՀ տարածքային կառավարման և ենթակառուցվածքների նախարարության տրամադրած դիրքորոշման՝ առաջարկում ենք.</w:t>
            </w:r>
          </w:p>
          <w:p>
            <w:pPr>
              <w:pStyle w:val="Norm"/>
              <w:spacing w:lineRule="auto" w:line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Նախագիծը լրացնել 2-րդ կետով՝ հետևյալ բովանդակությամբ.</w:t>
            </w:r>
          </w:p>
          <w:p>
            <w:pPr>
              <w:pStyle w:val="Norm"/>
              <w:spacing w:lineRule="auto" w:line="360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 xml:space="preserve">«2. Սահմանել, որ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Հայաստանի Հանրապետության բարձր տեխնոլոգիական արդյունաբերության նախարարությանն ամրակցված Երևան քաղաքի Նալբանդյան 28 հասցեում գտնվող վարչական շենքի 3-րդ հարկի 790,8 քառ</w:t>
            </w:r>
            <w:r>
              <w:rPr>
                <w:rFonts w:cs="Cambria Math" w:ascii="Cambria Math" w:hAnsi="Cambria Math"/>
                <w:i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մետր տարածքի սպասարկման ծառայությունները կմատուցվեն Հայաստանի Հանրապետության տարածքային կառավարման և ենթակառուցվածքների  նախարարության  պետական գույքի կառավարման կոմիտեի «Գույքի գնահատման և աճուրդի կենտրոն» ՊՈԱԿ-ի կողմից:»:</w:t>
            </w:r>
          </w:p>
          <w:p>
            <w:pPr>
              <w:pStyle w:val="Norm"/>
              <w:spacing w:lineRule="auto" w:line="36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</w:tc>
        <w:tc>
          <w:tcPr>
            <w:tcW w:w="6319" w:type="dxa"/>
            <w:gridSpan w:val="2"/>
            <w:tcBorders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</w:tc>
      </w:tr>
      <w:tr>
        <w:trPr>
          <w:trHeight w:val="527" w:hRule="atLeast"/>
        </w:trPr>
        <w:tc>
          <w:tcPr>
            <w:tcW w:w="10848" w:type="dxa"/>
            <w:gridSpan w:val="3"/>
            <w:vMerge w:val="restart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76" w:before="0" w:after="0"/>
              <w:ind w:left="36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GHEA Grapalat" w:hAnsi="GHEA Grapalat"/>
                <w:color w:val="000000"/>
                <w:kern w:val="0"/>
                <w:sz w:val="24"/>
                <w:szCs w:val="24"/>
                <w:lang w:val="en-US" w:eastAsia="en-US" w:bidi="ar-SA"/>
              </w:rPr>
              <w:t>4</w:t>
            </w:r>
            <w:r>
              <w:rPr>
                <w:rFonts w:eastAsia="Times New Roman" w:cs="Times New Roman"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eastAsia="Times New Roman" w:cs="Times New Roman" w:ascii="GHEA Grapalat" w:hAnsi="GHEA Grapalat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eastAsia="Times New Roman" w:cs="Times New Roman" w:ascii="GHEA Grapalat" w:hAnsi="GHEA Grapalat"/>
                <w:color w:val="000000"/>
                <w:kern w:val="0"/>
                <w:sz w:val="24"/>
                <w:szCs w:val="24"/>
                <w:lang w:val="hy-AM" w:eastAsia="en-US" w:bidi="ar-SA"/>
              </w:rPr>
              <w:t>ֆինանսների</w:t>
            </w:r>
            <w:r>
              <w:rPr>
                <w:rFonts w:eastAsia="Times New Roman" w:cs="Times New Roman" w:ascii="GHEA Grapalat" w:hAnsi="GHEA Grapalat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  <w:p>
            <w:pPr>
              <w:pStyle w:val="ListParagraph"/>
              <w:spacing w:lineRule="auto" w:line="276" w:before="0" w:after="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275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GHEA Grapalat" w:hAnsi="GHEA Grapalat" w:cstheme="minorBidi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03.08.2027թ․</w:t>
            </w:r>
          </w:p>
        </w:tc>
      </w:tr>
      <w:tr>
        <w:trPr/>
        <w:tc>
          <w:tcPr>
            <w:tcW w:w="10848" w:type="dxa"/>
            <w:gridSpan w:val="3"/>
            <w:vMerge w:val="continue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2755" w:type="dxa"/>
            <w:tcBorders/>
            <w:shd w:color="auto" w:fill="BFBFBF" w:themeFill="background1" w:themeFillShade="bf" w:val="clear"/>
          </w:tcPr>
          <w:p>
            <w:pPr>
              <w:pStyle w:val="Normal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Համաձայն 03.08.2021թ․ Ֆինանսատն-տեսական նախարարական  կոմիտեի նիստում ներկայացված տեղականքի  </w:t>
            </w:r>
          </w:p>
        </w:tc>
      </w:tr>
      <w:tr>
        <w:trPr>
          <w:trHeight w:val="630" w:hRule="atLeast"/>
        </w:trPr>
        <w:tc>
          <w:tcPr>
            <w:tcW w:w="561" w:type="dxa"/>
            <w:tcBorders/>
          </w:tcPr>
          <w:p>
            <w:pPr>
              <w:pStyle w:val="ListParagraph"/>
              <w:spacing w:lineRule="auto" w:line="276" w:before="0" w:after="0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6723" w:type="dxa"/>
            <w:tcBorders/>
            <w:vAlign w:val="center"/>
          </w:tcPr>
          <w:p>
            <w:pPr>
              <w:pStyle w:val="Normal"/>
              <w:spacing w:lineRule="auto" w:line="360"/>
              <w:ind w:left="0" w:right="0" w:firstLine="578"/>
              <w:jc w:val="both"/>
              <w:rPr>
                <w:sz w:val="24"/>
                <w:szCs w:val="24"/>
              </w:rPr>
            </w:pP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 xml:space="preserve">Նախագծով նախատեսվում է 1100 ծրագրի </w:t>
            </w:r>
            <w:r>
              <w:rPr>
                <w:rFonts w:cs="GHEA Grapalat" w:ascii="GHEA Grapalat" w:hAnsi="GHEA Grapalat"/>
                <w:sz w:val="24"/>
                <w:szCs w:val="24"/>
              </w:rPr>
              <w:t>շրջանակներում ձեռք բերել վարչական սարքավորումներ՝ հեռախոսային սարքեր, ցանցային բաժանարարներ ու բաղադրիչներ, անվտանգության ապահովման ծառայություններ,  մինչդեռ վերջիններիս ձեռքբերման անհրաժեշտության վերաբերյալ բավարար հիմնավորումներ ներկայացված չեն: Բացի այդ նախատեսվում է կատարել նորոգման աշխատանքներ, սակայն բացակայում է վերջինիս գծով թերությունների ակտը:</w:t>
            </w:r>
          </w:p>
          <w:p>
            <w:pPr>
              <w:pStyle w:val="Normal"/>
              <w:spacing w:lineRule="auto" w:line="360"/>
              <w:ind w:left="0" w:right="0" w:firstLine="578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>
              <w:rPr>
                <w:rFonts w:cs="GHEA Grapalat" w:ascii="GHEA Grapalat" w:hAnsi="GHEA Grapalat"/>
                <w:sz w:val="24"/>
                <w:szCs w:val="24"/>
                <w:lang w:val="fr-FR"/>
              </w:rPr>
              <w:t>Ինչ վերաբերում է Նախագծի տեքստային մասին՝ առաջարկում ենք.</w:t>
            </w:r>
          </w:p>
          <w:p>
            <w:pPr>
              <w:pStyle w:val="Normal"/>
              <w:spacing w:lineRule="auto" w:line="360"/>
              <w:ind w:left="0" w:right="0" w:firstLine="578"/>
              <w:jc w:val="both"/>
              <w:rPr>
                <w:sz w:val="24"/>
                <w:szCs w:val="24"/>
              </w:rPr>
            </w:pPr>
            <w:r>
              <w:rPr>
                <w:rFonts w:cs="GHEA Grapalat" w:ascii="GHEA Grapalat" w:hAnsi="GHEA Grapalat"/>
                <w:sz w:val="24"/>
                <w:szCs w:val="24"/>
                <w:lang w:val="fr-FR"/>
              </w:rPr>
              <w:t>1. Նախագիծը համապատասխանեցնել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«Նորմատիվ իրավական ակտերի մասին» օրենքի 11-րդ հոդվածի 1-ին մասի 6-րդ կետին,</w:t>
            </w:r>
          </w:p>
          <w:p>
            <w:pPr>
              <w:pStyle w:val="Normal"/>
              <w:spacing w:lineRule="auto" w:line="360"/>
              <w:ind w:left="0" w:right="0" w:firstLine="578"/>
              <w:jc w:val="both"/>
              <w:rPr>
                <w:sz w:val="24"/>
                <w:szCs w:val="24"/>
              </w:rPr>
            </w:pP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.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Նախագծի հավելված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>ներ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ի վերնագ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>րերում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 xml:space="preserve"> հղում կատարել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cs="GHEA Grapalat" w:ascii="GHEA Grapalat" w:hAnsi="GHEA Grapalat"/>
                <w:sz w:val="24"/>
                <w:szCs w:val="24"/>
              </w:rPr>
              <w:t>Հայաստանի Հանրապետության 2021 թվականի պետական բյուջեի մասին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>» օրենքին և «</w:t>
            </w:r>
            <w:r>
              <w:rPr>
                <w:rFonts w:cs="GHEA Grapalat" w:ascii="GHEA Grapalat" w:hAnsi="GHEA Grapalat"/>
                <w:sz w:val="24"/>
                <w:szCs w:val="24"/>
              </w:rPr>
              <w:t xml:space="preserve">Հայաստանի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Հանրապետության կառավարության 2020 թվականի դեկտեմբերի 30-ի N 2215» որոշմանը,</w:t>
            </w:r>
          </w:p>
          <w:p>
            <w:pPr>
              <w:pStyle w:val="Normal"/>
              <w:spacing w:lineRule="auto" w:line="360"/>
              <w:ind w:left="0" w:right="0" w:firstLine="578"/>
              <w:jc w:val="both"/>
              <w:rPr>
                <w:sz w:val="24"/>
                <w:szCs w:val="24"/>
              </w:rPr>
            </w:pP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3</w:t>
            </w:r>
            <w:r>
              <w:rPr>
                <w:rFonts w:cs="Cambria Math" w:ascii="Cambria Math" w:hAnsi="Cambria Math"/>
                <w:color w:val="000000"/>
                <w:sz w:val="24"/>
                <w:szCs w:val="24"/>
                <w:lang w:val="fr-FR"/>
              </w:rPr>
              <w:t>․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 xml:space="preserve"> 1100 ծրագրի նպատակը շարադրել հետևյալ բովանդակությամբ՝ «Բարձր տեխնոլոգիական ոլորտում պետական քաղաքականության մշակում, ծրագրերի համակարգում»,</w:t>
            </w:r>
          </w:p>
          <w:p>
            <w:pPr>
              <w:pStyle w:val="Normal"/>
              <w:spacing w:lineRule="auto" w:line="360"/>
              <w:ind w:left="0" w:right="0" w:firstLine="578"/>
              <w:jc w:val="both"/>
              <w:rPr>
                <w:sz w:val="24"/>
                <w:szCs w:val="24"/>
              </w:rPr>
            </w:pP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cs="Cambria Math" w:ascii="Cambria Math" w:hAnsi="Cambria Math"/>
                <w:color w:val="000000"/>
                <w:sz w:val="24"/>
                <w:szCs w:val="24"/>
                <w:lang w:val="fr-FR"/>
              </w:rPr>
              <w:t>․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 xml:space="preserve"> 1100 ծրագրի 11001 միջոցառման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fr-FR"/>
              </w:rPr>
              <w:t xml:space="preserve"> ՀՀ բարձր տեխնոլոգիական արդյունաբերության նախարարության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hy-AM"/>
              </w:rPr>
              <w:t xml:space="preserve"> 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fr-FR"/>
              </w:rPr>
              <w:t xml:space="preserve">/104018/ մասով 4221 «Ներքին գործուղումներ» հոդվածով առկա գումարները «Ինն ամիս» կտրվածքով բավարար չեն 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hy-AM"/>
              </w:rPr>
              <w:t>Ն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fr-FR"/>
              </w:rPr>
              <w:t>ախագծով նախատեսվող նվազեցումը կատարելու համար</w:t>
            </w:r>
            <w:r>
              <w:rPr>
                <w:rFonts w:eastAsia="MS Mincho;ＭＳ 明朝" w:cs="Calibri"/>
                <w:bCs/>
                <w:kern w:val="2"/>
                <w:sz w:val="24"/>
                <w:szCs w:val="24"/>
                <w:lang w:val="fr-FR"/>
              </w:rPr>
              <w:t xml:space="preserve">, 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fr-FR"/>
              </w:rPr>
              <w:t xml:space="preserve">ինչպես նաև առաջարկում ենք 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hy-AM"/>
              </w:rPr>
              <w:t>Ն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fr-FR"/>
              </w:rPr>
              <w:t xml:space="preserve">ախագծին կից N 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hy-AM"/>
              </w:rPr>
              <w:t xml:space="preserve">2 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fr-FR"/>
              </w:rPr>
              <w:t>հավելվածում նշել 1164 ծրագրային դասիչի անվանումը</w:t>
            </w: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hy-AM"/>
              </w:rPr>
              <w:t>,</w:t>
            </w:r>
          </w:p>
          <w:p>
            <w:pPr>
              <w:pStyle w:val="Normal"/>
              <w:spacing w:lineRule="auto" w:line="360"/>
              <w:ind w:left="0" w:right="0" w:firstLine="578"/>
              <w:jc w:val="both"/>
              <w:rPr>
                <w:sz w:val="24"/>
                <w:szCs w:val="24"/>
              </w:rPr>
            </w:pPr>
            <w:r>
              <w:rPr>
                <w:rFonts w:eastAsia="MS Mincho;ＭＳ 明朝" w:cs="GHEA Grapalat" w:ascii="GHEA Grapalat" w:hAnsi="GHEA Grapalat"/>
                <w:bCs/>
                <w:kern w:val="2"/>
                <w:sz w:val="24"/>
                <w:szCs w:val="24"/>
                <w:lang w:val="hy-AM"/>
              </w:rPr>
              <w:t>5</w:t>
            </w:r>
            <w:r>
              <w:rPr>
                <w:rFonts w:eastAsia="MS Mincho;ＭＳ 明朝" w:cs="Cambria Math" w:ascii="Cambria Math" w:hAnsi="Cambria Math"/>
                <w:bCs/>
                <w:kern w:val="2"/>
                <w:sz w:val="24"/>
                <w:szCs w:val="24"/>
                <w:lang w:val="hy-AM"/>
              </w:rPr>
              <w:t>․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 xml:space="preserve"> Նախագծի 6-րդ և 7-րդ՝ պետական մարմնի գծով արդյունքային ցուցանիշները սահմանող հավելվածներում 1079 «Պետական գույքի կառավարում» ծրագրի աղյուսակներից առաջ լրացնել համապատասխան մարմնի անվանումը (6-րդ հավելվածում՝ ՀՀ տարածքային կառավարման և ենթակառուցվածքների նախարարություն, իսկ 7-րդ հավելվածում՝ ՀՀ տարածքային կառավարման և ենթակառուցվածքների  նախարարության  պետական գույքի կառավարման կոմիտե),</w:t>
            </w:r>
          </w:p>
          <w:p>
            <w:pPr>
              <w:pStyle w:val="Normal"/>
              <w:spacing w:lineRule="auto" w:line="360"/>
              <w:ind w:left="0" w:right="0" w:firstLine="578"/>
              <w:jc w:val="both"/>
              <w:rPr>
                <w:sz w:val="24"/>
                <w:szCs w:val="24"/>
              </w:rPr>
            </w:pP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>6</w:t>
            </w:r>
            <w:r>
              <w:rPr>
                <w:rFonts w:cs="Cambria Math" w:ascii="Cambria Math" w:hAnsi="Cambria Math"/>
                <w:sz w:val="24"/>
                <w:szCs w:val="24"/>
                <w:lang w:val="hy-AM"/>
              </w:rPr>
              <w:t xml:space="preserve">․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 xml:space="preserve">Նախագծի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>NN 9 և 9</w:t>
            </w:r>
            <w:r>
              <w:rPr>
                <w:rFonts w:cs="Cambria Math" w:ascii="Cambria Math" w:hAnsi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 xml:space="preserve">1 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հավելված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 xml:space="preserve">ներում 1100 ծրագրի 31001 միջոցառման գծով արդյունքի չափորոշիչ է սահմանվել 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>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>Համակարգչի կոշտ սկավառակ 1 հատ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>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 xml:space="preserve">, մինչդեռ Նախագծի N 8 հավելվածում 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>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>Համակարգչի կոշտ սկավառակները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>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 xml:space="preserve"> նախատեսվել են 4 հատ,</w:t>
            </w:r>
          </w:p>
          <w:p>
            <w:pPr>
              <w:pStyle w:val="Normal"/>
              <w:spacing w:lineRule="auto" w:line="360"/>
              <w:ind w:left="0" w:right="0" w:firstLine="578"/>
              <w:jc w:val="both"/>
              <w:rPr>
                <w:sz w:val="24"/>
                <w:szCs w:val="24"/>
              </w:rPr>
            </w:pP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cs="Cambria Math" w:ascii="Cambria Math" w:hAnsi="Cambria Math"/>
                <w:color w:val="000000"/>
                <w:sz w:val="24"/>
                <w:szCs w:val="24"/>
                <w:lang w:val="fr-FR"/>
              </w:rPr>
              <w:t>․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 xml:space="preserve"> Հաշվի առնելով, որ 1100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 xml:space="preserve"> ծրագրի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 xml:space="preserve"> 31001 միջոցառումը հանդիսանում  է նոր միջոցառում՝ ուստի անհրաժեշտ է վերջինիս ուղղվող 9,705</w:t>
            </w:r>
            <w:r>
              <w:rPr>
                <w:rFonts w:cs="Cambria Math" w:ascii="Cambria Math" w:hAnsi="Cambria Math"/>
                <w:color w:val="000000"/>
                <w:sz w:val="24"/>
                <w:szCs w:val="24"/>
                <w:lang w:val="fr-FR"/>
              </w:rPr>
              <w:t>․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>5 հազար դրամը նախ և առաջ ուղղել ՀՀ կառավարության պահուստայի ֆոնդ և նոր միայն վերաբաշխել նշված միջոցառմանը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</w:p>
          <w:p>
            <w:pPr>
              <w:pStyle w:val="Normal"/>
              <w:spacing w:lineRule="auto" w:line="360"/>
              <w:ind w:left="0" w:right="0" w:firstLine="578"/>
              <w:jc w:val="both"/>
              <w:rPr>
                <w:sz w:val="24"/>
                <w:szCs w:val="24"/>
              </w:rPr>
            </w:pP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>8</w:t>
            </w:r>
            <w:r>
              <w:rPr>
                <w:rFonts w:cs="GHEA Grapalat" w:ascii="GHEA Grapalat" w:hAnsi="GHEA Grapalat"/>
                <w:sz w:val="24"/>
                <w:szCs w:val="24"/>
                <w:lang w:val="fr-FR"/>
              </w:rPr>
              <w:t>.</w:t>
            </w:r>
            <w:r>
              <w:rPr>
                <w:rFonts w:cs="GHEA Grapalat"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 xml:space="preserve">Նկատի ունենալով, որ 32421300 Ցանցային բաժանարար ԳՄԱ կոդով գնման առարկայի գնման գինը գերազանցում է գնումների բազային միավորը, ուստի անհրաժեշտ է վերջինիս ձեռքբերումն իրականացնել գնման մրցակցային ընթացակարգի կիրառմամբ։ </w:t>
            </w:r>
          </w:p>
          <w:p>
            <w:pPr>
              <w:pStyle w:val="Normal"/>
              <w:tabs>
                <w:tab w:val="clear" w:pos="720"/>
                <w:tab w:val="left" w:pos="851" w:leader="none"/>
                <w:tab w:val="right" w:pos="10539" w:leader="none"/>
              </w:tabs>
              <w:spacing w:lineRule="auto" w:line="360" w:before="0" w:after="160"/>
              <w:jc w:val="both"/>
              <w:rPr>
                <w:sz w:val="24"/>
                <w:szCs w:val="24"/>
              </w:rPr>
            </w:pPr>
            <w:r>
              <w:rPr>
                <w:rFonts w:cs="GHEA Grapalat" w:ascii="GHEA Grapalat" w:hAnsi="GHEA Grapalat"/>
                <w:iCs/>
                <w:sz w:val="24"/>
                <w:szCs w:val="24"/>
                <w:lang w:val="hy-AM"/>
              </w:rPr>
              <w:tab/>
              <w:t>Միաժամանակ, որպես ավելորդ դրույթ առաջարկում ենք հանել Նախագծի 2-րդ կետը, քանի որ «Գույքի գնահատման և աճուրդի կենտրոն» ՊՈԱԿ-ին հատկացվող դրամաշնորհն արտացոլված է նախագծի հավելվածներում:</w:t>
            </w:r>
          </w:p>
        </w:tc>
        <w:tc>
          <w:tcPr>
            <w:tcW w:w="6319" w:type="dxa"/>
            <w:gridSpan w:val="2"/>
            <w:tcBorders/>
          </w:tcPr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Ինչպես նշված է նախագծի հիմնավորման մեջ  9.7 մլն դրամ արժեքով վարչական սարքավորումների ձեռք բերման անհրաժեշտությունը պայմանավորված է Ռազմարդյունաբերության կոմիտեի Նալբանդյան 28 հասցե տեղափոխոխմամբ։</w:t>
            </w:r>
          </w:p>
          <w:p>
            <w:pPr>
              <w:pStyle w:val="Normal"/>
              <w:spacing w:lineRule="auto" w:line="360" w:before="0" w:after="0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Նորոգման աշխատանքների մրցույթը հայտարարված է պայմանով։ </w:t>
            </w:r>
          </w:p>
          <w:p>
            <w:pPr>
              <w:pStyle w:val="Normal"/>
              <w:spacing w:lineRule="auto" w:line="276" w:before="0"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Բ</w:t>
            </w:r>
            <w:r>
              <w:rPr>
                <w:rFonts w:ascii="GHEA Grapalat" w:hAnsi="GHEA Grapalat"/>
                <w:sz w:val="24"/>
                <w:szCs w:val="24"/>
              </w:rPr>
              <w:t>ոլոր առաջարկներն ընդունվել են և կատարվել են համապատասխան փոփոխություններ։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5840" w:h="12240"/>
      <w:pgMar w:left="1134" w:right="1134" w:header="0" w:top="540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 Armeni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  <w:font w:name="Cambria Math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5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73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45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517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89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6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3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80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7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495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c63a7"/>
    <w:rPr>
      <w:b/>
      <w:bCs/>
    </w:rPr>
  </w:style>
  <w:style w:type="character" w:styleId="BodyTextChar" w:customStyle="1">
    <w:name w:val="Body Text Char"/>
    <w:basedOn w:val="DefaultParagraphFont"/>
    <w:link w:val="BodyText"/>
    <w:qFormat/>
    <w:rsid w:val="00651c1a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NormalWebChar" w:customStyle="1">
    <w:name w:val="Normal (Web) Char"/>
    <w:link w:val="NormalWeb"/>
    <w:uiPriority w:val="99"/>
    <w:qFormat/>
    <w:locked/>
    <w:rsid w:val="00fe6c4f"/>
    <w:rPr>
      <w:rFonts w:ascii="Times New Roman" w:hAnsi="Times New Roman" w:eastAsia="Times New Roman" w:cs="Times New Roman"/>
      <w:sz w:val="24"/>
      <w:szCs w:val="24"/>
    </w:rPr>
  </w:style>
  <w:style w:type="character" w:styleId="MechtexChar" w:customStyle="1">
    <w:name w:val="mechtex Char"/>
    <w:link w:val="mechtex"/>
    <w:qFormat/>
    <w:locked/>
    <w:rsid w:val="003b56e1"/>
    <w:rPr>
      <w:rFonts w:ascii="Arial Armenian" w:hAnsi="Arial Armenian" w:eastAsia="Times New Roman" w:cs="Times New Roman"/>
      <w:lang w:eastAsia="ru-RU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865f34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865f34"/>
    <w:rPr/>
  </w:style>
  <w:style w:type="character" w:styleId="NormChar" w:customStyle="1">
    <w:name w:val="norm Char"/>
    <w:link w:val="norm"/>
    <w:qFormat/>
    <w:locked/>
    <w:rsid w:val="0099285b"/>
    <w:rPr>
      <w:rFonts w:ascii="Arial Armenian" w:hAnsi="Arial Armenian" w:eastAsia="Times New Roman" w:cs="Times New Roman"/>
      <w:szCs w:val="20"/>
      <w:lang w:eastAsia="ru-RU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link w:val="BodyTextChar"/>
    <w:rsid w:val="00651c1a"/>
    <w:pPr>
      <w:spacing w:lineRule="auto" w:line="240" w:before="0" w:after="120"/>
    </w:pPr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link w:val="NormalWebChar"/>
    <w:uiPriority w:val="99"/>
    <w:unhideWhenUsed/>
    <w:qFormat/>
    <w:rsid w:val="009c63a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c63a7"/>
    <w:pPr>
      <w:spacing w:before="0" w:after="160"/>
      <w:ind w:left="720" w:hanging="0"/>
      <w:contextualSpacing/>
    </w:pPr>
    <w:rPr/>
  </w:style>
  <w:style w:type="paragraph" w:styleId="Mechtex" w:customStyle="1">
    <w:name w:val="mechtex"/>
    <w:basedOn w:val="Normal"/>
    <w:link w:val="mechtexChar"/>
    <w:qFormat/>
    <w:rsid w:val="003b56e1"/>
    <w:pPr>
      <w:spacing w:lineRule="auto" w:line="240" w:before="0" w:after="0"/>
      <w:jc w:val="center"/>
    </w:pPr>
    <w:rPr>
      <w:rFonts w:ascii="Arial Armenian" w:hAnsi="Arial Armenian" w:eastAsia="Times New Roman" w:cs="Times New Roman"/>
      <w:lang w:eastAsia="ru-RU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865f34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865f34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rm" w:customStyle="1">
    <w:name w:val="norm"/>
    <w:basedOn w:val="Normal"/>
    <w:link w:val="normChar"/>
    <w:qFormat/>
    <w:rsid w:val="0099285b"/>
    <w:pPr>
      <w:spacing w:lineRule="auto" w:line="480" w:before="0" w:after="0"/>
      <w:ind w:firstLine="709"/>
      <w:jc w:val="both"/>
    </w:pPr>
    <w:rPr>
      <w:rFonts w:ascii="Arial Armenian" w:hAnsi="Arial Armenian" w:eastAsia="Times New Roman" w:cs="Times New Roman"/>
      <w:szCs w:val="20"/>
      <w:lang w:eastAsia="ru-RU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9c63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EA91A-E729-478F-99DA-30F691E4E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LibreOffice/6.4.7.2$Linux_X86_64 LibreOffice_project/40$Build-2</Application>
  <Pages>12</Pages>
  <Words>1340</Words>
  <Characters>10068</Characters>
  <CharactersWithSpaces>11392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2021-04-05T11:25:00Z</dcterms:created>
  <dc:creator>Lusine Melkonyan</dc:creator>
  <dc:description/>
  <dc:language>en-US</dc:language>
  <cp:lastModifiedBy/>
  <dcterms:modified xsi:type="dcterms:W3CDTF">2021-08-05T10:24:49Z</dcterms:modified>
  <cp:revision>31</cp:revision>
  <dc:subject/>
  <dc:title/>
  <cp:keywords>https://mul2.gov.am/tasks/472593/oneclick/Ampopatert.docx?token=837bbd67b1fe254d1dbb62e365eeefde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