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69" w:rsidRPr="00315705" w:rsidRDefault="003A7F69" w:rsidP="00B36CD4">
      <w:pPr>
        <w:spacing w:before="240" w:after="0" w:line="360" w:lineRule="auto"/>
        <w:ind w:firstLine="567"/>
        <w:jc w:val="right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Ն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ԱԽԱԳԻԾ</w:t>
      </w:r>
    </w:p>
    <w:p w:rsidR="003A7F69" w:rsidRPr="00315705" w:rsidRDefault="003A7F69" w:rsidP="00B36CD4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fr-FR" w:eastAsia="ru-RU"/>
        </w:rPr>
      </w:pPr>
    </w:p>
    <w:p w:rsidR="003A7F69" w:rsidRPr="00315705" w:rsidRDefault="003A7F69" w:rsidP="00B36CD4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</w:pPr>
    </w:p>
    <w:p w:rsidR="003A7F69" w:rsidRPr="00315705" w:rsidRDefault="003A7F69" w:rsidP="00B36CD4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af-ZA" w:eastAsia="ru-RU"/>
        </w:rPr>
      </w:pP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ՀԱՆՐԱՊԵՏՈՒԹՅԱՆ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ԿԱՌԱՎԱՐՈՒԹՅՈՒՆ</w:t>
      </w:r>
    </w:p>
    <w:p w:rsidR="003A7F69" w:rsidRPr="00315705" w:rsidRDefault="003A7F69" w:rsidP="00B36CD4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af-ZA" w:eastAsia="ru-RU"/>
        </w:rPr>
      </w:pP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ՈՐՈՇՈՒՄ</w:t>
      </w:r>
    </w:p>
    <w:p w:rsidR="003A7F69" w:rsidRDefault="003A7F69" w:rsidP="00B36CD4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_______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202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թվական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N ____</w:t>
      </w:r>
      <w:r w:rsidRPr="0031570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</w:p>
    <w:p w:rsidR="0015318B" w:rsidRPr="00A223B2" w:rsidRDefault="0015318B" w:rsidP="008A18FD">
      <w:pPr>
        <w:tabs>
          <w:tab w:val="left" w:pos="450"/>
        </w:tabs>
        <w:spacing w:after="0" w:line="240" w:lineRule="auto"/>
        <w:ind w:firstLine="567"/>
        <w:jc w:val="center"/>
        <w:rPr>
          <w:rFonts w:ascii="GHEA Grapalat" w:hAnsi="GHEA Grapalat" w:cs="Calibri"/>
          <w:b/>
          <w:bCs/>
          <w:lang w:val="hy-AM"/>
        </w:rPr>
      </w:pPr>
    </w:p>
    <w:p w:rsidR="003A7F69" w:rsidRPr="00ED1C66" w:rsidRDefault="00ED1C66" w:rsidP="00E906A9">
      <w:pPr>
        <w:pStyle w:val="a3"/>
        <w:spacing w:before="0" w:beforeAutospacing="0" w:after="0" w:afterAutospacing="0" w:line="276" w:lineRule="auto"/>
        <w:ind w:firstLine="375"/>
        <w:jc w:val="center"/>
        <w:textAlignment w:val="baseline"/>
        <w:rPr>
          <w:rFonts w:ascii="GHEA Grapalat" w:hAnsi="GHEA Grapalat" w:cs="Segoe UI"/>
          <w:lang w:val="hy-AM"/>
        </w:rPr>
      </w:pPr>
      <w:r w:rsidRPr="00BB55B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</w:t>
      </w:r>
      <w:r w:rsidRPr="00CF26BB">
        <w:rPr>
          <w:rFonts w:ascii="GHEA Grapalat" w:hAnsi="GHEA Grapalat"/>
          <w:b/>
          <w:color w:val="000000"/>
          <w:lang w:val="af-ZA"/>
        </w:rPr>
        <w:t xml:space="preserve"> </w:t>
      </w:r>
      <w:r w:rsidRPr="00BB55BE">
        <w:rPr>
          <w:rFonts w:ascii="GHEA Grapalat" w:hAnsi="GHEA Grapalat"/>
          <w:b/>
          <w:color w:val="000000"/>
          <w:lang w:val="hy-AM"/>
        </w:rPr>
        <w:t>202</w:t>
      </w:r>
      <w:r w:rsidR="0015318B">
        <w:rPr>
          <w:rFonts w:ascii="GHEA Grapalat" w:hAnsi="GHEA Grapalat"/>
          <w:b/>
          <w:color w:val="000000"/>
          <w:lang w:val="hy-AM"/>
        </w:rPr>
        <w:t>1</w:t>
      </w:r>
      <w:r w:rsidRPr="00BB55BE">
        <w:rPr>
          <w:rFonts w:ascii="GHEA Grapalat" w:hAnsi="GHEA Grapalat"/>
          <w:b/>
          <w:color w:val="000000"/>
          <w:lang w:val="hy-AM"/>
        </w:rPr>
        <w:t xml:space="preserve"> ԹՎԱԿԱՆԻ ՀՈՒԼԻՍԻ </w:t>
      </w:r>
      <w:r w:rsidR="0015318B">
        <w:rPr>
          <w:rFonts w:ascii="GHEA Grapalat" w:hAnsi="GHEA Grapalat"/>
          <w:b/>
          <w:color w:val="000000"/>
          <w:lang w:val="hy-AM"/>
        </w:rPr>
        <w:t>22</w:t>
      </w:r>
      <w:r w:rsidRPr="00BB55BE">
        <w:rPr>
          <w:rFonts w:ascii="GHEA Grapalat" w:hAnsi="GHEA Grapalat"/>
          <w:b/>
          <w:color w:val="000000"/>
          <w:lang w:val="hy-AM"/>
        </w:rPr>
        <w:t>-Ի N 1</w:t>
      </w:r>
      <w:r w:rsidR="0015318B">
        <w:rPr>
          <w:rFonts w:ascii="GHEA Grapalat" w:hAnsi="GHEA Grapalat"/>
          <w:b/>
          <w:color w:val="000000"/>
          <w:lang w:val="hy-AM"/>
        </w:rPr>
        <w:t>204</w:t>
      </w:r>
      <w:r w:rsidRPr="00BB55BE">
        <w:rPr>
          <w:rFonts w:ascii="GHEA Grapalat" w:hAnsi="GHEA Grapalat"/>
          <w:b/>
          <w:color w:val="000000"/>
          <w:lang w:val="hy-AM"/>
        </w:rPr>
        <w:t>-Ա ՈՐՈՇ</w:t>
      </w:r>
      <w:r w:rsidR="00B645B8">
        <w:rPr>
          <w:rFonts w:ascii="GHEA Grapalat" w:hAnsi="GHEA Grapalat"/>
          <w:b/>
          <w:color w:val="000000"/>
          <w:lang w:val="hy-AM"/>
        </w:rPr>
        <w:t>Մ</w:t>
      </w:r>
      <w:r w:rsidR="007E36C3">
        <w:rPr>
          <w:rFonts w:ascii="GHEA Grapalat" w:hAnsi="GHEA Grapalat"/>
          <w:b/>
          <w:color w:val="000000"/>
          <w:lang w:val="hy-AM"/>
        </w:rPr>
        <w:t>Ա</w:t>
      </w:r>
      <w:r w:rsidR="00C1424A">
        <w:rPr>
          <w:rFonts w:ascii="GHEA Grapalat" w:hAnsi="GHEA Grapalat"/>
          <w:b/>
          <w:color w:val="000000"/>
          <w:lang w:val="hy-AM"/>
        </w:rPr>
        <w:t>Ն</w:t>
      </w:r>
      <w:r w:rsidR="007E36C3">
        <w:rPr>
          <w:rFonts w:ascii="GHEA Grapalat" w:hAnsi="GHEA Grapalat"/>
          <w:b/>
          <w:color w:val="000000"/>
          <w:lang w:val="hy-AM"/>
        </w:rPr>
        <w:t xml:space="preserve"> </w:t>
      </w:r>
      <w:r w:rsidR="00C1424A">
        <w:rPr>
          <w:rFonts w:ascii="GHEA Grapalat" w:hAnsi="GHEA Grapalat"/>
          <w:b/>
          <w:color w:val="000000"/>
          <w:lang w:val="hy-AM"/>
        </w:rPr>
        <w:t>ՄԵՋ ՓՈՓՈԽՈՒԹՅՈՒՆ</w:t>
      </w:r>
      <w:r w:rsidR="00346623">
        <w:rPr>
          <w:rFonts w:ascii="GHEA Grapalat" w:hAnsi="GHEA Grapalat"/>
          <w:b/>
          <w:color w:val="000000"/>
          <w:lang w:val="hy-AM"/>
        </w:rPr>
        <w:t xml:space="preserve"> ԵՎ ԼՐԱՑՈՒՄ</w:t>
      </w:r>
      <w:r w:rsidR="00C1424A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</w:p>
    <w:p w:rsidR="003A7F69" w:rsidRPr="00ED1C66" w:rsidRDefault="003A7F69" w:rsidP="003A7F69">
      <w:pPr>
        <w:pStyle w:val="a3"/>
        <w:spacing w:before="0" w:beforeAutospacing="0" w:after="0" w:afterAutospacing="0"/>
        <w:ind w:firstLine="375"/>
        <w:textAlignment w:val="baseline"/>
        <w:rPr>
          <w:rFonts w:ascii="GHEA Grapalat" w:hAnsi="GHEA Grapalat" w:cs="Segoe UI"/>
          <w:lang w:val="hy-AM"/>
        </w:rPr>
      </w:pPr>
      <w:r w:rsidRPr="00ED1C66">
        <w:rPr>
          <w:rFonts w:ascii="Calibri" w:hAnsi="Calibri" w:cs="Calibri"/>
          <w:lang w:val="hy-AM"/>
        </w:rPr>
        <w:t> </w:t>
      </w:r>
    </w:p>
    <w:p w:rsidR="007A5AF8" w:rsidRPr="00ED1C66" w:rsidRDefault="007A5AF8" w:rsidP="003A7F69">
      <w:pPr>
        <w:pStyle w:val="a3"/>
        <w:spacing w:before="0" w:beforeAutospacing="0" w:after="0" w:afterAutospacing="0"/>
        <w:ind w:firstLine="375"/>
        <w:textAlignment w:val="baseline"/>
        <w:rPr>
          <w:rFonts w:ascii="GHEA Grapalat" w:hAnsi="GHEA Grapalat" w:cs="Calibri"/>
          <w:lang w:val="hy-AM"/>
        </w:rPr>
      </w:pPr>
    </w:p>
    <w:p w:rsidR="00ED1C66" w:rsidRPr="00ED1C66" w:rsidRDefault="00ED1C66" w:rsidP="000B5E64">
      <w:pPr>
        <w:spacing w:after="0" w:line="360" w:lineRule="auto"/>
        <w:ind w:right="-90" w:firstLine="45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D1C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33-րդ և 34-րդ հոդվածները՝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D1C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կառավարությունը </w:t>
      </w:r>
      <w:r w:rsidRPr="00ED1C6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 ր ո շ ու մ է</w:t>
      </w:r>
      <w:r w:rsidRPr="00ED1C6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. </w:t>
      </w:r>
    </w:p>
    <w:p w:rsidR="0015318B" w:rsidRPr="001F02D8" w:rsidRDefault="0015318B" w:rsidP="001F02D8">
      <w:pPr>
        <w:pStyle w:val="norm"/>
        <w:numPr>
          <w:ilvl w:val="0"/>
          <w:numId w:val="3"/>
        </w:numPr>
        <w:spacing w:line="360" w:lineRule="auto"/>
        <w:ind w:left="0" w:right="-143" w:firstLine="426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</w:t>
      </w:r>
      <w:r w:rsidR="001F02D8">
        <w:rPr>
          <w:rFonts w:ascii="GHEA Grapalat" w:hAnsi="GHEA Grapalat" w:cs="Arial"/>
          <w:sz w:val="24"/>
          <w:szCs w:val="24"/>
          <w:lang w:val="hy-AM"/>
        </w:rPr>
        <w:t xml:space="preserve">2021 թվականի հուլիսի 22-ի </w:t>
      </w:r>
      <w:r>
        <w:rPr>
          <w:rFonts w:ascii="GHEA Grapalat" w:hAnsi="GHEA Grapalat" w:cs="Arial"/>
          <w:sz w:val="24"/>
          <w:szCs w:val="24"/>
          <w:lang w:val="hy-AM"/>
        </w:rPr>
        <w:t>«Պ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ետական գույքն օտարելու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անրապետության կառավարության 2020 թվականի հուլիսի 16-ի N1194-Ա որոշման</w:t>
      </w:r>
      <w:r w:rsidR="001F02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(այսուհետ՝ Որոշում)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մեջ փոփոխություն կատարելու մասին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1F02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F02D8"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</w:t>
      </w:r>
      <w:r w:rsidR="001F02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1204</w:t>
      </w:r>
      <w:r w:rsidR="001F02D8"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-Ա</w:t>
      </w:r>
      <w:r w:rsidR="001F02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մեջ կատարել հետևյալ փոփոխությունը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լրացումը</w:t>
      </w:r>
      <w:r w:rsidR="001F02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1F02D8" w:rsidRDefault="006E387C" w:rsidP="006E387C">
      <w:pPr>
        <w:pStyle w:val="norm"/>
        <w:numPr>
          <w:ilvl w:val="0"/>
          <w:numId w:val="4"/>
        </w:numPr>
        <w:tabs>
          <w:tab w:val="left" w:pos="851"/>
        </w:tabs>
        <w:spacing w:line="360" w:lineRule="auto"/>
        <w:ind w:left="0" w:right="-143" w:firstLine="567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Որոշման 2-րդ կետի 1)-ին </w:t>
      </w:r>
      <w:r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ենթակետում «որն ամբողջությամբ» բառեր</w:t>
      </w:r>
      <w:r w:rsidR="006174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առաջ</w:t>
      </w:r>
      <w:r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174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լրացնել</w:t>
      </w:r>
      <w:r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իսկ աճուրդով օտարված գույքի </w:t>
      </w:r>
      <w:r w:rsidR="006174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վաճառքի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գինը</w:t>
      </w:r>
      <w:r w:rsidR="006174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2020 թվականի սեպտեմբերի 4-ի դրությամբ կազմում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86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548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6174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607 դրամ,</w:t>
      </w:r>
      <w:r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բառերով,</w:t>
      </w:r>
    </w:p>
    <w:p w:rsidR="006E387C" w:rsidRPr="006E387C" w:rsidRDefault="006E387C" w:rsidP="006E387C">
      <w:pPr>
        <w:pStyle w:val="norm"/>
        <w:numPr>
          <w:ilvl w:val="0"/>
          <w:numId w:val="4"/>
        </w:numPr>
        <w:tabs>
          <w:tab w:val="left" w:pos="851"/>
        </w:tabs>
        <w:spacing w:line="360" w:lineRule="auto"/>
        <w:ind w:left="0" w:right="-143" w:firstLine="567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Որոշման 4-րդ կետում «10-օրյա ժամկետում» բառերը փոխարինել «մեկամսյա ժամկետում» բառերով։</w:t>
      </w:r>
    </w:p>
    <w:p w:rsidR="000B5E64" w:rsidRDefault="000B5E64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A7F69" w:rsidRPr="00A34F7B" w:rsidRDefault="003A7F69" w:rsidP="000B5E64">
      <w:pPr>
        <w:spacing w:after="0" w:line="360" w:lineRule="auto"/>
        <w:ind w:firstLine="567"/>
        <w:jc w:val="both"/>
        <w:rPr>
          <w:rFonts w:ascii="GHEA Grapalat" w:hAnsi="GHEA Grapalat" w:cs="Segoe UI"/>
          <w:lang w:val="hy-AM"/>
        </w:rPr>
      </w:pPr>
    </w:p>
    <w:p w:rsidR="003A7F69" w:rsidRPr="00A34F7B" w:rsidRDefault="003A7F69" w:rsidP="007A5AF8">
      <w:pPr>
        <w:pStyle w:val="a3"/>
        <w:spacing w:before="0" w:beforeAutospacing="0" w:after="0" w:afterAutospacing="0" w:line="360" w:lineRule="auto"/>
        <w:ind w:firstLine="375"/>
        <w:jc w:val="both"/>
        <w:textAlignment w:val="baseline"/>
        <w:rPr>
          <w:rFonts w:ascii="GHEA Grapalat" w:hAnsi="GHEA Grapalat" w:cs="Segoe UI"/>
          <w:lang w:val="hy-AM"/>
        </w:rPr>
      </w:pPr>
      <w:r w:rsidRPr="00A34F7B">
        <w:rPr>
          <w:rFonts w:ascii="Calibri" w:hAnsi="Calibri" w:cs="Calibri"/>
          <w:lang w:val="hy-AM"/>
        </w:rPr>
        <w:t> </w:t>
      </w:r>
    </w:p>
    <w:p w:rsidR="003A7F69" w:rsidRPr="00A34F7B" w:rsidRDefault="003A7F69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Segoe UI"/>
          <w:lang w:val="hy-AM"/>
        </w:rPr>
      </w:pPr>
      <w:r w:rsidRPr="00A34F7B">
        <w:rPr>
          <w:rFonts w:ascii="Calibri" w:hAnsi="Calibri" w:cs="Calibri"/>
          <w:lang w:val="hy-AM"/>
        </w:rPr>
        <w:t> </w:t>
      </w:r>
    </w:p>
    <w:p w:rsidR="003A7F69" w:rsidRPr="00A34F7B" w:rsidRDefault="003A7F69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Segoe UI"/>
          <w:lang w:val="hy-AM"/>
        </w:rPr>
      </w:pPr>
      <w:r w:rsidRPr="00A34F7B">
        <w:rPr>
          <w:rFonts w:ascii="Calibri" w:hAnsi="Calibri" w:cs="Calibri"/>
          <w:lang w:val="hy-AM"/>
        </w:rPr>
        <w:t> </w:t>
      </w:r>
    </w:p>
    <w:p w:rsidR="000E2D82" w:rsidRDefault="000E2D82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B36CD4">
      <w:pPr>
        <w:pStyle w:val="a3"/>
        <w:spacing w:before="0" w:beforeAutospacing="0" w:after="0" w:afterAutospacing="0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0E2D82" w:rsidRDefault="000E2D82" w:rsidP="00B36CD4">
      <w:pPr>
        <w:pStyle w:val="a3"/>
        <w:spacing w:before="0" w:beforeAutospacing="0" w:after="0" w:afterAutospacing="0" w:line="360" w:lineRule="auto"/>
        <w:ind w:firstLine="360"/>
        <w:jc w:val="center"/>
        <w:textAlignment w:val="baseline"/>
        <w:rPr>
          <w:rFonts w:ascii="GHEA Grapalat" w:hAnsi="GHEA Grapalat" w:cs="Calibri"/>
          <w:b/>
          <w:bCs/>
          <w:lang w:val="hy-AM"/>
        </w:rPr>
      </w:pPr>
    </w:p>
    <w:p w:rsidR="003A7F69" w:rsidRPr="00A223B2" w:rsidRDefault="007B069A" w:rsidP="00B36CD4">
      <w:pPr>
        <w:pStyle w:val="a3"/>
        <w:spacing w:before="0" w:beforeAutospacing="0" w:after="0" w:afterAutospacing="0" w:line="360" w:lineRule="auto"/>
        <w:ind w:firstLine="360"/>
        <w:jc w:val="center"/>
        <w:textAlignment w:val="baseline"/>
        <w:rPr>
          <w:rFonts w:ascii="GHEA Grapalat" w:hAnsi="GHEA Grapalat" w:cs="Segoe UI"/>
          <w:lang w:val="hy-AM"/>
        </w:rPr>
      </w:pPr>
      <w:r>
        <w:rPr>
          <w:rFonts w:ascii="GHEA Grapalat" w:hAnsi="GHEA Grapalat" w:cs="Calibri"/>
          <w:b/>
          <w:bCs/>
          <w:lang w:val="hy-AM"/>
        </w:rPr>
        <w:t>ՀԻՄՆԱՎՈՐՈՒՄ</w:t>
      </w:r>
    </w:p>
    <w:p w:rsidR="00AF2A82" w:rsidRPr="00ED1C66" w:rsidRDefault="00951137" w:rsidP="00B36CD4">
      <w:pPr>
        <w:pStyle w:val="a3"/>
        <w:spacing w:before="0" w:beforeAutospacing="0" w:after="0" w:afterAutospacing="0" w:line="360" w:lineRule="auto"/>
        <w:ind w:firstLine="375"/>
        <w:jc w:val="center"/>
        <w:textAlignment w:val="baseline"/>
        <w:rPr>
          <w:rFonts w:ascii="GHEA Grapalat" w:hAnsi="GHEA Grapalat" w:cs="Segoe UI"/>
          <w:lang w:val="hy-AM"/>
        </w:rPr>
      </w:pPr>
      <w:r w:rsidRPr="00BB55B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</w:t>
      </w:r>
      <w:r w:rsidRPr="00CF26BB">
        <w:rPr>
          <w:rFonts w:ascii="GHEA Grapalat" w:hAnsi="GHEA Grapalat"/>
          <w:b/>
          <w:color w:val="000000"/>
          <w:lang w:val="af-ZA"/>
        </w:rPr>
        <w:t xml:space="preserve"> </w:t>
      </w:r>
      <w:r w:rsidRPr="00BB55BE">
        <w:rPr>
          <w:rFonts w:ascii="GHEA Grapalat" w:hAnsi="GHEA Grapalat"/>
          <w:b/>
          <w:color w:val="000000"/>
          <w:lang w:val="hy-AM"/>
        </w:rPr>
        <w:t>202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BB55BE">
        <w:rPr>
          <w:rFonts w:ascii="GHEA Grapalat" w:hAnsi="GHEA Grapalat"/>
          <w:b/>
          <w:color w:val="000000"/>
          <w:lang w:val="hy-AM"/>
        </w:rPr>
        <w:t xml:space="preserve"> ԹՎԱԿԱՆԻ ՀՈՒԼԻՍԻ </w:t>
      </w:r>
      <w:r>
        <w:rPr>
          <w:rFonts w:ascii="GHEA Grapalat" w:hAnsi="GHEA Grapalat"/>
          <w:b/>
          <w:color w:val="000000"/>
          <w:lang w:val="hy-AM"/>
        </w:rPr>
        <w:t>22</w:t>
      </w:r>
      <w:r w:rsidRPr="00BB55BE">
        <w:rPr>
          <w:rFonts w:ascii="GHEA Grapalat" w:hAnsi="GHEA Grapalat"/>
          <w:b/>
          <w:color w:val="000000"/>
          <w:lang w:val="hy-AM"/>
        </w:rPr>
        <w:t>-Ի N 1</w:t>
      </w:r>
      <w:r>
        <w:rPr>
          <w:rFonts w:ascii="GHEA Grapalat" w:hAnsi="GHEA Grapalat"/>
          <w:b/>
          <w:color w:val="000000"/>
          <w:lang w:val="hy-AM"/>
        </w:rPr>
        <w:t>204</w:t>
      </w:r>
      <w:r w:rsidRPr="00BB55BE">
        <w:rPr>
          <w:rFonts w:ascii="GHEA Grapalat" w:hAnsi="GHEA Grapalat"/>
          <w:b/>
          <w:color w:val="000000"/>
          <w:lang w:val="hy-AM"/>
        </w:rPr>
        <w:t>-Ա ՈՐՈՇ</w:t>
      </w:r>
      <w:r>
        <w:rPr>
          <w:rFonts w:ascii="GHEA Grapalat" w:hAnsi="GHEA Grapalat"/>
          <w:b/>
          <w:color w:val="000000"/>
          <w:lang w:val="hy-AM"/>
        </w:rPr>
        <w:t>ՄԱՆ ՄԵՋ ՓՈՓՈԽՈՒԹՅՈՒՆ</w:t>
      </w:r>
      <w:r w:rsidR="00346623">
        <w:rPr>
          <w:rFonts w:ascii="GHEA Grapalat" w:hAnsi="GHEA Grapalat"/>
          <w:b/>
          <w:color w:val="000000"/>
          <w:lang w:val="hy-AM"/>
        </w:rPr>
        <w:t xml:space="preserve"> ԵՎ ԼՐԱՑՈՒՄ</w:t>
      </w:r>
      <w:r>
        <w:rPr>
          <w:rFonts w:ascii="GHEA Grapalat" w:hAnsi="GHEA Grapalat"/>
          <w:b/>
          <w:color w:val="000000"/>
          <w:lang w:val="hy-AM"/>
        </w:rPr>
        <w:t xml:space="preserve"> ԿԱՏԱՐԵԼՈՒ </w:t>
      </w:r>
      <w:r w:rsidR="00AF2A82">
        <w:rPr>
          <w:rFonts w:ascii="GHEA Grapalat" w:hAnsi="GHEA Grapalat"/>
          <w:b/>
          <w:color w:val="000000"/>
          <w:lang w:val="hy-AM"/>
        </w:rPr>
        <w:t>ՄԱՍԻՆ</w:t>
      </w:r>
    </w:p>
    <w:p w:rsidR="003A7F69" w:rsidRPr="003A7F69" w:rsidRDefault="003A7F69" w:rsidP="00B36CD4">
      <w:pPr>
        <w:pStyle w:val="a3"/>
        <w:spacing w:before="0" w:beforeAutospacing="0" w:after="0" w:afterAutospacing="0" w:line="360" w:lineRule="auto"/>
        <w:ind w:firstLine="360"/>
        <w:jc w:val="center"/>
        <w:textAlignment w:val="baseline"/>
        <w:rPr>
          <w:rFonts w:ascii="GHEA Grapalat" w:hAnsi="GHEA Grapalat" w:cs="Segoe UI"/>
          <w:lang w:val="hy-AM"/>
        </w:rPr>
      </w:pPr>
      <w:r w:rsidRPr="003A7F69">
        <w:rPr>
          <w:rFonts w:ascii="Calibri" w:hAnsi="Calibri" w:cs="Calibri"/>
          <w:b/>
          <w:bCs/>
          <w:lang w:val="hy-AM"/>
        </w:rPr>
        <w:t> </w:t>
      </w:r>
      <w:r w:rsidRPr="003A7F69">
        <w:rPr>
          <w:rFonts w:ascii="GHEA Grapalat" w:hAnsi="GHEA Grapalat" w:cs="Calibri"/>
          <w:b/>
          <w:bCs/>
          <w:lang w:val="fr-FR"/>
        </w:rPr>
        <w:t>ՀՀ</w:t>
      </w:r>
      <w:r w:rsidRPr="003A7F69">
        <w:rPr>
          <w:rFonts w:ascii="Calibri" w:hAnsi="Calibri" w:cs="Calibri"/>
          <w:b/>
          <w:bCs/>
          <w:lang w:val="fr-FR"/>
        </w:rPr>
        <w:t> </w:t>
      </w:r>
      <w:r w:rsidRPr="003A7F69">
        <w:rPr>
          <w:rFonts w:ascii="GHEA Grapalat" w:hAnsi="GHEA Grapalat" w:cs="Calibri"/>
          <w:b/>
          <w:bCs/>
          <w:lang w:val="fr-FR"/>
        </w:rPr>
        <w:t>կառավարության</w:t>
      </w:r>
      <w:r w:rsidRPr="003A7F69">
        <w:rPr>
          <w:rFonts w:ascii="Calibri" w:hAnsi="Calibri" w:cs="Calibri"/>
          <w:b/>
          <w:bCs/>
          <w:lang w:val="fr-FR"/>
        </w:rPr>
        <w:t> </w:t>
      </w:r>
      <w:r w:rsidRPr="003A7F69">
        <w:rPr>
          <w:rFonts w:ascii="GHEA Grapalat" w:hAnsi="GHEA Grapalat" w:cs="Calibri"/>
          <w:b/>
          <w:bCs/>
          <w:lang w:val="fr-FR"/>
        </w:rPr>
        <w:t>որոշման</w:t>
      </w:r>
      <w:r w:rsidRPr="003A7F69">
        <w:rPr>
          <w:rFonts w:ascii="Calibri" w:hAnsi="Calibri" w:cs="Calibri"/>
          <w:b/>
          <w:bCs/>
          <w:lang w:val="fr-FR"/>
        </w:rPr>
        <w:t> </w:t>
      </w:r>
      <w:r w:rsidRPr="003A7F69">
        <w:rPr>
          <w:rFonts w:ascii="GHEA Grapalat" w:hAnsi="GHEA Grapalat" w:cs="Calibri"/>
          <w:b/>
          <w:bCs/>
          <w:lang w:val="fr-FR"/>
        </w:rPr>
        <w:t>նախագծի</w:t>
      </w:r>
      <w:r w:rsidRPr="003A7F69">
        <w:rPr>
          <w:rFonts w:ascii="Calibri" w:hAnsi="Calibri" w:cs="Calibri"/>
          <w:b/>
          <w:bCs/>
          <w:lang w:val="fr-FR"/>
        </w:rPr>
        <w:t> </w:t>
      </w:r>
      <w:r w:rsidRPr="003A7F69">
        <w:rPr>
          <w:rFonts w:ascii="Calibri" w:hAnsi="Calibri" w:cs="Calibri"/>
          <w:lang w:val="hy-AM"/>
        </w:rPr>
        <w:t> </w:t>
      </w:r>
    </w:p>
    <w:p w:rsidR="003A7F69" w:rsidRPr="003A7F69" w:rsidRDefault="003A7F69" w:rsidP="003A7F69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GHEA Grapalat" w:hAnsi="GHEA Grapalat" w:cs="Segoe UI"/>
          <w:lang w:val="hy-AM"/>
        </w:rPr>
      </w:pPr>
      <w:r w:rsidRPr="003A7F69">
        <w:rPr>
          <w:rFonts w:ascii="Calibri" w:hAnsi="Calibri" w:cs="Calibri"/>
          <w:lang w:val="hy-AM"/>
        </w:rPr>
        <w:t> </w:t>
      </w:r>
    </w:p>
    <w:p w:rsidR="000E2D82" w:rsidRPr="000E2D82" w:rsidRDefault="000E2D82" w:rsidP="007B069A">
      <w:pPr>
        <w:spacing w:after="0" w:line="360" w:lineRule="auto"/>
        <w:ind w:left="-446" w:right="-86" w:firstLine="44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E2D82">
        <w:rPr>
          <w:rFonts w:ascii="GHEA Grapalat" w:hAnsi="GHEA Grapalat" w:cs="Times New Roman"/>
          <w:sz w:val="24"/>
          <w:szCs w:val="24"/>
          <w:lang w:val="hy-AM"/>
        </w:rPr>
        <w:t>Հայաստանի Հանրապետության կառավարության 2020 թվականի հուլիսի 16-ի «Պ</w:t>
      </w:r>
      <w:r w:rsidRPr="000E2D82">
        <w:rPr>
          <w:rFonts w:ascii="GHEA Grapalat" w:hAnsi="GHEA Grapalat" w:cs="Times New Roman"/>
          <w:bCs/>
          <w:sz w:val="24"/>
          <w:szCs w:val="24"/>
          <w:lang w:val="hy-AM"/>
        </w:rPr>
        <w:t>ետական գույքն օտարելու և Հայաստանի Հանրապետության կառավարության 2020 թվականի ապրիլի 23-ի N626-Ա որոշման մեջ փոփոխություն կատարելու մասին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» N1194-Ա 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որոշմ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ն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համաձայն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՝ Պետական գույքի կառավարման կոմիտեի</w:t>
      </w:r>
      <w:r w:rsidR="004B4C3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C3E" w:rsidRPr="000E2D82">
        <w:rPr>
          <w:rFonts w:ascii="GHEA Grapalat" w:hAnsi="GHEA Grapalat" w:cs="Times New Roman"/>
          <w:sz w:val="24"/>
          <w:szCs w:val="24"/>
          <w:lang w:val="af-ZA"/>
        </w:rPr>
        <w:t xml:space="preserve">(այսուհետ՝ </w:t>
      </w:r>
      <w:r w:rsidR="004B4C3E">
        <w:rPr>
          <w:rFonts w:ascii="GHEA Grapalat" w:hAnsi="GHEA Grapalat" w:cs="Times New Roman"/>
          <w:sz w:val="24"/>
          <w:szCs w:val="24"/>
          <w:lang w:val="hy-AM"/>
        </w:rPr>
        <w:t>Կոմիտե</w:t>
      </w:r>
      <w:r w:rsidR="004B4C3E" w:rsidRPr="000E2D82">
        <w:rPr>
          <w:rFonts w:ascii="GHEA Grapalat" w:hAnsi="GHEA Grapalat" w:cs="Times New Roman"/>
          <w:sz w:val="24"/>
          <w:szCs w:val="24"/>
          <w:lang w:val="af-ZA"/>
        </w:rPr>
        <w:t>)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կողմից պետական սեփականություն հանդիսացող Երևան քաղաքի, Շենգավիթ համայնքի Թամանցիների փողոց 73 հասցեում գտնվող՝ 3948 քառ. մետր մակերեսով շենք-շինությունները և դրանց օգտագործման ու սպասարկման համար հատկացված 0.885082 հեկտար մակերեսով հողամաս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ը ներկայացվել է օտարման և օտարվել 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է 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դասական աճուրդով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0E2D82" w:rsidRPr="000E2D82" w:rsidRDefault="000E2D82" w:rsidP="007B069A">
      <w:pPr>
        <w:spacing w:after="0" w:line="360" w:lineRule="auto"/>
        <w:ind w:left="-446" w:right="-86" w:firstLine="446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0E2D82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ճուրդի հաղթողի կողմից սահմանված ժամկետում իրականացվել </w:t>
      </w:r>
      <w:r w:rsidR="00D90C3D">
        <w:rPr>
          <w:rFonts w:ascii="GHEA Grapalat" w:hAnsi="GHEA Grapalat" w:cs="Times New Roman"/>
          <w:sz w:val="24"/>
          <w:szCs w:val="24"/>
          <w:lang w:val="af-ZA"/>
        </w:rPr>
        <w:t>են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համապատասխան վճ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րումները և վերջինիս հետ գույքի օտարման պայմանագիր կնքելու նպատակով </w:t>
      </w:r>
      <w:r w:rsidR="0033182B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ոմիտեն դիմել է Կադաստրի կոմիտե միասնական տեղեկանք ստանալու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նպատակով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, ի պատասխան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որի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Կադաստրի կոմիտեն տրամադրել է իրավունքի պետական գրանցման նոր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վկայական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, որի «շինության բնութագիրը» բաժնում ներառված շինությունների մակերեսները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փոխվել են առկա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անշարժ գույքի իրավունքի պետական գրանցման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վկայա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կանում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արտացոլված մակերեսների նկատմամբ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՝ մասնավորապես նոր տրամադրված վկայականում նշված շինությունների կազմում ներառվել է 17.5 ք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առ. 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մ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ետր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(43.75 խմ.) մակերեսով պարիսպ,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տեղեկացվել է նաև, որ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հաշվարկում բաց է թողնված եղել 35.2 քառ մետր մակերեսով շինությունը, որը ևս ներառվել է նոր վկայականում, 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իսկ նախկինում ներառված 10 անվանում շինություններից 7-ի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արտաքին մակերեսների փոխարեն նշվել է ներքին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մակերեսները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, որի արդյունքում զգալի նվազել է շենք-շինությունների ընդհանուր մակերեսը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։</w:t>
      </w:r>
    </w:p>
    <w:p w:rsidR="000E2D82" w:rsidRDefault="000E2D82" w:rsidP="00302DF7">
      <w:pPr>
        <w:spacing w:after="0" w:line="360" w:lineRule="auto"/>
        <w:ind w:left="-446" w:right="-86" w:firstLine="44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E2D82">
        <w:rPr>
          <w:rFonts w:ascii="GHEA Grapalat" w:hAnsi="GHEA Grapalat" w:cs="Times New Roman"/>
          <w:sz w:val="24"/>
          <w:szCs w:val="24"/>
          <w:lang w:val="hy-AM"/>
        </w:rPr>
        <w:t>Նշված փոփոխությունների արդյունքում, չնայած այն հանգամանքին, որ արտ</w:t>
      </w:r>
      <w:r w:rsidR="00B90B96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քին և ներքին մակերեսների փոփոխության արդյունքում նվազել է շենք-շինությունների ընդհանուր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lastRenderedPageBreak/>
        <w:t>մակերեսը՝ վկայականում ներառված նոր շինությունների արդյունքում գնահատված անշարժ գույքի շուկայական արժեքը ավելացել է 1 243 210 ՀՀ դրամով։ Նշվածի վերաբերյալ գրավոր տեղեկացվել է նաև աճուրդի հաղթող ճանաչված քաղաքացին, ով գրավոր տվել է իր համաձայնությունը առաջացած տարբերության վճարման հարցում։</w:t>
      </w:r>
    </w:p>
    <w:p w:rsidR="00302DF7" w:rsidRDefault="00302DF7" w:rsidP="00302DF7">
      <w:pPr>
        <w:spacing w:after="0" w:line="360" w:lineRule="auto"/>
        <w:ind w:left="-446" w:right="-86" w:firstLine="44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Առաջացած խնդիրը կարգավորելու նպատակով 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ՀՀ կառավարության կողմից 22.07.2021թ. ընդունվել է «Պետական գույքն օտարելու և Հայաստանի Հանրապետության կառավարության 2020 թվականի հուլիսի 16-ի N1194-Ա որոշման մեջ փոփոխություն կատարելու մասին» </w:t>
      </w:r>
      <w:r w:rsidR="00B01D33" w:rsidRPr="00B01D33">
        <w:rPr>
          <w:rFonts w:ascii="GHEA Grapalat" w:hAnsi="GHEA Grapalat" w:cs="Times New Roman"/>
          <w:sz w:val="24"/>
          <w:szCs w:val="24"/>
          <w:lang w:val="hy-AM"/>
        </w:rPr>
        <w:t xml:space="preserve">                    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N1204-Ա </w:t>
      </w:r>
      <w:r>
        <w:rPr>
          <w:rFonts w:ascii="GHEA Grapalat" w:hAnsi="GHEA Grapalat" w:cs="Times New Roman"/>
          <w:sz w:val="24"/>
          <w:szCs w:val="24"/>
          <w:lang w:val="hy-AM"/>
        </w:rPr>
        <w:t>որոշումը</w:t>
      </w:r>
      <w:r w:rsidR="00B36CD4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համաձայն որի </w:t>
      </w:r>
      <w:r>
        <w:rPr>
          <w:rFonts w:ascii="GHEA Grapalat" w:hAnsi="GHEA Grapalat"/>
          <w:bCs/>
          <w:sz w:val="24"/>
          <w:szCs w:val="24"/>
          <w:lang w:val="hy-AM"/>
        </w:rPr>
        <w:t>ու</w:t>
      </w:r>
      <w:r>
        <w:rPr>
          <w:rFonts w:ascii="GHEA Grapalat" w:hAnsi="GHEA Grapalat" w:cs="Cambria"/>
          <w:bCs/>
          <w:sz w:val="24"/>
          <w:szCs w:val="24"/>
          <w:lang w:val="hy-AM"/>
        </w:rPr>
        <w:t>ժը կորցրած է ճանաչ</w:t>
      </w:r>
      <w:r w:rsidR="00B36CD4">
        <w:rPr>
          <w:rFonts w:ascii="GHEA Grapalat" w:hAnsi="GHEA Grapalat" w:cs="Cambria"/>
          <w:bCs/>
          <w:sz w:val="24"/>
          <w:szCs w:val="24"/>
          <w:lang w:val="hy-AM"/>
        </w:rPr>
        <w:t>վ</w:t>
      </w:r>
      <w:r>
        <w:rPr>
          <w:rFonts w:ascii="GHEA Grapalat" w:hAnsi="GHEA Grapalat" w:cs="Cambria"/>
          <w:bCs/>
          <w:sz w:val="24"/>
          <w:szCs w:val="24"/>
          <w:lang w:val="hy-AM"/>
        </w:rPr>
        <w:t>ել Հայաստանի Հանրապետության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 xml:space="preserve"> կառավարության 2020 թվականի հուլիսի 16-ի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«Պ</w:t>
      </w:r>
      <w:r w:rsidRPr="000E2D82">
        <w:rPr>
          <w:rFonts w:ascii="GHEA Grapalat" w:hAnsi="GHEA Grapalat" w:cs="Times New Roman"/>
          <w:bCs/>
          <w:sz w:val="24"/>
          <w:szCs w:val="24"/>
          <w:lang w:val="hy-AM"/>
        </w:rPr>
        <w:t>ետական գույքն օտարելու և Հայաստանի Հանրապետության կառավարության 2020 թվականի ապրիլի 23-ի N626-Ա որոշման մեջ փոփոխություն կատարելու մասին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» N1194-Ա </w:t>
      </w:r>
      <w:r w:rsidRPr="000E2D82">
        <w:rPr>
          <w:rFonts w:ascii="GHEA Grapalat" w:hAnsi="GHEA Grapalat" w:cs="Times New Roman"/>
          <w:sz w:val="24"/>
          <w:szCs w:val="24"/>
          <w:lang w:val="af-ZA"/>
        </w:rPr>
        <w:t>որոշ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ման հավելվածի համապատասխան </w:t>
      </w:r>
      <w:r w:rsidR="00B36CD4">
        <w:rPr>
          <w:rFonts w:ascii="GHEA Grapalat" w:hAnsi="GHEA Grapalat" w:cs="Times New Roman"/>
          <w:sz w:val="24"/>
          <w:szCs w:val="24"/>
          <w:lang w:val="hy-AM"/>
        </w:rPr>
        <w:t>կետ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ը և դրա հիմքով իրականացված աճուրդի արդյունքները և հաշվի առնելով, որ նշված որոշման կատարումն ապահովելու նպատակով կազմակերպվել է աճուրդ և այն համարվել է կայացած, որից հետո աճուրդի արդյունքում հաղթող ճանաչված քաղաքացու կողմից ամբողջությամբ վճարվել է աճուրդի արդյունքում ձևավորված վաճառքի գինը՝ նույն որոշմամբ սահմանվել է նաև, որ 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>Երևան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>քաղաքի Թամանցիների փող</w:t>
      </w:r>
      <w:r>
        <w:rPr>
          <w:rFonts w:ascii="GHEA Grapalat" w:hAnsi="GHEA Grapalat" w:cs="Times New Roman"/>
          <w:sz w:val="24"/>
          <w:szCs w:val="24"/>
          <w:lang w:val="hy-AM"/>
        </w:rPr>
        <w:t>ոց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 xml:space="preserve"> 73 հասցեում գտնվող 3</w:t>
      </w:r>
      <w:r w:rsidRPr="00764EAE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Times New Roman"/>
          <w:sz w:val="24"/>
          <w:szCs w:val="24"/>
          <w:lang w:val="hy-AM"/>
        </w:rPr>
        <w:t>439.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>9 քառ. մետր մակերեսով  շենք-շինությունները և դրա</w:t>
      </w:r>
      <w:r>
        <w:rPr>
          <w:rFonts w:ascii="GHEA Grapalat" w:hAnsi="GHEA Grapalat" w:cs="Times New Roman"/>
          <w:sz w:val="24"/>
          <w:szCs w:val="24"/>
          <w:lang w:val="hy-AM"/>
        </w:rPr>
        <w:t>նց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 xml:space="preserve"> օգտագործման և սպասարկման համար հատկացված 0.885082 հեկտար մակերեսով հողամասն ուղղակի </w:t>
      </w:r>
      <w:r w:rsidR="00951137">
        <w:rPr>
          <w:rFonts w:ascii="GHEA Grapalat" w:hAnsi="GHEA Grapalat" w:cs="Times New Roman"/>
          <w:sz w:val="24"/>
          <w:szCs w:val="24"/>
          <w:lang w:val="hy-AM"/>
        </w:rPr>
        <w:t>վաճառքի ձևով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 xml:space="preserve"> օտար</w:t>
      </w:r>
      <w:r>
        <w:rPr>
          <w:rFonts w:ascii="GHEA Grapalat" w:hAnsi="GHEA Grapalat" w:cs="Times New Roman"/>
          <w:sz w:val="24"/>
          <w:szCs w:val="24"/>
          <w:lang w:val="hy-AM"/>
        </w:rPr>
        <w:t>վում է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աճուրդում հաղթող ճանաչած </w:t>
      </w:r>
      <w:r w:rsidRPr="00764EAE">
        <w:rPr>
          <w:rFonts w:ascii="GHEA Grapalat" w:hAnsi="GHEA Grapalat" w:cs="Times New Roman"/>
          <w:sz w:val="24"/>
          <w:szCs w:val="24"/>
          <w:lang w:val="hy-AM"/>
        </w:rPr>
        <w:t>քաղաքացի Շավարշ Մաթևոսի Դավթյանին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՝ վերջինս կողմից միայն իրավունքի պետական գրանցման վկայականի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փոփոխությ</w:t>
      </w:r>
      <w:r>
        <w:rPr>
          <w:rFonts w:ascii="GHEA Grapalat" w:hAnsi="GHEA Grapalat" w:cs="Times New Roman"/>
          <w:sz w:val="24"/>
          <w:szCs w:val="24"/>
          <w:lang w:val="hy-AM"/>
        </w:rPr>
        <w:t>ան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արդյունքում</w:t>
      </w:r>
      <w:r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անշարժ գույքի շուկայական արժեք</w:t>
      </w:r>
      <w:r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ավելաց</w:t>
      </w:r>
      <w:r>
        <w:rPr>
          <w:rFonts w:ascii="GHEA Grapalat" w:hAnsi="GHEA Grapalat" w:cs="Times New Roman"/>
          <w:sz w:val="24"/>
          <w:szCs w:val="24"/>
          <w:lang w:val="hy-AM"/>
        </w:rPr>
        <w:t>ված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51137">
        <w:rPr>
          <w:rFonts w:ascii="GHEA Grapalat" w:hAnsi="GHEA Grapalat" w:cs="Times New Roman"/>
          <w:sz w:val="24"/>
          <w:szCs w:val="24"/>
          <w:lang w:val="hy-AM"/>
        </w:rPr>
        <w:t xml:space="preserve">        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1 243 210 ՀՀ </w:t>
      </w:r>
      <w:r>
        <w:rPr>
          <w:rFonts w:ascii="GHEA Grapalat" w:hAnsi="GHEA Grapalat" w:cs="Times New Roman"/>
          <w:sz w:val="24"/>
          <w:szCs w:val="24"/>
          <w:lang w:val="hy-AM"/>
        </w:rPr>
        <w:t>դրամի վճարման պայմանով։</w:t>
      </w:r>
    </w:p>
    <w:p w:rsidR="00302DF7" w:rsidRPr="00302DF7" w:rsidRDefault="00302DF7" w:rsidP="00302DF7">
      <w:pPr>
        <w:pStyle w:val="norm"/>
        <w:spacing w:line="360" w:lineRule="auto"/>
        <w:ind w:left="-446" w:right="180" w:firstLine="446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ՀՀ կառավարության 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>22.07.2021թ</w:t>
      </w:r>
      <w:r w:rsidR="005C556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 N1204-Ա </w:t>
      </w:r>
      <w:r>
        <w:rPr>
          <w:rFonts w:ascii="GHEA Grapalat" w:hAnsi="GHEA Grapalat" w:cs="Times New Roman"/>
          <w:sz w:val="24"/>
          <w:szCs w:val="24"/>
          <w:lang w:val="hy-AM"/>
        </w:rPr>
        <w:t>որոշմ</w:t>
      </w:r>
      <w:r w:rsidR="005C5562">
        <w:rPr>
          <w:rFonts w:ascii="GHEA Grapalat" w:hAnsi="GHEA Grapalat" w:cs="Times New Roman"/>
          <w:sz w:val="24"/>
          <w:szCs w:val="24"/>
          <w:lang w:val="hy-AM"/>
        </w:rPr>
        <w:t xml:space="preserve">ան մեջ 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>տեղի է ունեցել վրիպակ՝ մասնավորապես. որոշման 2-րդ կետի 1</w:t>
      </w:r>
      <w:r w:rsidR="00951137" w:rsidRPr="00951137">
        <w:rPr>
          <w:rFonts w:ascii="GHEA Grapalat" w:hAnsi="GHEA Grapalat" w:cs="Times New Roman"/>
          <w:sz w:val="24"/>
          <w:szCs w:val="24"/>
          <w:lang w:val="hy-AM"/>
        </w:rPr>
        <w:t>)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>-ին ենթակետով ամրագրվել է հետևյալը.</w:t>
      </w:r>
    </w:p>
    <w:p w:rsidR="00302DF7" w:rsidRPr="00302DF7" w:rsidRDefault="00302DF7" w:rsidP="00302DF7">
      <w:pPr>
        <w:pStyle w:val="norm"/>
        <w:spacing w:line="360" w:lineRule="auto"/>
        <w:ind w:left="-446" w:right="180" w:firstLine="446"/>
        <w:rPr>
          <w:rFonts w:ascii="GHEA Grapalat" w:hAnsi="GHEA Grapalat" w:cs="Times New Roman"/>
          <w:sz w:val="24"/>
          <w:szCs w:val="24"/>
          <w:lang w:val="hy-AM"/>
        </w:rPr>
      </w:pP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«2. Սահմանել՝ </w:t>
      </w:r>
    </w:p>
    <w:p w:rsidR="00302DF7" w:rsidRPr="00302DF7" w:rsidRDefault="00302DF7" w:rsidP="00302DF7">
      <w:pPr>
        <w:pStyle w:val="norm"/>
        <w:spacing w:line="360" w:lineRule="auto"/>
        <w:ind w:left="-446" w:right="180" w:firstLine="446"/>
        <w:rPr>
          <w:rFonts w:ascii="GHEA Grapalat" w:hAnsi="GHEA Grapalat" w:cs="Times New Roman"/>
          <w:sz w:val="24"/>
          <w:szCs w:val="24"/>
          <w:lang w:val="hy-AM"/>
        </w:rPr>
      </w:pP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1) որ Հայաստանի Հանրապետության կառավարության 1998 թվականի մարտի 27-ի N 209 որոշմամբ սահմանված կարգով 2020 թվականի ապրիլի 3-ի դրությամբ գույքի գնահատված արժեքը կազմում է 101 821 890 դրամ, որն ամբողջությամբ 2020 թվականի սեպտեմբերի 25-ի դրությամբ գնորդի կողմից վճարվել է,», </w:t>
      </w:r>
      <w:r w:rsidR="005C5562">
        <w:rPr>
          <w:rFonts w:ascii="GHEA Grapalat" w:hAnsi="GHEA Grapalat" w:cs="Times New Roman"/>
          <w:sz w:val="24"/>
          <w:szCs w:val="24"/>
          <w:lang w:val="hy-AM"/>
        </w:rPr>
        <w:t>այնինչ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 վերը նշված գույքն օտարվել է կազմակերպված երկրորդ աճուրդի ընթացքում, որի մեկնարկային գինը նվազեցված է եղել գույքի գնահատված արժեքի 15% չափով</w:t>
      </w:r>
      <w:r w:rsidR="00455854">
        <w:rPr>
          <w:rFonts w:ascii="GHEA Grapalat" w:hAnsi="GHEA Grapalat" w:cs="Times New Roman"/>
          <w:sz w:val="24"/>
          <w:szCs w:val="24"/>
          <w:lang w:val="hy-AM"/>
        </w:rPr>
        <w:t xml:space="preserve"> և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 xml:space="preserve"> կազմել է 86</w:t>
      </w:r>
      <w:r w:rsidRPr="00302DF7">
        <w:rPr>
          <w:rFonts w:ascii="Calibri" w:hAnsi="Calibri" w:cs="Calibri"/>
          <w:sz w:val="24"/>
          <w:szCs w:val="24"/>
          <w:lang w:val="hy-AM"/>
        </w:rPr>
        <w:t> 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>548</w:t>
      </w:r>
      <w:r w:rsidRPr="00302DF7">
        <w:rPr>
          <w:rFonts w:ascii="Calibri" w:hAnsi="Calibri" w:cs="Calibri"/>
          <w:sz w:val="24"/>
          <w:szCs w:val="24"/>
          <w:lang w:val="hy-AM"/>
        </w:rPr>
        <w:t> </w:t>
      </w:r>
      <w:r w:rsidRPr="00302DF7">
        <w:rPr>
          <w:rFonts w:ascii="GHEA Grapalat" w:hAnsi="GHEA Grapalat" w:cs="Times New Roman"/>
          <w:sz w:val="24"/>
          <w:szCs w:val="24"/>
          <w:lang w:val="hy-AM"/>
        </w:rPr>
        <w:t>607 ՀՀ դրամ։</w:t>
      </w:r>
    </w:p>
    <w:p w:rsidR="000E2D82" w:rsidRDefault="005C5562" w:rsidP="002C1C4F">
      <w:pPr>
        <w:spacing w:after="0"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Առաջացած խնդիրը շտկելու նպատակով առաջարկվում է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ՀՀ կառավարության 2021 թվականի հուլիսի 22-ի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1204</w:t>
      </w:r>
      <w:r w:rsidRPr="00153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մեջ կատարել հետևյալ փոփոխությունը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լրացումը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</w:t>
      </w:r>
      <w:r>
        <w:rPr>
          <w:rFonts w:ascii="GHEA Grapalat" w:hAnsi="GHEA Grapalat" w:cs="Arial"/>
          <w:sz w:val="24"/>
          <w:szCs w:val="24"/>
          <w:lang w:val="hy-AM"/>
        </w:rPr>
        <w:t xml:space="preserve">րոշման 2-րդ կետի 1)-ին </w:t>
      </w:r>
      <w:r w:rsidR="00346623"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ենթակետում «որն ամբողջությամբ» բառեր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առաջ</w:t>
      </w:r>
      <w:r w:rsidR="00346623"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լրացնել</w:t>
      </w:r>
      <w:r w:rsidR="00346623"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իսկ աճուրդով օտարված գույքի վաճառքի գինը 2020 թվականի սեպտեմբերի 4-ի դրությամբ կազմում է՝ 86</w:t>
      </w:r>
      <w:r w:rsidR="0034662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548</w:t>
      </w:r>
      <w:r w:rsidR="0034662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607 դրամ,</w:t>
      </w:r>
      <w:r w:rsidR="00346623"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3466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բառերը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ինչպես նաև ո</w:t>
      </w:r>
      <w:r w:rsidRPr="006E38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րոշման 4-րդ կետում «10-օրյա ժամկետում» բառերը փոխարինել «մեկամսյա ժամկետում» բառերով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ինչը հնարավորություն կտա գնորդին սահմանված ժամկետում իրականացնել 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>գույքի գնահատված շուկայական արժեք</w:t>
      </w:r>
      <w:r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0E2D82">
        <w:rPr>
          <w:rFonts w:ascii="GHEA Grapalat" w:hAnsi="GHEA Grapalat" w:cs="Times New Roman"/>
          <w:sz w:val="24"/>
          <w:szCs w:val="24"/>
          <w:lang w:val="hy-AM"/>
        </w:rPr>
        <w:t xml:space="preserve"> 1 243 210 ՀՀ դրամ</w:t>
      </w:r>
      <w:bookmarkStart w:id="0" w:name="_GoBack"/>
      <w:bookmarkEnd w:id="0"/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511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տարբերությունը։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951137" w:rsidRPr="00951137" w:rsidRDefault="00951137" w:rsidP="002C1C4F">
      <w:pPr>
        <w:pStyle w:val="a3"/>
        <w:spacing w:before="0" w:beforeAutospacing="0" w:after="0" w:afterAutospacing="0" w:line="360" w:lineRule="auto"/>
        <w:ind w:left="-360"/>
        <w:jc w:val="both"/>
        <w:textAlignment w:val="baseline"/>
        <w:rPr>
          <w:rFonts w:ascii="GHEA Grapalat" w:hAnsi="GHEA Grapalat" w:cs="Segoe UI"/>
          <w:lang w:val="hy-AM"/>
        </w:rPr>
      </w:pPr>
      <w:r w:rsidRPr="00951137">
        <w:rPr>
          <w:rFonts w:ascii="GHEA Grapalat" w:hAnsi="GHEA Grapalat"/>
          <w:lang w:val="hy-AM"/>
        </w:rPr>
        <w:t xml:space="preserve">    </w:t>
      </w:r>
      <w:r w:rsidRPr="00ED0C6E">
        <w:rPr>
          <w:rFonts w:ascii="GHEA Grapalat" w:hAnsi="GHEA Grapalat"/>
          <w:b/>
          <w:lang w:val="hy-AM"/>
        </w:rPr>
        <w:t>«Հայաստանի Հանրապետության կառավարության 2021 թվականի հուլիսի 22-ի</w:t>
      </w:r>
      <w:r w:rsidR="005D31AF">
        <w:rPr>
          <w:rFonts w:ascii="GHEA Grapalat" w:hAnsi="GHEA Grapalat"/>
          <w:b/>
          <w:lang w:val="hy-AM"/>
        </w:rPr>
        <w:t xml:space="preserve">                   </w:t>
      </w:r>
      <w:r w:rsidRPr="00ED0C6E">
        <w:rPr>
          <w:rFonts w:ascii="GHEA Grapalat" w:hAnsi="GHEA Grapalat"/>
          <w:b/>
          <w:lang w:val="hy-AM"/>
        </w:rPr>
        <w:t xml:space="preserve"> N1204-Ա որոշման մեջ փոփոխություն</w:t>
      </w:r>
      <w:r w:rsidR="00346623">
        <w:rPr>
          <w:rFonts w:ascii="GHEA Grapalat" w:hAnsi="GHEA Grapalat"/>
          <w:b/>
          <w:lang w:val="hy-AM"/>
        </w:rPr>
        <w:t xml:space="preserve"> և լրացում</w:t>
      </w:r>
      <w:r w:rsidRPr="00ED0C6E">
        <w:rPr>
          <w:rFonts w:ascii="GHEA Grapalat" w:hAnsi="GHEA Grapalat"/>
          <w:b/>
          <w:lang w:val="hy-AM"/>
        </w:rPr>
        <w:t xml:space="preserve"> կատարելու մասին»</w:t>
      </w:r>
      <w:r w:rsidRPr="00951137">
        <w:rPr>
          <w:rFonts w:ascii="GHEA Grapalat" w:hAnsi="GHEA Grapalat"/>
          <w:lang w:val="hy-AM"/>
        </w:rPr>
        <w:t xml:space="preserve"> Հայաստանի Հանրապետության</w:t>
      </w:r>
      <w:r>
        <w:rPr>
          <w:rFonts w:ascii="GHEA Grapalat" w:hAnsi="GHEA Grapalat" w:cs="Sylfaen"/>
          <w:lang w:val="hy-AM"/>
        </w:rPr>
        <w:t xml:space="preserve"> կառավարության որոշման նախագծի ընդունման արդյունքում նախատեսվում է ապահովել Հայաստանի Հանրապետության պետական բյուջե եկամուտների ավելացում:</w:t>
      </w:r>
    </w:p>
    <w:p w:rsidR="00951137" w:rsidRDefault="00951137" w:rsidP="00951137">
      <w:pPr>
        <w:tabs>
          <w:tab w:val="center" w:pos="4500"/>
          <w:tab w:val="right" w:pos="9360"/>
        </w:tabs>
        <w:spacing w:line="360" w:lineRule="auto"/>
        <w:ind w:left="-540" w:firstLine="36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951137" w:rsidRDefault="00951137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51137">
      <w:pPr>
        <w:spacing w:line="360" w:lineRule="auto"/>
        <w:ind w:left="-446" w:right="180" w:firstLine="44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435A" w:rsidRDefault="0099435A" w:rsidP="0099435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ԱՄՓՈՓԱԹԵՐԹ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 </w:t>
      </w:r>
    </w:p>
    <w:p w:rsidR="0099435A" w:rsidRDefault="0099435A" w:rsidP="0099435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B55B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</w:t>
      </w:r>
      <w:r w:rsidRPr="00CF26BB">
        <w:rPr>
          <w:rFonts w:ascii="GHEA Grapalat" w:hAnsi="GHEA Grapalat"/>
          <w:b/>
          <w:color w:val="000000"/>
          <w:lang w:val="af-ZA"/>
        </w:rPr>
        <w:t xml:space="preserve"> </w:t>
      </w:r>
      <w:r w:rsidRPr="00BB55BE">
        <w:rPr>
          <w:rFonts w:ascii="GHEA Grapalat" w:hAnsi="GHEA Grapalat"/>
          <w:b/>
          <w:color w:val="000000"/>
          <w:lang w:val="hy-AM"/>
        </w:rPr>
        <w:t>202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BB55BE">
        <w:rPr>
          <w:rFonts w:ascii="GHEA Grapalat" w:hAnsi="GHEA Grapalat"/>
          <w:b/>
          <w:color w:val="000000"/>
          <w:lang w:val="hy-AM"/>
        </w:rPr>
        <w:t xml:space="preserve"> ԹՎԱԿԱՆԻ ՀՈՒԼԻՍԻ </w:t>
      </w:r>
      <w:r>
        <w:rPr>
          <w:rFonts w:ascii="GHEA Grapalat" w:hAnsi="GHEA Grapalat"/>
          <w:b/>
          <w:color w:val="000000"/>
          <w:lang w:val="hy-AM"/>
        </w:rPr>
        <w:t>22</w:t>
      </w:r>
      <w:r w:rsidRPr="00BB55BE">
        <w:rPr>
          <w:rFonts w:ascii="GHEA Grapalat" w:hAnsi="GHEA Grapalat"/>
          <w:b/>
          <w:color w:val="000000"/>
          <w:lang w:val="hy-AM"/>
        </w:rPr>
        <w:t>-Ի N 1</w:t>
      </w:r>
      <w:r>
        <w:rPr>
          <w:rFonts w:ascii="GHEA Grapalat" w:hAnsi="GHEA Grapalat"/>
          <w:b/>
          <w:color w:val="000000"/>
          <w:lang w:val="hy-AM"/>
        </w:rPr>
        <w:t>204</w:t>
      </w:r>
      <w:r w:rsidRPr="00BB55BE">
        <w:rPr>
          <w:rFonts w:ascii="GHEA Grapalat" w:hAnsi="GHEA Grapalat"/>
          <w:b/>
          <w:color w:val="000000"/>
          <w:lang w:val="hy-AM"/>
        </w:rPr>
        <w:t>-Ա ՈՐՈՇ</w:t>
      </w:r>
      <w:r>
        <w:rPr>
          <w:rFonts w:ascii="GHEA Grapalat" w:hAnsi="GHEA Grapalat"/>
          <w:b/>
          <w:color w:val="000000"/>
          <w:lang w:val="hy-AM"/>
        </w:rPr>
        <w:t>ՄԱՆ ՄԵՋ ՓՈՓՈԽՈՒԹՅՈՒՆ ԵՎ ԼՐԱՑՈՒՄ ԿԱՏԱՐԵԼՈՒ ՄԱՍԻՆ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99435A" w:rsidRDefault="0099435A" w:rsidP="0099435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ԿԱՌԱՎԱՐՈՒԹՅԱՆ ՈՐՈՇՄԱՆ ՆԱԽԱԳԾԻ</w:t>
      </w:r>
    </w:p>
    <w:p w:rsidR="0099435A" w:rsidRDefault="0099435A" w:rsidP="0099435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</w:p>
    <w:tbl>
      <w:tblPr>
        <w:tblW w:w="108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3019"/>
      </w:tblGrid>
      <w:tr w:rsidR="0099435A" w:rsidTr="0099435A">
        <w:trPr>
          <w:tblCellSpacing w:w="0" w:type="dxa"/>
          <w:jc w:val="center"/>
        </w:trPr>
        <w:tc>
          <w:tcPr>
            <w:tcW w:w="7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9435A" w:rsidRDefault="0099435A" w:rsidP="0099435A">
            <w:pPr>
              <w:spacing w:after="0" w:line="240" w:lineRule="auto"/>
              <w:ind w:left="537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99435A" w:rsidRPr="0099435A" w:rsidRDefault="0099435A" w:rsidP="009943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02.08.2021թ.</w:t>
            </w:r>
          </w:p>
        </w:tc>
      </w:tr>
      <w:tr w:rsidR="0099435A" w:rsidTr="009943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35A" w:rsidRDefault="0099435A" w:rsidP="0099435A">
            <w:pPr>
              <w:spacing w:after="0"/>
              <w:ind w:left="537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99435A" w:rsidRDefault="0099435A" w:rsidP="009943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Pr="009943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01/11-1/12312-2021</w:t>
            </w:r>
          </w:p>
        </w:tc>
      </w:tr>
      <w:tr w:rsidR="0099435A" w:rsidRPr="0099435A" w:rsidTr="0099435A">
        <w:trPr>
          <w:tblCellSpacing w:w="0" w:type="dxa"/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35A" w:rsidRDefault="0099435A" w:rsidP="0099435A">
            <w:pPr>
              <w:pStyle w:val="a3"/>
              <w:spacing w:before="0" w:beforeAutospacing="0" w:after="0" w:afterAutospacing="0" w:line="360" w:lineRule="auto"/>
              <w:ind w:right="126" w:firstLine="537"/>
              <w:contextualSpacing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35A" w:rsidRPr="0099435A" w:rsidRDefault="0099435A" w:rsidP="0099435A">
            <w:pPr>
              <w:pStyle w:val="a3"/>
              <w:spacing w:after="0"/>
              <w:jc w:val="center"/>
              <w:rPr>
                <w:rFonts w:ascii="GHEA Grapalat" w:hAnsi="GHEA Grapalat"/>
                <w:bCs/>
                <w:color w:val="000000"/>
                <w:lang w:val="hy-AM" w:eastAsia="en-US"/>
              </w:rPr>
            </w:pPr>
          </w:p>
        </w:tc>
      </w:tr>
      <w:tr w:rsidR="0099435A" w:rsidTr="0099435A">
        <w:trPr>
          <w:tblCellSpacing w:w="0" w:type="dxa"/>
          <w:jc w:val="center"/>
        </w:trPr>
        <w:tc>
          <w:tcPr>
            <w:tcW w:w="7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35A" w:rsidRDefault="0099435A" w:rsidP="0099435A">
            <w:pPr>
              <w:spacing w:after="0" w:line="240" w:lineRule="auto"/>
              <w:ind w:left="537" w:right="12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 Կադաստրի կոմիտե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9435A" w:rsidRPr="0099435A" w:rsidRDefault="0099435A" w:rsidP="009943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02.08.2021թ.</w:t>
            </w:r>
          </w:p>
        </w:tc>
      </w:tr>
      <w:tr w:rsidR="0099435A" w:rsidTr="009943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35A" w:rsidRDefault="0099435A" w:rsidP="0099435A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9435A" w:rsidRDefault="0099435A" w:rsidP="009943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Pr="009943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ՍԹ/6745-2021</w:t>
            </w:r>
          </w:p>
        </w:tc>
      </w:tr>
      <w:tr w:rsidR="0099435A" w:rsidRPr="0099435A" w:rsidTr="0099435A">
        <w:trPr>
          <w:tblCellSpacing w:w="0" w:type="dxa"/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35A" w:rsidRPr="0099435A" w:rsidRDefault="0099435A" w:rsidP="0099435A">
            <w:pPr>
              <w:spacing w:after="0" w:line="360" w:lineRule="auto"/>
              <w:ind w:left="112" w:right="126" w:firstLine="396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Ա</w:t>
            </w:r>
            <w:r w:rsidRPr="0099435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ռաջարկություններ և դիտողություններ չունենք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35A" w:rsidRDefault="0099435A" w:rsidP="0099435A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</w:tr>
    </w:tbl>
    <w:p w:rsidR="0099435A" w:rsidRDefault="0099435A" w:rsidP="0099435A">
      <w:pPr>
        <w:pStyle w:val="a3"/>
        <w:tabs>
          <w:tab w:val="left" w:pos="-720"/>
        </w:tabs>
        <w:spacing w:line="360" w:lineRule="auto"/>
        <w:ind w:left="-630" w:firstLine="450"/>
        <w:jc w:val="both"/>
        <w:rPr>
          <w:rFonts w:ascii="GHEA Grapalat" w:hAnsi="GHEA Grapalat" w:cs="Arial"/>
          <w:lang w:val="hy-AM"/>
        </w:rPr>
      </w:pPr>
    </w:p>
    <w:p w:rsidR="00951137" w:rsidRPr="000E2D82" w:rsidRDefault="00951137" w:rsidP="005C5562">
      <w:pPr>
        <w:spacing w:line="360" w:lineRule="auto"/>
        <w:ind w:left="-446" w:right="180" w:firstLine="446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D10EFC" w:rsidRDefault="00D10EFC" w:rsidP="007B069A">
      <w:pPr>
        <w:pStyle w:val="norm"/>
        <w:spacing w:line="360" w:lineRule="auto"/>
        <w:ind w:left="-432" w:firstLine="562"/>
        <w:rPr>
          <w:rFonts w:ascii="GHEA Grapalat" w:hAnsi="GHEA Grapalat"/>
          <w:bCs/>
          <w:sz w:val="24"/>
          <w:szCs w:val="24"/>
          <w:lang w:val="hy-AM"/>
        </w:rPr>
      </w:pPr>
    </w:p>
    <w:p w:rsidR="00D10EFC" w:rsidRDefault="00D10EFC" w:rsidP="007B069A">
      <w:pPr>
        <w:pStyle w:val="norm"/>
        <w:spacing w:line="360" w:lineRule="auto"/>
        <w:ind w:left="-432" w:firstLine="562"/>
        <w:rPr>
          <w:rFonts w:ascii="GHEA Grapalat" w:hAnsi="GHEA Grapalat"/>
          <w:bCs/>
          <w:sz w:val="24"/>
          <w:szCs w:val="24"/>
          <w:lang w:val="hy-AM"/>
        </w:rPr>
      </w:pPr>
    </w:p>
    <w:sectPr w:rsidR="00D10EFC" w:rsidSect="00E906A9">
      <w:pgSz w:w="11906" w:h="16838"/>
      <w:pgMar w:top="709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E85"/>
    <w:multiLevelType w:val="hybridMultilevel"/>
    <w:tmpl w:val="158ABA0E"/>
    <w:lvl w:ilvl="0" w:tplc="233037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209"/>
    <w:multiLevelType w:val="hybridMultilevel"/>
    <w:tmpl w:val="CA6C3286"/>
    <w:lvl w:ilvl="0" w:tplc="67A6C53A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 w15:restartNumberingAfterBreak="0">
    <w:nsid w:val="6D786DCF"/>
    <w:multiLevelType w:val="hybridMultilevel"/>
    <w:tmpl w:val="DF8EEB46"/>
    <w:lvl w:ilvl="0" w:tplc="E0327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F3F3E"/>
    <w:multiLevelType w:val="hybridMultilevel"/>
    <w:tmpl w:val="850CC5C6"/>
    <w:lvl w:ilvl="0" w:tplc="33B4EFFE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69"/>
    <w:rsid w:val="00025A0D"/>
    <w:rsid w:val="000531AF"/>
    <w:rsid w:val="00072763"/>
    <w:rsid w:val="000A17B5"/>
    <w:rsid w:val="000B5E64"/>
    <w:rsid w:val="000E2D82"/>
    <w:rsid w:val="001300AD"/>
    <w:rsid w:val="0015318B"/>
    <w:rsid w:val="00181EE6"/>
    <w:rsid w:val="001A1D1F"/>
    <w:rsid w:val="001A25AD"/>
    <w:rsid w:val="001C15E2"/>
    <w:rsid w:val="001C7428"/>
    <w:rsid w:val="001D1395"/>
    <w:rsid w:val="001F02D8"/>
    <w:rsid w:val="002607EB"/>
    <w:rsid w:val="002A2A11"/>
    <w:rsid w:val="002B7CB1"/>
    <w:rsid w:val="002C1C4F"/>
    <w:rsid w:val="00302DF7"/>
    <w:rsid w:val="0033182B"/>
    <w:rsid w:val="00335B6E"/>
    <w:rsid w:val="00340A9F"/>
    <w:rsid w:val="00346623"/>
    <w:rsid w:val="00382E37"/>
    <w:rsid w:val="00397799"/>
    <w:rsid w:val="003A7F69"/>
    <w:rsid w:val="003D30B0"/>
    <w:rsid w:val="003E6794"/>
    <w:rsid w:val="003F0920"/>
    <w:rsid w:val="0041095A"/>
    <w:rsid w:val="004155F1"/>
    <w:rsid w:val="0044580A"/>
    <w:rsid w:val="00455854"/>
    <w:rsid w:val="004B4C3E"/>
    <w:rsid w:val="004F2196"/>
    <w:rsid w:val="004F6672"/>
    <w:rsid w:val="005119AF"/>
    <w:rsid w:val="00572EDF"/>
    <w:rsid w:val="005C5562"/>
    <w:rsid w:val="005D31AF"/>
    <w:rsid w:val="005E64D7"/>
    <w:rsid w:val="005F13C0"/>
    <w:rsid w:val="006168A6"/>
    <w:rsid w:val="00617429"/>
    <w:rsid w:val="006B6CD3"/>
    <w:rsid w:val="006B7182"/>
    <w:rsid w:val="006E387C"/>
    <w:rsid w:val="00764EAE"/>
    <w:rsid w:val="00770EB7"/>
    <w:rsid w:val="007A5AF8"/>
    <w:rsid w:val="007B069A"/>
    <w:rsid w:val="007B4E62"/>
    <w:rsid w:val="007E36C3"/>
    <w:rsid w:val="0080693D"/>
    <w:rsid w:val="00885C26"/>
    <w:rsid w:val="00887EE0"/>
    <w:rsid w:val="0089060A"/>
    <w:rsid w:val="008A18FD"/>
    <w:rsid w:val="008A74E7"/>
    <w:rsid w:val="008B2F3C"/>
    <w:rsid w:val="008F7B86"/>
    <w:rsid w:val="00951137"/>
    <w:rsid w:val="009629CE"/>
    <w:rsid w:val="00970871"/>
    <w:rsid w:val="0099435A"/>
    <w:rsid w:val="00A223B2"/>
    <w:rsid w:val="00A34F7B"/>
    <w:rsid w:val="00A45F6F"/>
    <w:rsid w:val="00AF2A82"/>
    <w:rsid w:val="00B01D33"/>
    <w:rsid w:val="00B36CD4"/>
    <w:rsid w:val="00B645B8"/>
    <w:rsid w:val="00B6541C"/>
    <w:rsid w:val="00B90B96"/>
    <w:rsid w:val="00C11341"/>
    <w:rsid w:val="00C1424A"/>
    <w:rsid w:val="00C361B1"/>
    <w:rsid w:val="00CB5FB6"/>
    <w:rsid w:val="00D10EFC"/>
    <w:rsid w:val="00D70AAB"/>
    <w:rsid w:val="00D90C3D"/>
    <w:rsid w:val="00DD5B8B"/>
    <w:rsid w:val="00DE64E4"/>
    <w:rsid w:val="00DF1810"/>
    <w:rsid w:val="00E23DF5"/>
    <w:rsid w:val="00E37179"/>
    <w:rsid w:val="00E42F3A"/>
    <w:rsid w:val="00E906A9"/>
    <w:rsid w:val="00ED0C6E"/>
    <w:rsid w:val="00ED1C66"/>
    <w:rsid w:val="00F043A1"/>
    <w:rsid w:val="00F40968"/>
    <w:rsid w:val="00F9737B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8137"/>
  <w15:chartTrackingRefBased/>
  <w15:docId w15:val="{7170BEAB-F6D8-4AE1-8C67-A4A49E1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3A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8A6"/>
    <w:pPr>
      <w:ind w:left="720"/>
      <w:contextualSpacing/>
    </w:pPr>
  </w:style>
  <w:style w:type="character" w:customStyle="1" w:styleId="normChar">
    <w:name w:val="norm Char"/>
    <w:link w:val="norm"/>
    <w:locked/>
    <w:rsid w:val="000B5E64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0B5E64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B0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https:/mul2-spm.gov.am/tasks/280908/oneclick/naxagic.docx?token=57728e8b2c68ed7c816915337261fd6d</cp:keywords>
  <dc:description/>
  <cp:lastModifiedBy>Пользователь Windows</cp:lastModifiedBy>
  <cp:revision>3</cp:revision>
  <dcterms:created xsi:type="dcterms:W3CDTF">2021-08-03T09:21:00Z</dcterms:created>
  <dcterms:modified xsi:type="dcterms:W3CDTF">2021-08-03T09:30:00Z</dcterms:modified>
</cp:coreProperties>
</file>