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25" w:rsidRPr="00083325" w:rsidRDefault="00083325" w:rsidP="00083325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  <w:r w:rsidRPr="00083325">
        <w:rPr>
          <w:rFonts w:eastAsia="Calibri" w:cs="Times New Roman"/>
          <w:b/>
          <w:bCs/>
          <w:sz w:val="24"/>
          <w:szCs w:val="24"/>
          <w:shd w:val="clear" w:color="auto" w:fill="FFFFFF"/>
        </w:rPr>
        <w:t>ՀԻՄՆԱՎՈՐՈՒՄ</w:t>
      </w:r>
    </w:p>
    <w:p w:rsidR="00083325" w:rsidRPr="00083325" w:rsidRDefault="00083325" w:rsidP="00083325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</w:p>
    <w:p w:rsidR="00083325" w:rsidRPr="00083325" w:rsidRDefault="00083325" w:rsidP="00083325">
      <w:pPr>
        <w:spacing w:after="0" w:line="276" w:lineRule="auto"/>
        <w:jc w:val="center"/>
        <w:rPr>
          <w:rFonts w:eastAsia="Calibri" w:cs="Arial"/>
          <w:b/>
          <w:sz w:val="24"/>
          <w:szCs w:val="24"/>
        </w:rPr>
      </w:pPr>
      <w:r w:rsidRPr="00083325">
        <w:rPr>
          <w:rFonts w:eastAsia="Calibri" w:cs="Arial"/>
          <w:b/>
          <w:sz w:val="24"/>
          <w:szCs w:val="24"/>
        </w:rPr>
        <w:t xml:space="preserve">«ՀԱՅԱՍՏԱՆԻ ՀԱՆՐԱՊԵՏՈՒԹՅԱՆ ԿԱՌԱՎԱՐՈՒԹՅԱՆ 2021 ԹՎԱԿԱՆԻ ՄԱՅԻՍԻ 20-Ի N801-Լ ՈՐՈՇՄԱՆ ՄԵՋ ՓՈՓՈԽՈՒԹՅՈՒՆ ԿԱՏԱՐԵԼՈՒ ՄԱՍԻՆ» </w:t>
      </w:r>
      <w:r w:rsidRPr="00083325">
        <w:rPr>
          <w:rFonts w:eastAsia="Calibri" w:cs="Times New Roman"/>
          <w:b/>
          <w:bCs/>
          <w:sz w:val="24"/>
          <w:szCs w:val="24"/>
          <w:shd w:val="clear" w:color="auto" w:fill="FFFFFF"/>
        </w:rPr>
        <w:t>ՀԱՅԱՍՏԱՆԻ</w:t>
      </w:r>
      <w:r w:rsidRPr="00083325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</w:rPr>
        <w:t> </w:t>
      </w:r>
      <w:r w:rsidRPr="00083325">
        <w:rPr>
          <w:rFonts w:eastAsia="Calibri" w:cs="Times New Roman"/>
          <w:b/>
          <w:bCs/>
          <w:sz w:val="24"/>
          <w:szCs w:val="24"/>
          <w:shd w:val="clear" w:color="auto" w:fill="FFFFFF"/>
        </w:rPr>
        <w:t xml:space="preserve">ՀԱՆՐԱՊԵՏՈՒԹՅԱՆ ԿԱՌԱՎԱՐՈՒԹՅԱՆ </w:t>
      </w:r>
    </w:p>
    <w:p w:rsidR="00083325" w:rsidRPr="00083325" w:rsidRDefault="00083325" w:rsidP="00083325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  <w:r w:rsidRPr="00083325">
        <w:rPr>
          <w:rFonts w:eastAsia="Calibri" w:cs="Times New Roman"/>
          <w:b/>
          <w:bCs/>
          <w:sz w:val="24"/>
          <w:szCs w:val="24"/>
          <w:shd w:val="clear" w:color="auto" w:fill="FFFFFF"/>
        </w:rPr>
        <w:t>ՈՐՈՇՄԱՆ ՆԱԽԱԳԾԻ ԸՆԴՈՒՆՄԱՆ</w:t>
      </w:r>
    </w:p>
    <w:p w:rsidR="00083325" w:rsidRPr="00083325" w:rsidRDefault="00083325" w:rsidP="00083325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</w:p>
    <w:p w:rsidR="00083325" w:rsidRPr="00083325" w:rsidRDefault="00083325" w:rsidP="00083325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eastAsia="Calibri" w:cs="Times New Roman"/>
          <w:b/>
          <w:sz w:val="24"/>
          <w:szCs w:val="24"/>
          <w:lang w:val="hy-AM"/>
        </w:rPr>
      </w:pPr>
      <w:r w:rsidRPr="00083325">
        <w:rPr>
          <w:rFonts w:eastAsia="Calibri" w:cs="Sylfaen"/>
          <w:b/>
          <w:sz w:val="24"/>
          <w:szCs w:val="24"/>
          <w:lang w:val="hy-AM"/>
        </w:rPr>
        <w:t>Ընթացիկ</w:t>
      </w:r>
      <w:r w:rsidRPr="00083325">
        <w:rPr>
          <w:rFonts w:eastAsia="Calibri" w:cs="Calibri"/>
          <w:b/>
          <w:sz w:val="24"/>
          <w:szCs w:val="24"/>
          <w:lang w:val="hy-AM"/>
        </w:rPr>
        <w:t xml:space="preserve"> </w:t>
      </w:r>
      <w:r w:rsidRPr="00083325">
        <w:rPr>
          <w:rFonts w:eastAsia="Calibri" w:cs="Sylfaen"/>
          <w:b/>
          <w:sz w:val="24"/>
          <w:szCs w:val="24"/>
          <w:lang w:val="hy-AM"/>
        </w:rPr>
        <w:t>իրավիճակը</w:t>
      </w:r>
      <w:r w:rsidRPr="00083325">
        <w:rPr>
          <w:rFonts w:eastAsia="Calibri" w:cs="Calibri"/>
          <w:b/>
          <w:sz w:val="24"/>
          <w:szCs w:val="24"/>
          <w:lang w:val="hy-AM"/>
        </w:rPr>
        <w:t xml:space="preserve"> </w:t>
      </w:r>
      <w:r w:rsidRPr="00083325">
        <w:rPr>
          <w:rFonts w:eastAsia="Calibri" w:cs="Sylfaen"/>
          <w:b/>
          <w:sz w:val="24"/>
          <w:szCs w:val="24"/>
          <w:lang w:val="hy-AM"/>
        </w:rPr>
        <w:t>և</w:t>
      </w:r>
      <w:r w:rsidRPr="00083325">
        <w:rPr>
          <w:rFonts w:eastAsia="Calibri" w:cs="Calibri"/>
          <w:b/>
          <w:sz w:val="24"/>
          <w:szCs w:val="24"/>
          <w:lang w:val="hy-AM"/>
        </w:rPr>
        <w:t xml:space="preserve"> </w:t>
      </w:r>
      <w:r w:rsidRPr="00083325">
        <w:rPr>
          <w:rFonts w:eastAsia="Calibri" w:cs="Times New Roman"/>
          <w:b/>
          <w:sz w:val="24"/>
          <w:szCs w:val="24"/>
          <w:lang w:val="hy-AM"/>
        </w:rPr>
        <w:t>իրավական ակտի ընդունման անհրաժեշտությունը</w:t>
      </w:r>
      <w:r w:rsidRPr="00083325">
        <w:rPr>
          <w:rFonts w:eastAsia="Calibri" w:cs="Times New Roman"/>
          <w:b/>
          <w:sz w:val="24"/>
          <w:szCs w:val="24"/>
        </w:rPr>
        <w:t xml:space="preserve">. </w:t>
      </w:r>
    </w:p>
    <w:p w:rsidR="00083325" w:rsidRPr="00083325" w:rsidRDefault="00083325" w:rsidP="00083325">
      <w:pPr>
        <w:spacing w:after="0" w:line="276" w:lineRule="auto"/>
        <w:ind w:firstLine="567"/>
        <w:jc w:val="both"/>
        <w:rPr>
          <w:rFonts w:eastAsia="Calibri" w:cs="Times New Roman"/>
          <w:strike/>
          <w:sz w:val="24"/>
          <w:szCs w:val="24"/>
          <w:lang w:val="hy-AM"/>
        </w:rPr>
      </w:pP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>ՀՀ կառավարության 2021 թվականի մայիսի 20-ին ընդունվել է  «</w:t>
      </w:r>
      <w:r w:rsidRPr="00083325"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միգրացիայի պետական կառավարման հայեցակարգը և գործողությունների ծրագիրը, որի հավելված 2-ի  3-րդ կետի համաձայն անհրաժեշտ է մշակել 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«Հարկադիր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միգրանտների</w:t>
      </w:r>
      <w:proofErr w:type="spellEnd"/>
      <w:r w:rsidRPr="00083325">
        <w:rPr>
          <w:rFonts w:eastAsia="Calibri" w:cs="Times New Roman"/>
          <w:sz w:val="24"/>
          <w:szCs w:val="24"/>
          <w:lang w:val="hy-AM"/>
        </w:rPr>
        <w:t xml:space="preserve"> զանգվածային ներհոսքի ճգնաժամային կառավարման ծրագիրը հաստատելու մասին» ՀՀ կառավարության որոշման նախագիծ (այսուհետ՝ Նախագիծ) և</w:t>
      </w:r>
      <w:r w:rsidRPr="00083325"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որպես առաջին կատարող նշանակվել է Արտակարգ իրավիճակների նախարարությունը: </w:t>
      </w:r>
    </w:p>
    <w:p w:rsidR="00083325" w:rsidRPr="00083325" w:rsidRDefault="00083325" w:rsidP="00083325">
      <w:pPr>
        <w:spacing w:after="0" w:line="276" w:lineRule="auto"/>
        <w:ind w:firstLine="567"/>
        <w:jc w:val="both"/>
        <w:rPr>
          <w:rFonts w:eastAsia="Calibri" w:cs="Times New Roman"/>
          <w:sz w:val="24"/>
          <w:szCs w:val="24"/>
          <w:lang w:val="hy-AM"/>
        </w:rPr>
      </w:pPr>
      <w:r w:rsidRPr="00083325">
        <w:rPr>
          <w:rFonts w:eastAsia="Times New Roman" w:cs="Times New Roman"/>
          <w:sz w:val="24"/>
          <w:szCs w:val="24"/>
          <w:lang w:val="af-ZA"/>
        </w:rPr>
        <w:t>«</w:t>
      </w:r>
      <w:r w:rsidRPr="00083325">
        <w:rPr>
          <w:rFonts w:eastAsia="Times New Roman" w:cs="Times New Roman"/>
          <w:sz w:val="24"/>
          <w:szCs w:val="24"/>
          <w:lang w:val="hy-AM"/>
        </w:rPr>
        <w:t>Հարկադիր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proofErr w:type="spellStart"/>
      <w:r w:rsidRPr="00083325">
        <w:rPr>
          <w:rFonts w:eastAsia="Times New Roman" w:cs="Times New Roman"/>
          <w:sz w:val="24"/>
          <w:szCs w:val="24"/>
          <w:lang w:val="hy-AM"/>
        </w:rPr>
        <w:t>միգրանտների</w:t>
      </w:r>
      <w:proofErr w:type="spellEnd"/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զանգվածային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ներհոսքի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ճգնաժամային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կառավարման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ծրագիրը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հաստատելու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մասին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» </w:t>
      </w:r>
      <w:r w:rsidRPr="00083325">
        <w:rPr>
          <w:rFonts w:eastAsia="Times New Roman" w:cs="Times New Roman"/>
          <w:sz w:val="24"/>
          <w:szCs w:val="24"/>
          <w:lang w:val="hy-AM"/>
        </w:rPr>
        <w:t>ՀՀ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կառավարության</w:t>
      </w:r>
      <w:r w:rsidRPr="00083325">
        <w:rPr>
          <w:rFonts w:eastAsia="Times New Roman" w:cs="Times New Roman"/>
          <w:sz w:val="24"/>
          <w:szCs w:val="24"/>
          <w:lang w:val="af-ZA"/>
        </w:rPr>
        <w:t xml:space="preserve"> </w:t>
      </w:r>
      <w:r w:rsidRPr="00083325">
        <w:rPr>
          <w:rFonts w:eastAsia="Times New Roman" w:cs="Times New Roman"/>
          <w:sz w:val="24"/>
          <w:szCs w:val="24"/>
          <w:lang w:val="hy-AM"/>
        </w:rPr>
        <w:t>որոշման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 նախագիծը չի կարող մշակվել </w:t>
      </w:r>
      <w:r w:rsidRPr="00083325"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նախարարության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 կողմից, քանի որ միգրացիոն հոսքերի կառավարումը չի առնչվում Ա</w:t>
      </w:r>
      <w:r w:rsidRPr="00083325">
        <w:rPr>
          <w:rFonts w:eastAsia="Calibri" w:cs="Tahoma"/>
          <w:sz w:val="24"/>
          <w:szCs w:val="24"/>
          <w:lang w:val="hy-AM"/>
        </w:rPr>
        <w:t>րտակարգ իրավիճակների նախարարության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գործառույթներին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 (</w:t>
      </w:r>
      <w:proofErr w:type="spellStart"/>
      <w:r w:rsidRPr="00083325">
        <w:rPr>
          <w:rFonts w:eastAsia="Calibri" w:cs="Times New Roman"/>
          <w:sz w:val="24"/>
          <w:szCs w:val="24"/>
          <w:lang w:val="af-ZA"/>
        </w:rPr>
        <w:t>դրանք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af-ZA"/>
        </w:rPr>
        <w:t>հստակ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af-ZA"/>
        </w:rPr>
        <w:t>ու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af-ZA"/>
        </w:rPr>
        <w:t>սպառիչ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սահմանված են Կառավարության կառուցվածքի և գործունեության մասին» օրենքի հավելվածի 4-րդ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կետում</w:t>
      </w:r>
      <w:proofErr w:type="spellEnd"/>
      <w:r w:rsidRPr="00083325">
        <w:rPr>
          <w:rFonts w:eastAsia="Calibri" w:cs="Times New Roman"/>
          <w:sz w:val="24"/>
          <w:szCs w:val="24"/>
          <w:lang w:val="af-ZA"/>
        </w:rPr>
        <w:t xml:space="preserve">) և 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քանի որ հարկադիր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միգրանտների</w:t>
      </w:r>
      <w:proofErr w:type="spellEnd"/>
      <w:r w:rsidRPr="00083325">
        <w:rPr>
          <w:rFonts w:eastAsia="Calibri" w:cs="Times New Roman"/>
          <w:sz w:val="24"/>
          <w:szCs w:val="24"/>
          <w:lang w:val="hy-AM"/>
        </w:rPr>
        <w:t xml:space="preserve"> զանգվածային ներհոսքը պայմանավորված է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հարևան</w:t>
      </w:r>
      <w:proofErr w:type="spellEnd"/>
      <w:r w:rsidRPr="00083325">
        <w:rPr>
          <w:rFonts w:eastAsia="Calibri" w:cs="Times New Roman"/>
          <w:sz w:val="24"/>
          <w:szCs w:val="24"/>
          <w:lang w:val="hy-AM"/>
        </w:rPr>
        <w:t xml:space="preserve"> պետություններում հնարավոր աղետի կամ ռազմական գործողություններով, ապա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հարկ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է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նշել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, 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որ հարկադիր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միգրանտների</w:t>
      </w:r>
      <w:proofErr w:type="spellEnd"/>
      <w:r w:rsidRPr="00083325">
        <w:rPr>
          <w:rFonts w:eastAsia="Calibri" w:cs="Times New Roman"/>
          <w:sz w:val="24"/>
          <w:szCs w:val="24"/>
          <w:lang w:val="hy-AM"/>
        </w:rPr>
        <w:t xml:space="preserve"> զանգվածային ներհոսքի ճգնաժամային կառավարումը Արտակարգ իրավիճակների նախարարության գործառույթներից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դուրս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է, 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>է մշակվել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միայն </w:t>
      </w:r>
      <w:r w:rsidRPr="00083325">
        <w:rPr>
          <w:rFonts w:eastAsia="Calibri" w:cs="Times New Roman"/>
          <w:sz w:val="24"/>
          <w:szCs w:val="24"/>
          <w:lang w:val="hy-AM"/>
        </w:rPr>
        <w:t>միգրացիոն ոլորտը համակարգող պետական կառավարման համակարգի համապատասխան մարմնի</w:t>
      </w:r>
      <w:r w:rsidRPr="00083325">
        <w:rPr>
          <w:rFonts w:eastAsia="Calibri" w:cs="Times New Roman"/>
          <w:sz w:val="24"/>
          <w:szCs w:val="24"/>
          <w:lang w:val="af-ZA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կողմից:</w:t>
      </w:r>
    </w:p>
    <w:p w:rsidR="00083325" w:rsidRPr="00083325" w:rsidRDefault="00083325" w:rsidP="00083325">
      <w:pPr>
        <w:spacing w:after="0" w:line="276" w:lineRule="auto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</w:pPr>
      <w:r w:rsidRPr="00083325">
        <w:rPr>
          <w:rFonts w:eastAsia="Times New Roman" w:cs="Sylfaen"/>
          <w:noProof/>
          <w:sz w:val="24"/>
          <w:szCs w:val="24"/>
          <w:lang w:val="af-ZA"/>
        </w:rPr>
        <w:t>Այս առումով, անհրաժեշտ է նկատի ունենալ նաև ՀՀ Սահմանադրության 6-րդ հոդվածի 2-րդ մասի դրույթները, որոնց համաձայն՝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t>Սահմանադրության և օրենքների հիման վրա և դրանց իրականացումն ապահովելու նպատակով Սահմանադրությամբ նախատեսված մարմինները կարող են</w:t>
      </w:r>
      <w:r w:rsidRPr="00083325">
        <w:rPr>
          <w:rFonts w:eastAsia="Times New Roman" w:cs="Sylfaen"/>
          <w:b/>
          <w:noProof/>
          <w:sz w:val="24"/>
          <w:szCs w:val="24"/>
          <w:lang w:val="af-ZA"/>
        </w:rPr>
        <w:t xml:space="preserve"> օրենքով լիազորվել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t>ընդունելու ենթաօրենս-դրական նորմատիվ իրավական ակտեր:</w:t>
      </w:r>
      <w:r w:rsidRPr="00083325">
        <w:rPr>
          <w:rFonts w:eastAsia="Times New Roman" w:cs="Sylfaen"/>
          <w:b/>
          <w:noProof/>
          <w:sz w:val="24"/>
          <w:szCs w:val="24"/>
          <w:lang w:val="af-ZA"/>
        </w:rPr>
        <w:t xml:space="preserve">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t>Լիազորող նորմերը պետք է համապատասխանեն իրավական որոշակիության սկզբունքին: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t xml:space="preserve">Այսինքն՝ ենթաօրենսդրական նորմատիվ իրավական ակտեր կարող են ընդունվել </w:t>
      </w:r>
      <w:r w:rsidRPr="00083325">
        <w:rPr>
          <w:rFonts w:eastAsia="Times New Roman" w:cs="Sylfaen"/>
          <w:b/>
          <w:noProof/>
          <w:sz w:val="24"/>
          <w:szCs w:val="24"/>
          <w:lang w:val="af-ZA"/>
        </w:rPr>
        <w:t xml:space="preserve">միայն օրենքով հստակ նախատեսված դեպքերում: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t xml:space="preserve">Բացի այդ, Նորմատիվ իրավական </w:t>
      </w:r>
      <w:r w:rsidRPr="00083325">
        <w:rPr>
          <w:rFonts w:eastAsia="Times New Roman" w:cs="Sylfaen"/>
          <w:noProof/>
          <w:sz w:val="24"/>
          <w:szCs w:val="24"/>
          <w:lang w:val="af-ZA"/>
        </w:rPr>
        <w:lastRenderedPageBreak/>
        <w:t xml:space="preserve">ակտերի մասին օրենքի 13-րդ հոդվածի 1-ին մասի համաձայն՝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ենթաօրենսդրական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ակտն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ունենում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նախաբան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նշվում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օրենսդրական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հոդվածը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մասը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Սահմանադրության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proofErr w:type="spellStart"/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րդ</w:t>
      </w:r>
      <w:proofErr w:type="spellEnd"/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proofErr w:type="spellStart"/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րդ</w:t>
      </w:r>
      <w:proofErr w:type="spellEnd"/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մասով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լիազորող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833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նորմեր</w:t>
      </w:r>
      <w:r w:rsidRPr="00083325">
        <w:rPr>
          <w:rFonts w:eastAsia="Times New Roman" w:cs="Times New Roman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083325" w:rsidRPr="00083325" w:rsidRDefault="00083325" w:rsidP="000833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eastAsia="Times New Roman" w:cs="Times New Roman"/>
          <w:spacing w:val="-4"/>
          <w:sz w:val="24"/>
          <w:szCs w:val="24"/>
          <w:lang w:val="hy-AM" w:eastAsia="ru-RU"/>
        </w:rPr>
      </w:pPr>
      <w:proofErr w:type="spellStart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>Միաժամանակ</w:t>
      </w:r>
      <w:proofErr w:type="spellEnd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proofErr w:type="spellStart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>հարկ</w:t>
      </w:r>
      <w:proofErr w:type="spellEnd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 xml:space="preserve"> է </w:t>
      </w:r>
      <w:proofErr w:type="spellStart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>նշել</w:t>
      </w:r>
      <w:proofErr w:type="spellEnd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proofErr w:type="spellStart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>որ</w:t>
      </w:r>
      <w:proofErr w:type="spellEnd"/>
      <w:r w:rsidRPr="00083325">
        <w:rPr>
          <w:rFonts w:eastAsia="Times New Roman" w:cs="Courier New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Հայաստանի Հանրապետության կառավարության և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Եվրոպական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հանձնաժողովի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միջև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2021թ. տարեկան գործողությունների ծրագրի շրջանակում նախատեսվող </w:t>
      </w:r>
      <w:r w:rsidRPr="00083325">
        <w:rPr>
          <w:rFonts w:eastAsia="Times New Roman" w:cs="Courier New"/>
          <w:color w:val="202124"/>
          <w:sz w:val="24"/>
          <w:szCs w:val="24"/>
          <w:lang w:val="hy-AM" w:eastAsia="ru-RU"/>
        </w:rPr>
        <w:t>«</w:t>
      </w:r>
      <w:r w:rsidRPr="00083325">
        <w:rPr>
          <w:rFonts w:eastAsia="Times New Roman" w:cs="Times New Roman"/>
          <w:color w:val="00000A"/>
          <w:spacing w:val="-4"/>
          <w:sz w:val="24"/>
          <w:szCs w:val="24"/>
          <w:lang w:val="hy-AM"/>
        </w:rPr>
        <w:t>ԵՄ-ն դիմացկուն և հաշվետու ինստիտուտների համար. Ոստիկանության և միգրացիայի բարեփոխումներ և մարդու իրավունքների պաշտպանություն Հայաստանում»</w:t>
      </w:r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(EU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for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resilient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and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accountable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institutions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–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police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and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migration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reform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and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human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rights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protection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in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Armenia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) ֆինանսավորման համաձայնագրի նախագծի  արդյունքներից  մեկով նախատեսվում  է   որ միգրացիայի կառավարման մարմինները պատրաստ են արձագանքել ճգնաժամային իրավիճակներին, ներառյալ զանգվածային խառը միգրացիոն հոսքերը և առողջության հետ կապված արտակարգ իրավիճակները։</w:t>
      </w:r>
      <w:r w:rsidRPr="00083325">
        <w:rPr>
          <w:rFonts w:eastAsia="Times New Roman" w:cs="Times New Roman"/>
          <w:color w:val="00000A"/>
          <w:spacing w:val="-4"/>
          <w:sz w:val="24"/>
          <w:szCs w:val="24"/>
          <w:lang w:val="hy-AM" w:eastAsia="ru-RU"/>
        </w:rPr>
        <w:t xml:space="preserve"> Այս  նպատակին հասնելու  միջոցը </w:t>
      </w:r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կառավարության կողմից հարկադիր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միգրանտների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զանգվածային ներհոսքի ճգնաժամային  կառավարման  ծրագրի  ընդունումն  է,  որի  արդյունքում  պետական կառավարման մարմիններն  ունակ   կլինեն  համակարգված  գործողություններ  իրականացնել  </w:t>
      </w:r>
      <w:proofErr w:type="spellStart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>ժգնաժամային</w:t>
      </w:r>
      <w:proofErr w:type="spellEnd"/>
      <w:r w:rsidRPr="00083325">
        <w:rPr>
          <w:rFonts w:eastAsia="Times New Roman" w:cs="Times New Roman"/>
          <w:spacing w:val="-4"/>
          <w:sz w:val="24"/>
          <w:szCs w:val="24"/>
          <w:lang w:val="hy-AM" w:eastAsia="ru-RU"/>
        </w:rPr>
        <w:t xml:space="preserve"> իրավիճակներում։ Պլանի  մշակման համար  հնարավոր կլինի ներգրավել համապատասխան փորձագետ, որով էլ պայմանավորված է որոշմամբ սահմանված ժամկետի փոփոխությունը՝ «</w:t>
      </w:r>
      <w:r w:rsidRPr="00083325">
        <w:rPr>
          <w:rFonts w:eastAsia="Times New Roman" w:cs="Courier New"/>
          <w:sz w:val="24"/>
          <w:szCs w:val="24"/>
          <w:lang w:val="hy-AM" w:eastAsia="ru-RU"/>
        </w:rPr>
        <w:t xml:space="preserve">2021 թ. օգոստոսի 3-րդ տասնօրյակ»-ը փոխարինվել է 2022 թ. հունվարի 3-րդ </w:t>
      </w:r>
      <w:proofErr w:type="spellStart"/>
      <w:r w:rsidRPr="00083325">
        <w:rPr>
          <w:rFonts w:eastAsia="Times New Roman" w:cs="Courier New"/>
          <w:sz w:val="24"/>
          <w:szCs w:val="24"/>
          <w:lang w:val="hy-AM" w:eastAsia="ru-RU"/>
        </w:rPr>
        <w:t>տասնօրյակով</w:t>
      </w:r>
      <w:proofErr w:type="spellEnd"/>
      <w:r w:rsidRPr="00083325">
        <w:rPr>
          <w:rFonts w:eastAsia="Times New Roman" w:cs="Courier New"/>
          <w:sz w:val="24"/>
          <w:szCs w:val="24"/>
          <w:lang w:val="hy-AM" w:eastAsia="ru-RU"/>
        </w:rPr>
        <w:t>:</w:t>
      </w:r>
    </w:p>
    <w:p w:rsidR="00083325" w:rsidRPr="00083325" w:rsidRDefault="00083325" w:rsidP="00083325">
      <w:pPr>
        <w:spacing w:after="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  <w:lang w:val="hy-AM"/>
        </w:rPr>
      </w:pPr>
      <w:r w:rsidRPr="00083325">
        <w:rPr>
          <w:rFonts w:eastAsia="Calibri" w:cs="Times New Roman"/>
          <w:sz w:val="24"/>
          <w:szCs w:val="24"/>
          <w:lang w:val="hy-AM"/>
        </w:rPr>
        <w:t xml:space="preserve">Ելնելով </w:t>
      </w:r>
      <w:proofErr w:type="spellStart"/>
      <w:r w:rsidRPr="00083325">
        <w:rPr>
          <w:rFonts w:eastAsia="Calibri" w:cs="Times New Roman"/>
          <w:sz w:val="24"/>
          <w:szCs w:val="24"/>
          <w:lang w:val="hy-AM"/>
        </w:rPr>
        <w:t>վերոգրյալից</w:t>
      </w:r>
      <w:proofErr w:type="spellEnd"/>
      <w:r w:rsidRPr="00083325">
        <w:rPr>
          <w:rFonts w:eastAsia="Calibri" w:cs="Times New Roman"/>
          <w:sz w:val="24"/>
          <w:szCs w:val="24"/>
          <w:lang w:val="hy-AM"/>
        </w:rPr>
        <w:t xml:space="preserve"> անհրաժեշտություն է առաջացել ներկայացնելու սույն նախագիծը, որով նախատեսվում է որպես առաջին կատարող սահմանել Տարածքային կառավարման և ենթակառուցվածքների նախարարությանը, իսկ Արտակարգ իրավիճակների նախարարությունը որպես համակատարող:</w:t>
      </w:r>
    </w:p>
    <w:p w:rsidR="00083325" w:rsidRPr="00083325" w:rsidRDefault="00083325" w:rsidP="000833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Sylfaen"/>
          <w:b/>
          <w:sz w:val="24"/>
          <w:szCs w:val="24"/>
          <w:lang w:val="hy-AM" w:eastAsia="x-none"/>
        </w:rPr>
      </w:pPr>
      <w:r w:rsidRPr="00083325">
        <w:rPr>
          <w:rFonts w:eastAsia="Times New Roman" w:cs="Times New Roman"/>
          <w:b/>
          <w:sz w:val="24"/>
          <w:szCs w:val="24"/>
          <w:lang w:val="nl-NL" w:eastAsia="x-none"/>
        </w:rPr>
        <w:t xml:space="preserve">2. </w:t>
      </w:r>
      <w:r w:rsidRPr="00083325">
        <w:rPr>
          <w:rFonts w:eastAsia="Times New Roman" w:cs="Sylfaen"/>
          <w:b/>
          <w:sz w:val="24"/>
          <w:szCs w:val="24"/>
          <w:lang w:val="hy-AM" w:eastAsia="x-none"/>
        </w:rPr>
        <w:t>Ակնկալվող արդյունքը</w:t>
      </w:r>
    </w:p>
    <w:p w:rsidR="00083325" w:rsidRPr="00083325" w:rsidRDefault="00083325" w:rsidP="00083325">
      <w:pPr>
        <w:spacing w:after="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  <w:lang w:val="hy-AM"/>
        </w:rPr>
      </w:pPr>
      <w:proofErr w:type="spellStart"/>
      <w:r w:rsidRPr="00083325">
        <w:rPr>
          <w:rFonts w:eastAsia="Calibri" w:cs="Times New Roman"/>
          <w:sz w:val="24"/>
          <w:szCs w:val="24"/>
          <w:lang w:val="nl-NL"/>
        </w:rPr>
        <w:t>Սույն</w:t>
      </w:r>
      <w:proofErr w:type="spellEnd"/>
      <w:r w:rsidRPr="00083325">
        <w:rPr>
          <w:rFonts w:eastAsia="Calibri" w:cs="Times New Roman"/>
          <w:sz w:val="24"/>
          <w:szCs w:val="24"/>
          <w:lang w:val="nl-NL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nl-NL"/>
        </w:rPr>
        <w:t>որոշման</w:t>
      </w:r>
      <w:proofErr w:type="spellEnd"/>
      <w:r w:rsidRPr="00083325">
        <w:rPr>
          <w:rFonts w:eastAsia="Calibri" w:cs="Times New Roman"/>
          <w:sz w:val="24"/>
          <w:szCs w:val="24"/>
          <w:lang w:val="nl-NL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nl-NL"/>
        </w:rPr>
        <w:t>ընդունման</w:t>
      </w:r>
      <w:proofErr w:type="spellEnd"/>
      <w:r w:rsidRPr="00083325">
        <w:rPr>
          <w:rFonts w:eastAsia="Calibri" w:cs="Times New Roman"/>
          <w:sz w:val="24"/>
          <w:szCs w:val="24"/>
          <w:lang w:val="nl-NL"/>
        </w:rPr>
        <w:t xml:space="preserve"> </w:t>
      </w:r>
      <w:proofErr w:type="spellStart"/>
      <w:r w:rsidRPr="00083325">
        <w:rPr>
          <w:rFonts w:eastAsia="Calibri" w:cs="Times New Roman"/>
          <w:sz w:val="24"/>
          <w:szCs w:val="24"/>
          <w:lang w:val="nl-NL"/>
        </w:rPr>
        <w:t>արդյունքում</w:t>
      </w:r>
      <w:proofErr w:type="spellEnd"/>
      <w:r w:rsidRPr="00083325">
        <w:rPr>
          <w:rFonts w:eastAsia="Calibri" w:cs="Times New Roman"/>
          <w:sz w:val="24"/>
          <w:szCs w:val="24"/>
          <w:lang w:val="nl-NL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նախատեսվում է որպես առաջին կատարող սահմանել Տարածքային կառավարման և ենթակառուցվածքների նախարարությանը, իսկ Արտակարգ իրավիճակների նախարարությունը որպես համակատարող:</w:t>
      </w:r>
    </w:p>
    <w:p w:rsidR="00083325" w:rsidRPr="00083325" w:rsidRDefault="00083325" w:rsidP="00083325">
      <w:pPr>
        <w:spacing w:after="0" w:line="276" w:lineRule="auto"/>
        <w:ind w:firstLine="567"/>
        <w:jc w:val="both"/>
        <w:rPr>
          <w:rFonts w:eastAsia="Calibri" w:cs="Times New Roman"/>
          <w:sz w:val="24"/>
          <w:szCs w:val="24"/>
          <w:lang w:val="hy-AM"/>
        </w:rPr>
      </w:pPr>
      <w:r w:rsidRPr="00083325">
        <w:rPr>
          <w:rFonts w:eastAsia="Calibri" w:cs="Times New Roman"/>
          <w:b/>
          <w:sz w:val="24"/>
          <w:szCs w:val="24"/>
          <w:lang w:val="hy-AM"/>
        </w:rPr>
        <w:t>3.</w:t>
      </w:r>
      <w:r w:rsidRPr="00083325">
        <w:rPr>
          <w:rFonts w:eastAsia="Calibri" w:cs="Times New Roman"/>
          <w:sz w:val="24"/>
          <w:szCs w:val="24"/>
          <w:lang w:val="hy-AM"/>
        </w:rPr>
        <w:t xml:space="preserve"> </w:t>
      </w:r>
      <w:r w:rsidRPr="00083325">
        <w:rPr>
          <w:rFonts w:eastAsia="Calibri" w:cs="Sylfae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83325" w:rsidRPr="00083325" w:rsidRDefault="00083325" w:rsidP="00083325">
      <w:pPr>
        <w:spacing w:after="200" w:line="276" w:lineRule="auto"/>
        <w:ind w:firstLine="567"/>
        <w:jc w:val="both"/>
        <w:rPr>
          <w:rFonts w:eastAsia="Calibri" w:cs="Tahoma"/>
          <w:sz w:val="24"/>
          <w:szCs w:val="24"/>
          <w:lang w:val="hy-AM"/>
        </w:rPr>
      </w:pPr>
      <w:r w:rsidRPr="00083325">
        <w:rPr>
          <w:rFonts w:eastAsia="Calibri" w:cs="Tahoma"/>
          <w:sz w:val="24"/>
          <w:szCs w:val="24"/>
          <w:lang w:val="hy-AM"/>
        </w:rPr>
        <w:t xml:space="preserve">Նախագիծը մշակվել է </w:t>
      </w:r>
      <w:r w:rsidRPr="00083325">
        <w:rPr>
          <w:rFonts w:eastAsia="Calibri" w:cs="Times New Roman"/>
          <w:sz w:val="24"/>
          <w:szCs w:val="24"/>
          <w:lang w:val="hy-AM"/>
        </w:rPr>
        <w:t>Ա</w:t>
      </w:r>
      <w:r w:rsidRPr="00083325">
        <w:rPr>
          <w:rFonts w:eastAsia="Calibri" w:cs="Tahoma"/>
          <w:sz w:val="24"/>
          <w:szCs w:val="24"/>
          <w:lang w:val="hy-AM"/>
        </w:rPr>
        <w:t>րտակարգ իրավիճակների նախարարության կողմից:</w:t>
      </w:r>
    </w:p>
    <w:p w:rsidR="00083325" w:rsidRPr="00083325" w:rsidRDefault="00083325" w:rsidP="00083325">
      <w:pPr>
        <w:shd w:val="clear" w:color="auto" w:fill="FFFFFF"/>
        <w:spacing w:after="0" w:line="276" w:lineRule="auto"/>
        <w:ind w:firstLine="426"/>
        <w:jc w:val="both"/>
        <w:rPr>
          <w:rFonts w:eastAsia="Calibri" w:cs="Tahoma"/>
          <w:sz w:val="24"/>
          <w:szCs w:val="24"/>
          <w:lang w:val="pt-BR"/>
        </w:rPr>
      </w:pPr>
      <w:r w:rsidRPr="00083325">
        <w:rPr>
          <w:rFonts w:eastAsia="Calibri" w:cs="Sylfaen"/>
          <w:b/>
          <w:sz w:val="24"/>
          <w:szCs w:val="24"/>
          <w:lang w:val="hy-AM"/>
        </w:rPr>
        <w:t>4.</w:t>
      </w:r>
      <w:r w:rsidRPr="00083325">
        <w:rPr>
          <w:rFonts w:eastAsia="Calibri" w:cs="Sylfaen"/>
          <w:sz w:val="24"/>
          <w:szCs w:val="24"/>
          <w:lang w:val="hy-AM"/>
        </w:rPr>
        <w:t xml:space="preserve"> Սույն </w:t>
      </w:r>
      <w:r w:rsidRPr="00083325">
        <w:rPr>
          <w:rFonts w:eastAsia="Calibri" w:cs="Tahoma"/>
          <w:sz w:val="24"/>
          <w:szCs w:val="24"/>
          <w:lang w:val="hy-AM"/>
        </w:rPr>
        <w:t>որոշման ընդունման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կապակցությամբ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Հայաստանի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Հանրապետության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այլ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իրավական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ակտերի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ընդունման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անհրաժեշտություն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չի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>առաջանում</w:t>
      </w:r>
      <w:r w:rsidRPr="00083325">
        <w:rPr>
          <w:rFonts w:eastAsia="Calibri" w:cs="Tahoma"/>
          <w:sz w:val="24"/>
          <w:szCs w:val="24"/>
          <w:lang w:val="pt-BR"/>
        </w:rPr>
        <w:t>:</w:t>
      </w:r>
    </w:p>
    <w:p w:rsidR="00CA0C91" w:rsidRPr="00083325" w:rsidRDefault="00083325" w:rsidP="00083325">
      <w:pPr>
        <w:shd w:val="clear" w:color="auto" w:fill="FFFFFF"/>
        <w:spacing w:after="0" w:line="276" w:lineRule="auto"/>
        <w:ind w:firstLine="426"/>
        <w:jc w:val="both"/>
        <w:rPr>
          <w:lang w:val="hy-AM"/>
        </w:rPr>
      </w:pPr>
      <w:r w:rsidRPr="00083325">
        <w:rPr>
          <w:rFonts w:eastAsia="Calibri" w:cs="Tahoma"/>
          <w:b/>
          <w:sz w:val="24"/>
          <w:szCs w:val="24"/>
          <w:lang w:val="pt-BR"/>
        </w:rPr>
        <w:t>5.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Sylfaen"/>
          <w:sz w:val="24"/>
          <w:szCs w:val="24"/>
          <w:lang w:val="pt-BR"/>
        </w:rPr>
        <w:t>Սույն</w:t>
      </w:r>
      <w:proofErr w:type="spellEnd"/>
      <w:r w:rsidRPr="00083325">
        <w:rPr>
          <w:rFonts w:eastAsia="Calibri" w:cs="Sylfaen"/>
          <w:sz w:val="24"/>
          <w:szCs w:val="24"/>
          <w:lang w:val="pt-BR"/>
        </w:rPr>
        <w:t xml:space="preserve"> </w:t>
      </w:r>
      <w:r w:rsidRPr="00083325">
        <w:rPr>
          <w:rFonts w:eastAsia="Calibri" w:cs="Tahoma"/>
          <w:sz w:val="24"/>
          <w:szCs w:val="24"/>
          <w:lang w:val="hy-AM"/>
        </w:rPr>
        <w:t xml:space="preserve">որոշման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ընդունման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դեպքում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2021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թվականի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r w:rsidRPr="00083325">
        <w:rPr>
          <w:rFonts w:eastAsia="Calibri" w:cs="Times New Roman"/>
          <w:sz w:val="24"/>
          <w:szCs w:val="24"/>
          <w:lang w:val="hy-AM"/>
        </w:rPr>
        <w:t>Հայաստանի Հանրապետության</w:t>
      </w:r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պետական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բյուջեում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ծախսերի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և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եկամուտների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էական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ավելացում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կամ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նվազեցում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չի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 xml:space="preserve"> </w:t>
      </w:r>
      <w:proofErr w:type="spellStart"/>
      <w:r w:rsidRPr="00083325">
        <w:rPr>
          <w:rFonts w:eastAsia="Calibri" w:cs="Tahoma"/>
          <w:sz w:val="24"/>
          <w:szCs w:val="24"/>
          <w:lang w:val="pt-BR"/>
        </w:rPr>
        <w:t>առաջանում</w:t>
      </w:r>
      <w:proofErr w:type="spellEnd"/>
      <w:r w:rsidRPr="00083325">
        <w:rPr>
          <w:rFonts w:eastAsia="Calibri" w:cs="Tahoma"/>
          <w:sz w:val="24"/>
          <w:szCs w:val="24"/>
          <w:lang w:val="pt-BR"/>
        </w:rPr>
        <w:t>:</w:t>
      </w:r>
      <w:bookmarkStart w:id="0" w:name="_GoBack"/>
      <w:bookmarkEnd w:id="0"/>
    </w:p>
    <w:sectPr w:rsidR="00CA0C91" w:rsidRPr="00083325" w:rsidSect="00DB7479">
      <w:pgSz w:w="12240" w:h="15840"/>
      <w:pgMar w:top="993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8E"/>
    <w:multiLevelType w:val="hybridMultilevel"/>
    <w:tmpl w:val="EFA66C4C"/>
    <w:lvl w:ilvl="0" w:tplc="2012C16A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FC"/>
    <w:rsid w:val="00083325"/>
    <w:rsid w:val="00590EFC"/>
    <w:rsid w:val="009D315D"/>
    <w:rsid w:val="00C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0048E-9661-4495-81BD-389BBC7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5D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Hovsepyan</dc:creator>
  <cp:keywords/>
  <dc:description/>
  <cp:lastModifiedBy>Tatevik Hovsepyan</cp:lastModifiedBy>
  <cp:revision>2</cp:revision>
  <dcterms:created xsi:type="dcterms:W3CDTF">2021-07-30T07:08:00Z</dcterms:created>
  <dcterms:modified xsi:type="dcterms:W3CDTF">2021-07-30T07:08:00Z</dcterms:modified>
</cp:coreProperties>
</file>