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35" w:rsidRPr="004B6D6A" w:rsidRDefault="001B6635" w:rsidP="004B6D6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B6D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  <w:r w:rsidRPr="004B6D6A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7B09DE" w:rsidRPr="004B6D6A" w:rsidRDefault="007B09DE" w:rsidP="004B6D6A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4B6D6A">
        <w:rPr>
          <w:rFonts w:ascii="GHEA Grapalat" w:hAnsi="GHEA Grapalat" w:cs="Tahoma"/>
          <w:b/>
          <w:sz w:val="24"/>
          <w:szCs w:val="24"/>
          <w:lang w:val="hy-AM"/>
        </w:rPr>
        <w:t>«</w:t>
      </w:r>
      <w:r w:rsidRPr="004B6D6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ԿԱՌԱՎԱՐՈՒԹՅԱՆ 2015 ԹՎԱԿԱՆԻ </w:t>
      </w:r>
    </w:p>
    <w:p w:rsidR="007B09DE" w:rsidRPr="004B6D6A" w:rsidRDefault="007B09DE" w:rsidP="004B6D6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6D6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ՀՈԿՏԵՄԲԵՐԻ 15-Ի N  1200-Ն ՈՐՈՇՄԱՆ ՄԵՋ ՓՈՓՈԽՈՒԹՅՈՒՆՆԵՐ ԵՎ ԼՐԱՑՈՒՄ ԿԱՏԱՐԵԼՈՒ ՄԱՍԻՆ» ՀԱՅԱՍՏԱՆԻ ՀԱՆՐԱՊԵՏՈՒԹՅԱՆ ԿԱՌԱՎԱՐՈՒԹՅԱՆ ՈՐՈՇՄԱՆ ՆԱԽԱԳԾԻ</w:t>
      </w:r>
      <w:r w:rsidR="001B6635" w:rsidRPr="004B6D6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B6635" w:rsidRPr="004B6D6A" w:rsidRDefault="001B6635" w:rsidP="004B6D6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6D6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  <w:r w:rsidRPr="004B6D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B6D6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32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879"/>
        <w:gridCol w:w="3596"/>
      </w:tblGrid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B6635" w:rsidRPr="004B6D6A" w:rsidRDefault="001B6635" w:rsidP="004B6D6A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1.</w:t>
            </w:r>
            <w:r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ՀՀ </w:t>
            </w:r>
            <w:r w:rsidR="00B901C4"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Առողջապահության նախարարություն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B6635" w:rsidRPr="004B6D6A" w:rsidRDefault="00B901C4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09</w:t>
            </w:r>
            <w:r w:rsidR="00A16738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.06</w:t>
            </w:r>
            <w:r w:rsidR="001B6635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35" w:rsidRPr="004B6D6A" w:rsidRDefault="001B6635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B6635" w:rsidRPr="004B6D6A" w:rsidRDefault="001B6635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A16738"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ԱԱ/02.1/12213-2021</w:t>
            </w:r>
          </w:p>
        </w:tc>
      </w:tr>
      <w:tr w:rsidR="007A7066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635" w:rsidRPr="004B6D6A" w:rsidRDefault="00D702BD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</w:t>
            </w:r>
            <w:r w:rsidR="00DF6427"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իտողություններ և առաջարկություններ չկան։</w:t>
            </w:r>
          </w:p>
          <w:p w:rsidR="001B6635" w:rsidRPr="004B6D6A" w:rsidRDefault="001B6635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B6635" w:rsidRPr="004B6D6A" w:rsidRDefault="001B6635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635" w:rsidRPr="004B6D6A" w:rsidRDefault="007E5173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B6635" w:rsidRPr="004B6D6A" w:rsidRDefault="001B6635" w:rsidP="004B6D6A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 w:rsidR="007574A2"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Միգրացիոն ծառայություն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B6635" w:rsidRPr="004B6D6A" w:rsidRDefault="007574A2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07.06</w:t>
            </w:r>
            <w:r w:rsidR="001866B1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.2021</w:t>
            </w:r>
            <w:r w:rsidR="001B6635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35" w:rsidRPr="004B6D6A" w:rsidRDefault="001B6635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B6635" w:rsidRPr="004B6D6A" w:rsidRDefault="001B6635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7574A2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01/02/2221-2021</w:t>
            </w:r>
          </w:p>
        </w:tc>
      </w:tr>
      <w:tr w:rsidR="007A7066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635" w:rsidRPr="004B6D6A" w:rsidRDefault="00D702BD" w:rsidP="004B6D6A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Դիտողություններ և առաջարկություններ չկան։</w:t>
            </w:r>
          </w:p>
          <w:p w:rsidR="004B6D6A" w:rsidRPr="004B6D6A" w:rsidRDefault="004B6D6A" w:rsidP="004B6D6A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B6635" w:rsidRPr="004B6D6A" w:rsidRDefault="001B6635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B6D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        </w:t>
            </w: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635" w:rsidRPr="004B6D6A" w:rsidRDefault="007E5173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866B1" w:rsidRPr="004B6D6A" w:rsidRDefault="001866B1" w:rsidP="004B6D6A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3. </w:t>
            </w:r>
            <w:r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866B1" w:rsidRPr="004B6D6A" w:rsidRDefault="001866B1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10.06.2021թ.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6B1" w:rsidRPr="004B6D6A" w:rsidRDefault="001866B1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866B1" w:rsidRPr="004B6D6A" w:rsidRDefault="001866B1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 ՍՊ/15.2/14525-2021</w:t>
            </w:r>
          </w:p>
        </w:tc>
      </w:tr>
      <w:tr w:rsidR="007A7066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6D6A" w:rsidRDefault="00D702BD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Դիտողություններ և առաջարկություններ չկան։</w:t>
            </w:r>
          </w:p>
          <w:p w:rsidR="004B6D6A" w:rsidRDefault="004B6D6A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4B6D6A" w:rsidRPr="004B6D6A" w:rsidRDefault="004B6D6A" w:rsidP="004B6D6A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866B1" w:rsidRPr="004B6D6A" w:rsidRDefault="001866B1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B6D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        </w:t>
            </w: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6B1" w:rsidRPr="004B6D6A" w:rsidRDefault="007E5173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F6427" w:rsidRPr="004B6D6A" w:rsidRDefault="00DF6427" w:rsidP="004B6D6A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 xml:space="preserve">4. </w:t>
            </w:r>
            <w:r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</w:t>
            </w:r>
            <w:r w:rsidR="00E00B81"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կրթության, գիտության, մշակույթի և սպորտի</w:t>
            </w:r>
            <w:r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F6427" w:rsidRPr="004B6D6A" w:rsidRDefault="00E00B81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  <w:r w:rsidR="00DF6427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.06.2021թ.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427" w:rsidRPr="004B6D6A" w:rsidRDefault="00DF6427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F6427" w:rsidRPr="004B6D6A" w:rsidRDefault="00DF6427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E00B81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01/21/12639-2021</w:t>
            </w:r>
          </w:p>
        </w:tc>
      </w:tr>
      <w:tr w:rsidR="007A7066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427" w:rsidRPr="004B6D6A" w:rsidRDefault="00D702BD" w:rsidP="004B6D6A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F6427" w:rsidRPr="004B6D6A" w:rsidRDefault="00DF6427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B6D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        </w:t>
            </w: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427" w:rsidRPr="004B6D6A" w:rsidRDefault="007E5173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85001" w:rsidRPr="004B6D6A" w:rsidRDefault="00885001" w:rsidP="004B6D6A">
            <w:pPr>
              <w:spacing w:before="100" w:beforeAutospacing="1"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5. </w:t>
            </w:r>
            <w:r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 w:rsidR="00E00B81"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Ոստիկանություն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85001" w:rsidRPr="004B6D6A" w:rsidRDefault="00885001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  <w:r w:rsidR="00E00B81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.06.2021թ.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001" w:rsidRPr="004B6D6A" w:rsidRDefault="00885001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85001" w:rsidRPr="004B6D6A" w:rsidRDefault="00885001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E00B81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1/21/37814-21</w:t>
            </w:r>
          </w:p>
        </w:tc>
      </w:tr>
      <w:tr w:rsidR="007A7066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01" w:rsidRPr="004B6D6A" w:rsidRDefault="00D702BD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885001" w:rsidRPr="004B6D6A" w:rsidRDefault="00885001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B6D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        </w:t>
            </w: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01" w:rsidRPr="004B6D6A" w:rsidRDefault="007E5173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00B81" w:rsidRPr="004B6D6A" w:rsidRDefault="00860D09" w:rsidP="004B6D6A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6</w:t>
            </w:r>
            <w:r w:rsidR="00E00B81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E00B81"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00B81" w:rsidRPr="004B6D6A" w:rsidRDefault="00E00B81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15.06.2021թ.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B81" w:rsidRPr="004B6D6A" w:rsidRDefault="00E00B81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00B81" w:rsidRPr="004B6D6A" w:rsidRDefault="00E00B81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 01/11-1/9608-2021</w:t>
            </w:r>
          </w:p>
        </w:tc>
      </w:tr>
      <w:tr w:rsidR="007A7066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B81" w:rsidRPr="004B6D6A" w:rsidRDefault="00D702BD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E00B81" w:rsidRPr="004B6D6A" w:rsidRDefault="00E00B81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B6D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        </w:t>
            </w: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B81" w:rsidRPr="004B6D6A" w:rsidRDefault="007E5173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5554" w:rsidRPr="004B6D6A" w:rsidRDefault="00860D09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  <w:r w:rsidR="00025554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 ՀՀ Առողջապահական և աշխատանքի տեսչական մարմին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5554" w:rsidRPr="004B6D6A" w:rsidRDefault="00025554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16.06.2021թ.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554" w:rsidRPr="004B6D6A" w:rsidRDefault="00025554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5554" w:rsidRPr="004B6D6A" w:rsidRDefault="00025554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 01/7430-2021</w:t>
            </w:r>
          </w:p>
        </w:tc>
      </w:tr>
      <w:tr w:rsidR="007A7066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554" w:rsidRDefault="00D702BD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Դիտողություններ և առաջարկություններ չկան։</w:t>
            </w:r>
          </w:p>
          <w:p w:rsidR="004B6D6A" w:rsidRDefault="004B6D6A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4B6D6A" w:rsidRDefault="004B6D6A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4B6D6A" w:rsidRPr="004B6D6A" w:rsidRDefault="004B6D6A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025554" w:rsidRPr="004B6D6A" w:rsidRDefault="00025554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B6D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        </w:t>
            </w: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554" w:rsidRPr="004B6D6A" w:rsidRDefault="007E5173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16708" w:rsidRPr="004B6D6A" w:rsidRDefault="00860D09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8</w:t>
            </w:r>
            <w:r w:rsidR="00D16708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 ՀՀ Արտաքին գործերի նախարարություն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16708" w:rsidRPr="004B6D6A" w:rsidRDefault="00D16708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17.06.2021թ.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708" w:rsidRPr="004B6D6A" w:rsidRDefault="00D16708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16708" w:rsidRPr="004B6D6A" w:rsidRDefault="00D16708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 1110/24504-21</w:t>
            </w:r>
          </w:p>
        </w:tc>
      </w:tr>
      <w:tr w:rsidR="007A7066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708" w:rsidRPr="004B6D6A" w:rsidRDefault="00D16708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16708" w:rsidRPr="004B6D6A" w:rsidRDefault="00D16708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B6D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        </w:t>
            </w: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708" w:rsidRPr="004B6D6A" w:rsidRDefault="00D16708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E2B95" w:rsidRPr="004B6D6A" w:rsidRDefault="00860D09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9</w:t>
            </w:r>
            <w:r w:rsidR="009E2B95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. ՀՀ </w:t>
            </w:r>
            <w:r w:rsidR="009E2B95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Գլխավոր դատախազություն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E2B95" w:rsidRPr="004B6D6A" w:rsidRDefault="00B26E06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22.06.2021թ.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B95" w:rsidRPr="004B6D6A" w:rsidRDefault="009E2B95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E2B95" w:rsidRPr="004B6D6A" w:rsidRDefault="00B26E06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 /20.3/8916-2021</w:t>
            </w:r>
          </w:p>
        </w:tc>
      </w:tr>
      <w:tr w:rsidR="00776B1E" w:rsidRPr="00B470CC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B1E" w:rsidRPr="004B6D6A" w:rsidRDefault="00776B1E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1.«Հայաստանի Հանրապետության կառավարության 2015 թվականի հոկտեմբերի 15-ի N 1200–Ն որոշման մեջ փոփոխություններ և լրացում կատարելու մասին» Հայաստանի Հանրապետության կառավարության որոշման (այսուհետ՝ Որոշում) N 1 հավելվածի 11-րդ կետի վերջին նախադասության համաձայն՝ հանձնաժողովի մասնակիցների առարկությունների և առաջարկությունների մասին հայտարարությունները, եթե այդպիսիք եղել են, արտացոլվում են նիստի արձանագրությունում: Նախագծով այս նախադասությունը հանվել է՝ կրկին չներկայացնելով որևէ հիմնավորում արդեն իսկ գործող կարգավորման մեջ նման փոփոխություն կատարելու անհրաժեշտության, առաջացած</w:t>
            </w:r>
            <w:r w:rsidRPr="004B6D6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խնդիրների և հետապնդող նպատակի վերաբերյալ:</w:t>
            </w:r>
            <w:r w:rsidRPr="004B6D6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6B1E" w:rsidRPr="004B6D6A" w:rsidRDefault="00776B1E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E961DC" w:rsidRPr="004B6D6A" w:rsidRDefault="00E961DC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E961DC" w:rsidRPr="004B6D6A" w:rsidRDefault="00E961DC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E961DC" w:rsidRPr="004B6D6A" w:rsidRDefault="00E961DC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E961DC" w:rsidRPr="004B6D6A" w:rsidRDefault="00E961DC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E961DC" w:rsidRPr="004B6D6A" w:rsidRDefault="00E961DC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E961DC" w:rsidRPr="004B6D6A" w:rsidRDefault="00E961DC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E961DC" w:rsidRPr="004B6D6A" w:rsidRDefault="00E961DC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E961DC" w:rsidRPr="004B6D6A" w:rsidRDefault="00E961DC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E961DC" w:rsidRPr="004B6D6A" w:rsidRDefault="00E961DC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E961DC" w:rsidRPr="004B6D6A" w:rsidRDefault="00E961DC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E961DC" w:rsidRPr="004B6D6A" w:rsidRDefault="00E961DC" w:rsidP="004B6D6A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776B1E" w:rsidRPr="004B6D6A" w:rsidRDefault="00776B1E" w:rsidP="004B6D6A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2.Որոշման N1 հավելվածի 13-րդ կետի 2-րդ ենթակետի համաձայն՝ հանձնաժողովի նախագահը իր կամ հանձնաժողովի անդամների նախաձեռնությամբ կամ իրավասու մարմինների միջնորդությունների հիման վրա հանձնաժողովի նիստ հրավիրելու անհրաժեշտության մասին իրազեկում ստանալուց հետո երկօրյա ժամկետում հրավիրում է հանձնաժողովի նիստ: Նախագծով առաջարկվում է սահմանել, որ հանձնաժողովի նախագահը իր կամ 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հանձնաժողովի անդամների նախաձեռնությամբ կամ իրավասու մարմինների միջնորդությունների հիման վրա հանձնաժողովի նիստ հրավիրելու անհրաժեշտության մասին իրազեկում ստանալուց հետո երկու աշխատանքային օրվա ընթացքում հանձնաժողովի անդամներին տեղեկացնում է հանձնաժողովի նիստ հրավիրելու անհրաժեշտության մասին: </w:t>
            </w:r>
          </w:p>
          <w:p w:rsidR="00776B1E" w:rsidRPr="004B6D6A" w:rsidRDefault="00776B1E" w:rsidP="004B6D6A">
            <w:pPr>
              <w:pStyle w:val="ListParagraph"/>
              <w:spacing w:after="0" w:line="360" w:lineRule="auto"/>
              <w:ind w:left="0"/>
              <w:jc w:val="both"/>
              <w:rPr>
                <w:rFonts w:ascii="GHEA Grapalat" w:eastAsia="Times New Roman" w:hAnsi="GHEA Grapalat" w:cstheme="minorBidi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theme="minorBidi"/>
                <w:sz w:val="24"/>
                <w:szCs w:val="24"/>
                <w:lang w:val="hy-AM"/>
              </w:rPr>
              <w:t xml:space="preserve">Առաջարկվող ձևակերպումից հասկանալի չէ, թե ինչ նպատակ է հետապնդում նման փոփոխությունն այն պայմաններում, երբ ընդամենը երկօրյա ժամկետում նիստ հրավիրելու կանոնը փոխարինելով նույն ժամկետում նիստ հրավիրելու անհրաժեշտության մասին ծանուցման մասին կանոնով, բաց է առաջանալու այն հարցի վերաբերյալ, թե, այնուամենայնիվ, երբ է հրավիրվում հանձնաժողովի նիստը: Առաջարկում ենք պահպանել գործող կարգավորումը կամ փոփոխության անհրաժեշտության վերաբերյալ ողջամիտ հիմնավորումների առկայության դեպքում սահմանել </w:t>
            </w:r>
            <w:r w:rsidRPr="004B6D6A">
              <w:rPr>
                <w:rFonts w:ascii="GHEA Grapalat" w:eastAsia="Times New Roman" w:hAnsi="GHEA Grapalat" w:cstheme="minorBidi"/>
                <w:sz w:val="24"/>
                <w:szCs w:val="24"/>
                <w:lang w:val="hy-AM"/>
              </w:rPr>
              <w:lastRenderedPageBreak/>
              <w:t>այնպիսի կարգավորումներ, որ բարձրացված մտահոգությունը փարատվի:</w:t>
            </w:r>
          </w:p>
          <w:p w:rsidR="00D32699" w:rsidRPr="004B6D6A" w:rsidRDefault="00D32699" w:rsidP="00843300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32699" w:rsidRPr="004B6D6A" w:rsidRDefault="00D32699" w:rsidP="004B6D6A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32699" w:rsidRPr="004B6D6A" w:rsidRDefault="00D32699" w:rsidP="004B6D6A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652" w:rsidRPr="004B6D6A" w:rsidRDefault="00776B1E" w:rsidP="0027150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71506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lastRenderedPageBreak/>
              <w:t> </w:t>
            </w:r>
            <w:r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    </w:t>
            </w:r>
            <w:r w:rsidR="009515A0"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  <w:r w:rsidR="009515A0" w:rsidRPr="0027150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.</w:t>
            </w:r>
            <w:r w:rsidRPr="0027150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 Ընդունվել է,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կետը խմբագրվել</w:t>
            </w:r>
            <w:r w:rsidR="009515A0"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է՝ ավելացվելով համապատասխան նախ</w:t>
            </w:r>
            <w:r w:rsidR="008433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ադասությունը </w:t>
            </w:r>
            <w:r w:rsidR="00251652"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հետևյալ բովանդակությամբ՝ ««11. Հանձնաժողովի որոշումներն ստորագրվում են հանձնաժողովի նախագահի և անդամների կողմից: Մարդուն զոհի կամ հատուկ կատեգորիայի զոհի կարգավիճակ տալու մասին հանձնաժողովի որոշման քաղվածքի մեկական օրինակ տրվում է նախանույնացումն իրականացրած իրավասու մարմնին,  նույնացված զոհին կամ հատուկ կատեգորիայի զոհին կամ նրա օրինական ներկայացուցչին։ Հանձնաժողովի քարտուղարը քաղվածքը հանձնելու մասին կատարում է համապատասխան գրառում հատուկ մատյանում` նշելով ստացողի անունը, ազգանունը, նրան աջակցող կազմակերպության անվանումը, ստանալու ամսաթիվը, ամիսը, տարեթիվը: Գրառման դիմաց դրվում է ստացողի ստորագրությունը:  Քաղվածքի օրինակելի ձևը </w:t>
            </w:r>
            <w:r w:rsidR="00251652"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և մատյանի ձևը հաստատվում է հանձնաժողովի կողմից՝ հանձնաժողովի անդամների ձայների մեծամասնությամբ։ Հանձնաժողովի մասնակիցների առարկությունների և առաջարկությունների մասին հայտարարությունները, եթե այդպիսիք եղել են, արտացոլվում են նիստի արձանագրությունում։»</w:t>
            </w:r>
          </w:p>
          <w:p w:rsidR="009515A0" w:rsidRDefault="009515A0" w:rsidP="0027150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271506" w:rsidRDefault="00271506" w:rsidP="0027150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271506" w:rsidRPr="00271506" w:rsidRDefault="00271506" w:rsidP="0027150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9515A0" w:rsidRPr="00271506" w:rsidRDefault="009515A0" w:rsidP="0027150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2. </w:t>
            </w:r>
            <w:r w:rsidRPr="0027150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 է։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961DC"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Կետը խմբագրվել է հետևյալ բովանդակությամբ՝ «2) իր կամ հանձնաժողովի անդամների նախաձեռնությամբ կամ իրավասու մարմինների միջնորդությունների հիման վրա հանձնաժողովի նիստ հրավիրելու անհրաժեշտության մասին իրազեկում ստանալուց հետո հինգ օրվա ընթացքում հրավիրում է հանձնաժողովի նիստ.» ։ Սույն դրույյթի ամրագրումը կատարվել է հիմք ընդունեկով «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Մարդկանց թրաֆիքինգի և շահագործման ենթարկված 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անձանց նույնացման և աջակցության մասին</w:t>
            </w:r>
            <w:r w:rsidR="00E961DC"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» ՀՀ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961DC"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օրենքի 18-րդ հոդված 2-րդ կետը, որի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համաձայն՝ «Իրազեկումը ստանալու պահից հինգ օրվա ընթացքում հանձնաժողովի նախագահը հրավիրում է նույնացման նիստ</w:t>
            </w:r>
            <w:r w:rsidR="00FC2A67" w:rsidRPr="00271506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․․․</w:t>
            </w:r>
            <w:r w:rsidR="00FC2A67"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»։ Հաշվի առնելով օրենքի այս դրույթ համապատասխան ժամկետային կարգավորումը ամրագրվել է նաև սույն որոշման նախագծում ևս։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E2B95" w:rsidRPr="004B6D6A" w:rsidRDefault="00860D09" w:rsidP="0084330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10</w:t>
            </w:r>
            <w:r w:rsidR="009E2B95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 ՀՀ Քննչական կոմիտե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E2B95" w:rsidRPr="004B6D6A" w:rsidRDefault="00C654F0" w:rsidP="0084330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21.06.2021թ.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B95" w:rsidRPr="004B6D6A" w:rsidRDefault="009E2B95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E2B95" w:rsidRPr="004B6D6A" w:rsidRDefault="00C654F0" w:rsidP="0084330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N 01/12/36042-2021</w:t>
            </w:r>
          </w:p>
        </w:tc>
      </w:tr>
      <w:tr w:rsidR="007A7066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4F0" w:rsidRPr="004B6D6A" w:rsidRDefault="00C654F0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Դիտողություններ և առաջարկություններ չկան։</w:t>
            </w:r>
          </w:p>
          <w:p w:rsidR="009E2B95" w:rsidRPr="004B6D6A" w:rsidRDefault="009E2B95" w:rsidP="004B6D6A">
            <w:pPr>
              <w:spacing w:after="0" w:line="360" w:lineRule="auto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9E2B95" w:rsidRPr="004B6D6A" w:rsidRDefault="009E2B95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B6D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        </w:t>
            </w: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95" w:rsidRPr="004B6D6A" w:rsidRDefault="00C654F0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E2B95" w:rsidRPr="00843300" w:rsidRDefault="00860D09" w:rsidP="0084330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11</w:t>
            </w:r>
            <w:r w:rsidR="009E2B95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. ՀՀ </w:t>
            </w:r>
            <w:r w:rsidR="009E2B95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Մարդու իրավունքների պաշտպանի գրասենյակ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E2B95" w:rsidRPr="00843300" w:rsidRDefault="00076501" w:rsidP="0084330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</w:t>
            </w: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.07.2021թ.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B95" w:rsidRPr="004B6D6A" w:rsidRDefault="009E2B95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E2B95" w:rsidRPr="004B6D6A" w:rsidRDefault="00076501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01/13.6/3162-21</w:t>
            </w:r>
          </w:p>
        </w:tc>
      </w:tr>
      <w:tr w:rsidR="00B26E06" w:rsidRPr="00B470CC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E06" w:rsidRPr="004B6D6A" w:rsidRDefault="00B26E06" w:rsidP="004B6D6A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Հիմք ընդունելով խոշտանգումների և այլ դաժան, անմարդկային կամ նվաստացնող վերաբերմունքի զոհերի վերաբերյալ վիճակագրություն վարելու անհրաժեշտութունը, ինչպես նաև հաշվի առնելով, որ հանձնաժողովի կողմից ներկայացվող հաշվետվությունը պարունակում է այնպիսի տվյալներ, ինչպիսիք են՝ թրաֆիքինգի և շահագործման հավանական զոհերի, ինչպես նաև </w:t>
            </w:r>
            <w:r w:rsidRPr="004B6D6A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աջակցություն ստանալու 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նպատակով ուղղորդված զոհերի ու հատուկ կատեգորիայի զոհերի թիվը և որ հավանականությունը մեծ է, որ թրաֆիքինգի և շահագործման զոհերը նաև խոշտանգումների և այլ դաժան, անմարդկային կամ նվաստացնող վերաբերմունքի զոհ կարող են լինել՝ անհրաժեշտ է Նախագծով նախատեսել կարգավորում առ այն, որ խոշտանգումների և այլ դաժան, անմարդկային կամ նվաստացնող վերաբերմունքի դեպքեր հայտնաբերելու դեպքում Հանձնաժողովի կողմից հավաքագրվեն նաև այդ զոհերի վերաբերյալ տվյալները:</w:t>
            </w:r>
          </w:p>
        </w:tc>
        <w:tc>
          <w:tcPr>
            <w:tcW w:w="6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E06" w:rsidRPr="004B6D6A" w:rsidRDefault="00B26E06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lastRenderedPageBreak/>
              <w:t>Չի ընդունվել</w:t>
            </w:r>
          </w:p>
          <w:p w:rsidR="00B26E06" w:rsidRPr="00843300" w:rsidRDefault="00B40A0A" w:rsidP="00843300">
            <w:pPr>
              <w:spacing w:after="0" w:line="360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Հայաստանի Հանրապետությունում մարդկանց թրաֆիքինգի և շահագործման զոհերի նույնացման հանձնաժողովի աշխատակարգը, մարդկանց թրաֆիքինգի </w:t>
            </w:r>
            <w:r w:rsidR="00110F71"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>և</w:t>
            </w:r>
            <w:r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շահագործման զոհերի նույնացման հանձնաժողովի կողմից Հայաստանի Հանրապետությունում մարդկանց թրաֆիքինգի եվ </w:t>
            </w:r>
            <w:r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lastRenderedPageBreak/>
              <w:t xml:space="preserve">շահագործման դեմ պայքարի հարցերով խորհուրդ ներկայացվող հաշվետվության ձևը սահմանելու մասին» ՀՀ կառավորության 15.10.2015 </w:t>
            </w:r>
            <w:r w:rsidR="00843300">
              <w:rPr>
                <w:rFonts w:ascii="GHEA Grapalat" w:hAnsi="GHEA Grapalat" w:cs="Tahoma"/>
                <w:sz w:val="24"/>
                <w:szCs w:val="24"/>
                <w:lang w:val="hy-AM"/>
              </w:rPr>
              <w:t>թ.</w:t>
            </w:r>
            <w:r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N 1200-Ն </w:t>
            </w:r>
            <w:r w:rsidR="00110F71"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>որոշմամբ նախատեսված կարգավորումնները</w:t>
            </w:r>
            <w:r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ուղղակիորեն բխում է «Մարդկանց թրաֆիքինգի և շահագործման ենթարկված անձանց նույնացման և աջակցության մասին» Հայաստանի Հանրապետության օրենքի </w:t>
            </w:r>
            <w:r w:rsidR="00110F71"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>համապատասխան դրույթներից</w:t>
            </w:r>
            <w:r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>, ուստի Ձեր կողմից առաջարկվող իրավահարաբերությունային կարգավորումնները դուրս են</w:t>
            </w:r>
            <w:r w:rsidR="00110F71"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="00E13E45"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վերոգրյալ օրենքի </w:t>
            </w:r>
            <w:r w:rsidR="00843300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կարգավորման շրջանակից </w:t>
            </w:r>
            <w:r w:rsidR="00E13E45"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և դրանից բխող կառավարության որոշմաբ սահմանաված </w:t>
            </w:r>
            <w:r w:rsidR="00110F71"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նույնացման հանձնաժողովի </w:t>
            </w:r>
            <w:r w:rsidR="00E13E45" w:rsidRPr="004B6D6A">
              <w:rPr>
                <w:rFonts w:ascii="GHEA Grapalat" w:hAnsi="GHEA Grapalat" w:cs="Tahoma"/>
                <w:sz w:val="24"/>
                <w:szCs w:val="24"/>
                <w:lang w:val="hy-AM"/>
              </w:rPr>
              <w:t>աշխատաննքերի տրամաբանությունից։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A0892" w:rsidRPr="004B6D6A" w:rsidRDefault="00860D09" w:rsidP="00F9760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12</w:t>
            </w:r>
            <w:r w:rsidR="00FA0892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 «Ամքոր Հայաստան» բարեգործական հիմնադրամ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A0892" w:rsidRPr="004B6D6A" w:rsidRDefault="00FA0892" w:rsidP="00F9760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21.06.2021թ.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892" w:rsidRPr="004B6D6A" w:rsidRDefault="00FA0892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A0892" w:rsidRPr="004B6D6A" w:rsidRDefault="00FA0892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 047</w:t>
            </w:r>
          </w:p>
        </w:tc>
      </w:tr>
      <w:tr w:rsidR="00787F39" w:rsidRPr="00B470CC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F39" w:rsidRPr="004B6D6A" w:rsidRDefault="00787F39" w:rsidP="008328D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1. Առաջարկվում է Հայաստանի Հանրապետության կառավարության 2015 թվականի հոկտեմբերի 15-ի N  1200-ն որոշման նախագծի  N 1 հավելվածի 3-րդ կետի 9-րդ 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ենթակետում նշված «հանձնաժողովի կողմից թրաֆիքինգի զոհերի համար թիրախային  համարվող վայրեր՝ ուսումնասիրություններ և իրազեկման աշխատանքներ իրականցնելու, ինչպես նաև այդ վայրերում արտագնա նիստեր կազմակերպելու համար»,  մշակել հատուկ ընթացակարգ և պլան, ինչպես նաև տրամադրել բյուջե:</w:t>
            </w:r>
          </w:p>
          <w:p w:rsidR="00787F39" w:rsidRPr="004B6D6A" w:rsidRDefault="00787F39" w:rsidP="008328D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2. Առաջարկվում է նախագծի 11-րդ կետում զոհի կարգավիճակը հաստատող փաստաթղթի համար մշակել հատուկ ձևաչափ, ինպես նաև մեխանիզմներ, որոնք թույլ կտան այդ փաստաթուղթը օգտագործելով դիմել պետական կառույցներին՝ աջակցություն ստանալու նպատակով:</w:t>
            </w:r>
          </w:p>
          <w:p w:rsidR="00872E04" w:rsidRPr="00052D9E" w:rsidRDefault="00787F39" w:rsidP="008328D0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3. Առաջարկվում է որոշման 19-րդ կետը պահպանել, քանի որ Մարդկանց թրաֆիքինգի եվ շահագործման ենթարկված անձանց նույնացման եվ աջակցության մասին օրենքի 23-րդ հոդվածի 1-ին </w:t>
            </w:r>
            <w:r w:rsidR="00D52651" w:rsidRPr="004B6D6A">
              <w:rPr>
                <w:rFonts w:ascii="GHEA Grapalat" w:hAnsi="GHEA Grapalat"/>
                <w:sz w:val="24"/>
                <w:szCs w:val="24"/>
                <w:lang w:val="hy-AM"/>
              </w:rPr>
              <w:t>մասում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սահմանվում է, որ «աջակցությունը դադարեցվում է այդ աջակցության տրամադրումն իրականացնող իրավասու մարմնի հիմնավոր միջնորդության հիման վրա՝ նույնացման հանձնաժողովի որոշմամբ, սակայն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նույնացման հանձնաժողովը չի ստանում համապատասխան տեղեկատվություն աջակցության գործընթացի վերաբերյալ, այդ պատճառով չունի բավարար հիմքեր աջակցությունը դադարեցնելու վերաբերյալ որոշումներ ընդունելու համար: Առաջարկում եմ մշակել համապատասխան մեխանիզմ, որպեսզի հանձնաժողովը տեղեկացված լինի աջակցության գործընթացի վերաբերյալ:  </w:t>
            </w:r>
            <w:r w:rsidRPr="004B6D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95" w:rsidRPr="004B6D6A" w:rsidRDefault="00787F39" w:rsidP="004B6D6A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lastRenderedPageBreak/>
              <w:t> </w:t>
            </w:r>
            <w:r w:rsidR="007F5995" w:rsidRPr="004B6D6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Ընդունվել է մասամբ </w:t>
            </w:r>
          </w:p>
          <w:p w:rsidR="00787F39" w:rsidRPr="004B6D6A" w:rsidRDefault="00787F39" w:rsidP="004B6D6A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1. Ուսումնասիրությունների իրականացման, արտագնա նիստերի կազմակերպման դեպքում՝ հստ</w:t>
            </w:r>
            <w:r w:rsidR="007F5995"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ակ նպատակից </w:t>
            </w:r>
            <w:r w:rsidR="007F5995"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բխող  համապատսախան քայլերը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կմշակվի և կհաստատվի հանձնաժողովի կողմից հանձնաժողովի հերթական նիստում։</w:t>
            </w:r>
          </w:p>
          <w:p w:rsidR="00787F39" w:rsidRPr="004B6D6A" w:rsidRDefault="00787F39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52651" w:rsidRPr="004B6D6A" w:rsidRDefault="00D52651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7F5995" w:rsidRDefault="007F5995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F97604" w:rsidRDefault="00F97604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F97604" w:rsidRPr="004B6D6A" w:rsidRDefault="00F97604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7F5995" w:rsidRPr="004B6D6A" w:rsidRDefault="007F5995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52651" w:rsidRPr="00F97604" w:rsidRDefault="007F5995" w:rsidP="00F97604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Ընդունվել է մասամբ </w:t>
            </w:r>
          </w:p>
          <w:p w:rsidR="00787F39" w:rsidRPr="004B6D6A" w:rsidRDefault="00787F39" w:rsidP="008328D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</w:t>
            </w:r>
            <w:r w:rsidR="007A7066" w:rsidRPr="004B6D6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</w:t>
            </w:r>
            <w:r w:rsidRPr="004B6D6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մապատասխան ձևաչափը կմշակվի և կհաստատվի 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հանձնաժողովի կողմից հանձնաժողովի հերթական նիստում։</w:t>
            </w:r>
          </w:p>
          <w:p w:rsidR="00787F39" w:rsidRPr="004B6D6A" w:rsidRDefault="00787F39" w:rsidP="004B6D6A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F2508B" w:rsidRPr="004B6D6A" w:rsidRDefault="00F2508B" w:rsidP="00F9760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F2508B" w:rsidRPr="004B6D6A" w:rsidRDefault="00F97604" w:rsidP="00F9760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9760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Ընդունվել է</w:t>
            </w:r>
          </w:p>
          <w:p w:rsidR="00787F39" w:rsidRPr="004B6D6A" w:rsidRDefault="00787F39" w:rsidP="008328D0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3.</w:t>
            </w:r>
            <w:r w:rsidR="007A7066" w:rsidRPr="00F9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9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</w:t>
            </w:r>
            <w:r w:rsidR="00185973" w:rsidRPr="00F9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ործող որոշման </w:t>
            </w:r>
            <w:r w:rsidR="007A7066" w:rsidRPr="00F9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19-րդ կետը պահվում է։ Իսկ առաջարկվող գործընթացը կարգավորվող  </w:t>
            </w:r>
            <w:r w:rsidR="007A7066" w:rsidRPr="00F9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հ</w:t>
            </w:r>
            <w:r w:rsidRPr="00F9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ամապատասխան մեխանիզմը </w:t>
            </w:r>
            <w:r w:rsidR="00D52651" w:rsidRPr="00F9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սահմանել ենք արդեն </w:t>
            </w:r>
            <w:r w:rsidRPr="00F9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նախագծի </w:t>
            </w:r>
            <w:r w:rsidR="00D52651" w:rsidRPr="00F97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1-ին կետի 1-ին ենթակետի</w:t>
            </w:r>
            <w:r w:rsidR="00D52651"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ա. պարբերությամբ</w:t>
            </w:r>
            <w:r w:rsidR="00E4575D"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հետևյալ բովանդակությամբ՝ «8) յուրաքանչյուր եռամսյակին հաջորդող նիստում ծանոթանում է տվյալ տարվա հաշվետու ժամանակահատվածում մարդկանց թրաֆիքինգի և շահագործման զոհերին կամ հատուկ կատեգորիայի զոհերին կամ հավանական զոհերին տրամադրած  աջակցության և պաշտպանության գործընթացին.»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A0892" w:rsidRPr="004B6D6A" w:rsidRDefault="00DB6916" w:rsidP="00B470C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B470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1</w:t>
            </w:r>
            <w:r w:rsidR="00B470CC" w:rsidRPr="00B470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</w:t>
            </w:r>
            <w:r w:rsidR="00FA0892" w:rsidRPr="00B470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 «</w:t>
            </w:r>
            <w:r w:rsidR="00FA0892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Դեմոկրատիան այսօր» ՀԿ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A0892" w:rsidRPr="004B6D6A" w:rsidRDefault="00FA0892" w:rsidP="00052D9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16.06.2021թ.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892" w:rsidRPr="004B6D6A" w:rsidRDefault="00FA0892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A0892" w:rsidRPr="004B6D6A" w:rsidRDefault="00FA0892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7A7066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892" w:rsidRPr="004B6D6A" w:rsidRDefault="00FA0892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Դիտողություններ և առաջարկություններ չկան։</w:t>
            </w:r>
          </w:p>
          <w:p w:rsidR="009C2047" w:rsidRPr="004B6D6A" w:rsidRDefault="009C2047" w:rsidP="004B6D6A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FA0892" w:rsidRPr="004B6D6A" w:rsidRDefault="00FA0892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B6D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        </w:t>
            </w: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892" w:rsidRPr="004B6D6A" w:rsidRDefault="00FA0892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B6916" w:rsidRPr="004B6D6A" w:rsidRDefault="00DB6916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B470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</w:t>
            </w:r>
            <w:r w:rsidR="00B470CC" w:rsidRPr="00B470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</w:t>
            </w:r>
            <w:r w:rsidRPr="00B470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 «</w:t>
            </w:r>
            <w:r w:rsidR="00932657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Հույս և օգնություն</w:t>
            </w: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» ՀԿ</w:t>
            </w:r>
          </w:p>
          <w:p w:rsidR="00DB6916" w:rsidRPr="004B6D6A" w:rsidRDefault="00DB6916" w:rsidP="004B6D6A">
            <w:pPr>
              <w:spacing w:before="100" w:beforeAutospacing="1"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B6916" w:rsidRPr="004B6D6A" w:rsidRDefault="00DA4650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16.06.21 թ․</w:t>
            </w:r>
          </w:p>
        </w:tc>
      </w:tr>
      <w:tr w:rsidR="00787F39" w:rsidRPr="004B6D6A" w:rsidTr="005255E1">
        <w:trPr>
          <w:tblCellSpacing w:w="0" w:type="dxa"/>
          <w:jc w:val="center"/>
        </w:trPr>
        <w:tc>
          <w:tcPr>
            <w:tcW w:w="9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916" w:rsidRPr="004B6D6A" w:rsidRDefault="00DB6916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B6916" w:rsidRPr="004B6D6A" w:rsidRDefault="00DB6916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7A7066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76F9" w:rsidRPr="004B6D6A" w:rsidRDefault="00F376F9" w:rsidP="004B6D6A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Դիտողություններ և առաջարկություններ չկան։</w:t>
            </w:r>
          </w:p>
          <w:p w:rsidR="00DB6916" w:rsidRPr="004B6D6A" w:rsidRDefault="00DB6916" w:rsidP="004B6D6A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B6916" w:rsidRPr="004B6D6A" w:rsidRDefault="00DB6916" w:rsidP="004B6D6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B6D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        </w:t>
            </w: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916" w:rsidRPr="004B6D6A" w:rsidRDefault="00F376F9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087B88" w:rsidRPr="004B6D6A" w:rsidTr="005255E1">
        <w:trPr>
          <w:trHeight w:val="525"/>
          <w:tblCellSpacing w:w="0" w:type="dxa"/>
          <w:jc w:val="center"/>
        </w:trPr>
        <w:tc>
          <w:tcPr>
            <w:tcW w:w="9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087B88" w:rsidRPr="004B6D6A" w:rsidRDefault="00087B88" w:rsidP="00B470C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1</w:t>
            </w:r>
            <w:r w:rsidR="00B470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5</w:t>
            </w:r>
            <w:bookmarkStart w:id="0" w:name="_GoBack"/>
            <w:bookmarkEnd w:id="0"/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. Արդարադատության նախարարություն </w:t>
            </w:r>
          </w:p>
        </w:tc>
        <w:tc>
          <w:tcPr>
            <w:tcW w:w="35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087B88" w:rsidRPr="004B6D6A" w:rsidRDefault="00087B88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07.07.2021թ.</w:t>
            </w:r>
          </w:p>
          <w:p w:rsidR="00087B88" w:rsidRPr="004B6D6A" w:rsidRDefault="00087B88" w:rsidP="005A1DD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N  01/27.1/19314-2021</w:t>
            </w:r>
          </w:p>
        </w:tc>
      </w:tr>
      <w:tr w:rsidR="00255C01" w:rsidRPr="00B470CC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5C01" w:rsidRPr="004B6D6A" w:rsidRDefault="00255C01" w:rsidP="004B6D6A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1-ին կետի 1-ին ենթակետի ա. պարբերությամբ առաջարկվում է ՀՀ կառավարության 2015 թվականի հոկտեմբերի 15-ի N 1200-Ն որոշման (այսուհետ՝ Որոշում) N 1 հավելվածի 3-րդ կետը լրացնել 8-րդ ենթակետով, որով սահմանվում է ՀՀ-ում մարդկանց թրաֆիքինգի և շահագործման զոհերի նույնացման հանձնաժողովին (այսուհետ՝ Հանձնաժողով) ընձեռել յուրաքանչյուր եռամսյակին հաջորդող նիստում տվյալ տարվա հաշվետու ժամանակահատվածում մարդկանց թրաֆիքինգի և շահագործման զոհերին կամ հատուկ կատեգորիայի զոհերին կամ հավանական զոհերին տրամադրած աջակցության և պաշտպանության գործընթացին ծանոթանալու լիազորություն։ </w:t>
            </w:r>
          </w:p>
          <w:p w:rsidR="00255C01" w:rsidRPr="004B6D6A" w:rsidRDefault="00255C01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Նման դրույթի նախատեսումն ինքնանպատակ է թվում՝ հաշվի առնելով, որ Որոշման 13-րդ կետի 7-րդ ենթակետի համաձայն՝ Հանձնաժողովի նախագահը իրավասու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մարմիններից ստանում է տեղեկատվություն՝ Հայաստանի Հանրապետությունում մարդկանց թրաֆիքինգի և շահագործման դեմ պայքարի հարցերով խորհրդին կիսամյակային հաշվետվություն ներկայացնելու նպատակով, իսկ Որոշման 3-րդ կետի 1-ին ենթակետով սահմանվում է Հանձնաժողովի իրավասությունը՝ համագործակցելու իրավասու մարմինների հետ՝ այդ թվում տեղեկատվություն ստանալու նպատակով։ Բացի այդ, իր որոշ լիազորությունների իրականացման ընթացքում և նպատակով, մասնավորապես՝ զոհերի և հատուկ կատեգորիայի զոհերի աջակցության դադարեցման և միանվագ դրամական օգնություն ստանալու մասին որոշում կայացնելիս, ինչպես նաև արդեն իսկ աջակցություն ստացած հավանական զոհերի նույնացման ընթացքում, Հանձնաժողովն իրավասու է ծանոթանալ զոհերին կամ հավանական զոհերին տրամադրված աջակցության և պաշտպանության գործընթացին և այս նպատակով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լրացուցիչ լիազորության նախատեսման անհրաժեշտությունը բացակայում է։</w:t>
            </w:r>
          </w:p>
          <w:p w:rsidR="00255C01" w:rsidRPr="004B6D6A" w:rsidRDefault="00255C01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>Ուստի, հաշվի առնելով, որ Հանձնաժողովը, որպես այդպիսին, արդեն իսկ օժտված է իր գործառույթների իրականացման ընթացքում խնդրո առարկա տեղեկատվությունը ստանալու և վերջինիս ծանոթանալու լիազորությամբ՝ առաջարկում ենք ևս մեկ անգամ քննարկել այս դրույթի նախատեսման նպատակահարմարությունը։</w:t>
            </w:r>
          </w:p>
        </w:tc>
        <w:tc>
          <w:tcPr>
            <w:tcW w:w="6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5C01" w:rsidRPr="004B6D6A" w:rsidRDefault="00255C01" w:rsidP="004B6D6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Չի ընդունվել։</w:t>
            </w:r>
          </w:p>
          <w:p w:rsidR="00255C01" w:rsidRPr="004B6D6A" w:rsidRDefault="00255C01" w:rsidP="004B6D6A">
            <w:pPr>
              <w:shd w:val="clear" w:color="auto" w:fill="FFFFFF"/>
              <w:spacing w:after="0" w:line="360" w:lineRule="auto"/>
              <w:ind w:right="150" w:firstLine="450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2015 թվականի հոկտեմբերի 15-ի N 1200-Ն որոշման (այսուհետ՝ Որոշում) 13-րդ կետի 7-րդ ենթակետի համաձայն՝ </w:t>
            </w:r>
            <w:r w:rsidRPr="004B6D6A">
              <w:rPr>
                <w:rFonts w:ascii="GHEA Grapalat" w:hAnsi="GHEA Grapalat"/>
                <w:b/>
                <w:i/>
                <w:sz w:val="24"/>
                <w:szCs w:val="24"/>
                <w:u w:val="single"/>
                <w:lang w:val="hy-AM"/>
              </w:rPr>
              <w:t xml:space="preserve">«հանձնաժողովը՝ </w:t>
            </w:r>
            <w:r w:rsidRPr="004B6D6A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u w:val="single"/>
                <w:lang w:val="hy-AM"/>
              </w:rPr>
              <w:t xml:space="preserve">իրավասու մարմիններից ստանում է տեղեկատվություն և յուրաքանչյուր կիսամյակ, մինչև հաջորդող ամսվա 15-ը, խորհուրդ է ներկայացնում միասնական հաշվետվություն կատարված աշխատանքների և ծախսերի մասին.» , </w:t>
            </w:r>
            <w:r w:rsidRPr="004B6D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սույն կարգավորմամբ հանձնաժողովը շահագրգիռ պետական կառույցներից </w:t>
            </w: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u w:val="single"/>
                <w:lang w:val="hy-AM"/>
              </w:rPr>
              <w:t>կիսամ</w:t>
            </w:r>
            <w:r w:rsidR="007E5209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u w:val="single"/>
                <w:lang w:val="hy-AM"/>
              </w:rPr>
              <w:t>յակ</w:t>
            </w:r>
            <w:r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u w:val="single"/>
                <w:lang w:val="hy-AM"/>
              </w:rPr>
              <w:t xml:space="preserve">ը մեկ անգամ </w:t>
            </w:r>
            <w:r w:rsidRPr="004B6D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ստանում է ընդհանրական տեղեկատվություն մարդկանց թրաֆիքինգի և շահագործման դեմ պայքարի շրջանակում իրականացված աշխատանքների մասով, իսկ մեր կողմից առաջարկվող փոփոխությամբ նախատեսվում է </w:t>
            </w:r>
            <w:r w:rsidR="00BD2639" w:rsidRPr="004B6D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հանձնաժողովի աշխատանքները ավելի դինամի և </w:t>
            </w:r>
            <w:r w:rsidR="00BD2639" w:rsidRPr="004B6D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պետության կողմից տրամադրվող աջակցությունը ավելի հասցեկան դարձնելու համար՝ </w:t>
            </w:r>
            <w:r w:rsidR="00BD2639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u w:val="single"/>
                <w:lang w:val="hy-AM"/>
              </w:rPr>
              <w:t>յուրաքանչյուր եռամսյակ</w:t>
            </w:r>
            <w:r w:rsidR="007E5209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u w:val="single"/>
                <w:lang w:val="hy-AM"/>
              </w:rPr>
              <w:t xml:space="preserve"> հանձնաժողովի ներսում</w:t>
            </w:r>
            <w:r w:rsidR="00BD2639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u w:val="single"/>
                <w:lang w:val="hy-AM"/>
              </w:rPr>
              <w:t xml:space="preserve"> քննարկել և ուսումնասիրել </w:t>
            </w:r>
            <w:r w:rsidR="00F66FA6" w:rsidRPr="004B6D6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u w:val="single"/>
                <w:lang w:val="hy-AM"/>
              </w:rPr>
              <w:t xml:space="preserve">հանձնաժողովի անդամների գործունեությունից բխող </w:t>
            </w:r>
            <w:r w:rsidR="00BD2639" w:rsidRPr="004B6D6A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>մարդկանց թրաֆիքինգի և շահագործման զոհերին կամ հատուկ կատեգորիայի զոհերին կամ հավանական զոհերին տրամադրած աջակցության և պաշտպանության գործընթացը։</w:t>
            </w:r>
            <w:r w:rsidR="008F65B6" w:rsidRPr="004B6D6A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E4575D" w:rsidRPr="004B6D6A" w:rsidRDefault="00E4575D" w:rsidP="004B6D6A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 xml:space="preserve">Բացի այդ,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>օրենքի 23-րդ հոդվածի 1-ին մասում սահմանվում է, որ «Զոհերի և հատուկ կատեգորիայի զոհերի աջակցությունը դադարեցվում է այդ աջակցության տրամադրումն իրականացնող իրավասու մարմնի հիմնավոր միջնորդության հիման վրա` նույնացման հանձնաժողովի կայացրած որոշմամբ</w:t>
            </w:r>
            <w:r w:rsidRPr="004B6D6A">
              <w:rPr>
                <w:rFonts w:ascii="Cambria Math" w:hAnsi="Cambria Math" w:cs="Cambria Math"/>
                <w:sz w:val="24"/>
                <w:szCs w:val="24"/>
                <w:lang w:val="hy-AM"/>
              </w:rPr>
              <w:t>․․․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սակայն նույնացման հանձնաժողովը գործնականում չի ստանում համապատասխան տեղեկատվություն աջակցության գործընթացի վերաբերյալ, այդ պատճառով չի ունենում բավարար հիմքեր աջակցությունը դադարեցնելու կամ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շարունակելու վերաբերյալ օպերատիվ որոշումներ ընդունելու տեսանկյունից: </w:t>
            </w:r>
          </w:p>
          <w:p w:rsidR="008F65B6" w:rsidRPr="004B6D6A" w:rsidRDefault="008F65B6" w:rsidP="004B6D6A">
            <w:pPr>
              <w:shd w:val="clear" w:color="auto" w:fill="FFFFFF"/>
              <w:spacing w:after="0" w:line="360" w:lineRule="auto"/>
              <w:ind w:right="150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 գործընթացի իրականացման պարբերականությունը ինստիտուցիոնալ հիմքով ամրագրելու համար, նպատակահարմար ենք գտել ավելացնել լրացուցիչ կարգավորում, </w:t>
            </w:r>
            <w:r w:rsidRPr="004B6D6A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>որը թույլ կտա հաստատապես յուրաքանչյուր եռամսյակ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քննարկել և տեղեկանալ զոհերին տրվող աջակցության ընթացքի վերաբերյալ։ </w:t>
            </w:r>
          </w:p>
          <w:p w:rsidR="008F65B6" w:rsidRPr="004B6D6A" w:rsidRDefault="008F65B6" w:rsidP="004B6D6A">
            <w:pPr>
              <w:shd w:val="clear" w:color="auto" w:fill="FFFFFF"/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>Ուստի գտնում ենք, որ</w:t>
            </w:r>
            <w:r w:rsidR="0050303A"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2AE2"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չնայած այն հանգամանքին, որ որ Հանձնաժողովը, որպես այդպիսին, արդեն իսկ օժտված է իր գործառույթների իրականացման ընթացքում </w:t>
            </w:r>
            <w:r w:rsidR="0050303A" w:rsidRPr="004B6D6A">
              <w:rPr>
                <w:rFonts w:ascii="GHEA Grapalat" w:hAnsi="GHEA Grapalat"/>
                <w:sz w:val="24"/>
                <w:szCs w:val="24"/>
                <w:lang w:val="hy-AM"/>
              </w:rPr>
              <w:t>մարդկանց թրաֆիքինգի դեմ պայքարի ոլորտում իրականացված աշխատանքների մասին</w:t>
            </w:r>
            <w:r w:rsidR="00642AE2"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տեղեկատվությունը ստանալու և վերջինիս ծանոթանալու լիազորությամբ, այնուամենայնիվ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սույն ենթակետով</w:t>
            </w:r>
            <w:r w:rsidR="00642AE2"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2AE2"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եռամսյակային ժամկետ սահմանելով</w:t>
            </w:r>
            <w:r w:rsidR="00642AE2"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ամրագրվող դրույթի պահպանելը կարևոր է հանձնաժողովի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աշխատանքների օպերատիվության և հաշվետվողականության ամրագրման տեսանկյունից։ </w:t>
            </w:r>
          </w:p>
        </w:tc>
      </w:tr>
      <w:tr w:rsidR="006061C3" w:rsidRPr="004B6D6A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1C3" w:rsidRPr="004B6D6A" w:rsidRDefault="006061C3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2. Նախագծի 1-ին կետի 1-ին ենթակետի գ. պարբերությամբ առաջարկվում է Որոշման 11-րդ կետը վերախմբագրել՝ սահմանելով, ի թիվս այլնի, որ մարդուն զոհի կամ հատուկ կատեգորիայի զոհի կարգավիճակ տալու մասին Հանձնաժողովի որոշման քաղվածքի մեկական օրինակ, Հանձնաժողովի անդամների մեծամասնության համաձայնության դեպքում, ըստ անհրաժեշտության, կարող է տրամադրել նախանույնացումն իրականացրած իրավասու մարմնին, նույնացված զոհին կամ հատուկ կատեգորիայի զոհին կամ նրա օրինական ներկայացուցչին։ </w:t>
            </w:r>
          </w:p>
          <w:p w:rsidR="006061C3" w:rsidRPr="004B6D6A" w:rsidRDefault="006061C3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Հանձնաժողովի անդամներին նման հայեցողության տրամադրումը խնդրահարույց է և լրացուցիչ հիմնավորման կարիք ունի՝ հաշվի առնելով, որ «Մարդկանց թրաֆիքինգի և շահագործման ենթարկված անձանց նույնացման և աջակցության մասին» օրենքի (այսուհետ՝ Օրենք) 18-րդ հոդվածի 10-րդ մասի համաձայն՝ Նույնացման նիստի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որոշման մեկական օրինակ տրվում է նույնացման ներկայացված անձին և այդ նախանույնացումն իրականացրած իրավասու մարմնին։ Ըստ այդմ, Օրենքով նախատեսվում է Հանձնաժողովի կողմից համապատասխան անձանց նույնացման մասին որոշումը տրամադրելու պահանջ և ոչ թե հնարավորություն, ինչին համահունչ էլ Որոշման գործող տեքտում նախատեսվել է Օրենքի վերոնշյալ դրույթին նույնական կարգավորում։ </w:t>
            </w:r>
          </w:p>
          <w:p w:rsidR="006061C3" w:rsidRPr="004B6D6A" w:rsidRDefault="006061C3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վերոշարադրյալը՝ առաջարկում ենք Որոշման գործող տեքտում առկա կարգավորումը թողնել անփոփոխ։</w:t>
            </w:r>
          </w:p>
        </w:tc>
        <w:tc>
          <w:tcPr>
            <w:tcW w:w="6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1C3" w:rsidRPr="00271506" w:rsidRDefault="006061C3" w:rsidP="00271506">
            <w:pPr>
              <w:shd w:val="clear" w:color="auto" w:fill="FFFFFF"/>
              <w:spacing w:after="0" w:line="360" w:lineRule="auto"/>
              <w:ind w:right="150" w:firstLine="45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7150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  <w:p w:rsidR="006061C3" w:rsidRPr="004B6D6A" w:rsidRDefault="006061C3" w:rsidP="00271506">
            <w:pPr>
              <w:shd w:val="clear" w:color="auto" w:fill="FFFFFF"/>
              <w:spacing w:after="0" w:line="360" w:lineRule="auto"/>
              <w:ind w:right="150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փոփոխությունը կատարվել է և Նախագծի 1-ին կետի 1-ին ենթակետի «գ.» պարբերությունը խմբագրվել է </w:t>
            </w:r>
            <w:r w:rsidR="00D56301" w:rsidRPr="004B6D6A">
              <w:rPr>
                <w:rFonts w:ascii="GHEA Grapalat" w:hAnsi="GHEA Grapalat"/>
                <w:sz w:val="24"/>
                <w:szCs w:val="24"/>
                <w:lang w:val="hy-AM"/>
              </w:rPr>
              <w:t>հետևյ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ալ բովանդակությամբ՝ ««11. Հանձնաժողովի որոշումներն ստորագրվում են հանձնաժողովի նախագահի և անդամների կողմից: Մարդուն զոհի կամ հատուկ կատեգորիայի զոհի կարգավիճակ տալու մասին հանձնաժողովի որոշման քաղվածքի մեկական օրինակ </w:t>
            </w:r>
            <w:r w:rsidRPr="00271506">
              <w:rPr>
                <w:rFonts w:ascii="GHEA Grapalat" w:hAnsi="GHEA Grapalat"/>
                <w:sz w:val="24"/>
                <w:szCs w:val="24"/>
                <w:lang w:val="hy-AM"/>
              </w:rPr>
              <w:t>տրվում է նախանույնացումն իրականացրած իրավասու մարմնին,  նույնացված զոհին կամ հատուկ կատեգորիայի զոհին կամ նրա օրինական ներկայացուցչին։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Հանձնաժողովի քարտուղարը քաղվածքը հանձնելու մասին կատարում է համապատասխան գրառում հատուկ մատյանում` նշելով ստացողի անունը, ազգանունը, նրան աջակցող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կազմակերպության անվանումը, ստանալու ամսաթիվը, ամիսը, տարեթիվը: Գրառման դիմաց դրվում է ստացողի ստորագրությունը:  Քաղվածքի օրինակելի ձևը և մատյանի ձևը հաստատվում է հանձնաժողովի կողմից՝ հանձնաժողովի անդամների ձայների մեծամասնությամբ։ Հանձնաժողովի մասնակիցների առարկությունների և առաջարկությունների մասին հայտարարությունները, եթե այդպիսիք եղել են, արտացոլվում են նիստի արձանագրությունում։»</w:t>
            </w:r>
          </w:p>
          <w:p w:rsidR="006061C3" w:rsidRPr="004B6D6A" w:rsidRDefault="006061C3" w:rsidP="00271506">
            <w:pPr>
              <w:shd w:val="clear" w:color="auto" w:fill="FFFFFF"/>
              <w:spacing w:after="0" w:line="360" w:lineRule="auto"/>
              <w:ind w:right="150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2D65" w:rsidRPr="00B470CC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D65" w:rsidRPr="004B6D6A" w:rsidRDefault="00472D65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3. Նախագծի 1-ին կետի 2-րդ ենթակետով առաջարկվում է վերաշարադրել Որոշման 2-րդ Հավելվածը, որով սահմանվում է Հանձնաժողովի կողմից Խորհրդին ներկայացվող հաշվետվության ձևը։ </w:t>
            </w:r>
          </w:p>
          <w:p w:rsidR="00472D65" w:rsidRPr="004B6D6A" w:rsidRDefault="00472D65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Փոփոխությունների արդյունքում հանվել է Ձևի 2-րդ՝ Իրականացված ծրագրերը և կատարված ծախսերը բաժինը, և փոխարենը սահմանվել, որ հաշվետու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ժամանակահատվածում զոհերին և հատուկ կատեգորիայի զոհերին տրամադրվող սոցիալ-հոգեբանական վերականգնողական ծառայության շրջանակում կատարված ծախսերի վերաբերյալ ամփոփ հաշվետվությունը ներառվում է հաշվետվության նկարագրական մասում։ </w:t>
            </w:r>
          </w:p>
          <w:p w:rsidR="00472D65" w:rsidRPr="004B6D6A" w:rsidRDefault="00472D65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Նախ, այնքան էլ նպատակահարմար չի թվում դրսևորված մոտեցումը, որի դեպքում հաշվետվությունը բաղակացած է լինելու միայն նկարագրական մասից, իսկ սոցիալ-հոգեբանական վերականգնողական ծառայության շրջանակում կատարված ծախսերի վերաբերյալ հաշվետվության ձևը մնալու է չսահմանված այն դեպքում, երբ Հավելվածի մշակման նպատակը հենց հաշվետվության ձևի սահմանումն է։ </w:t>
            </w:r>
          </w:p>
          <w:p w:rsidR="00472D65" w:rsidRPr="004B6D6A" w:rsidRDefault="00472D65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հարկ է նշել, որ Որոշման գործող տարբերակում նախատեսվում է ոչ թե սոցիալ-հոգեբանական վերականգնողական ծառայության, այլ աջակցության բոլոր ծրագրերի իրականացման համար կատարված ծախսերի վերաբերյալ տեղեկատվության ներկայացում, ինչը, կարծում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ենք, ավելի համահունչ է Օրենքի կարգավորումներին։ Մասնավորապես, Օրենքի 26-րդ հոդվածի 1-ին մասի համաձայն, նույնացման հանձնաժողովը և իրավասու մարմինները յուրաքանչյուր կիսամյակ Խորհուրդ են ներկայացնում միասնական հաշվետվություն՝ Օրենքի շրջանակներում իրականացված աշխատանքների և կատարված ծախսերի վերաբերյալ։ </w:t>
            </w:r>
          </w:p>
          <w:p w:rsidR="00472D65" w:rsidRPr="004B6D6A" w:rsidRDefault="00472D65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>Այս առնչությամբ հարկ է արձանագրել, որ Օրենքի 22-րդ հոդվածով նախատեսված աջակցության տեսակները, կարծես թե, ավելի լայն և ընգրկուն ծառայությունների շրջանակ են պարունակում, քան ենթադրվում է «սոցիալ-հոգեբանական վերականգնողական ծառայություն» արտահայտությամբ (աջակցության տեսակների մեջ են մտնում, ի թիվս այլնի, անհրաժեշտ փաստաթղթերի տրամադրումը, վերականգնումը, ինչպես նաև թարգմանչական ծառայությունների մատուցումը)։</w:t>
            </w:r>
          </w:p>
          <w:p w:rsidR="00472D65" w:rsidRPr="004B6D6A" w:rsidRDefault="00472D65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Ելնելով վերոգրյալից՝ կարծում ենք, իրավական որոշակիության ապահովման տեսանկյունից առավել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նպատակահարմար է պահպանել Օրենքի եզրութաբանությունը։</w:t>
            </w:r>
          </w:p>
          <w:p w:rsidR="00472D65" w:rsidRPr="004B6D6A" w:rsidRDefault="00472D65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D65" w:rsidRPr="004B6D6A" w:rsidRDefault="00472D65" w:rsidP="004B6D6A">
            <w:pPr>
              <w:pStyle w:val="ListParagraph"/>
              <w:spacing w:after="0" w:line="360" w:lineRule="auto"/>
              <w:ind w:left="0" w:firstLine="7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  <w:p w:rsidR="00472D65" w:rsidRPr="004B6D6A" w:rsidRDefault="00472D65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են առաջարկվող բոլոր փոփոխությունները, ավելացվել է </w:t>
            </w:r>
            <w:r w:rsidR="00D56301" w:rsidRPr="004B6D6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>Ձև 2-ը</w:t>
            </w:r>
            <w:r w:rsidR="00D56301" w:rsidRPr="004B6D6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որտեղ առանձին ձևաչափով ամրագրված է իրականացված ծրագրերի </w:t>
            </w:r>
            <w:r w:rsidR="005023EA"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համար պատասխանատու ոլորտային գերատեսչությունները և ծրագրերի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>ծախսային ցուցանիշները։</w:t>
            </w:r>
          </w:p>
        </w:tc>
      </w:tr>
      <w:tr w:rsidR="00A83A48" w:rsidRPr="00B470CC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A48" w:rsidRPr="004B6D6A" w:rsidRDefault="00A83A48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4. Որոշման Հավելված N 2-ով սահմանվում է, որ հաշվետվությունը, ի թիվս այլնի, պետք է տեղեկատվություն ներառի նաև հաշվետու ժամանակահատվածում նույնացման հանձնաժողովի գումարած նիստերի և քննարկված հարցերի վերաբերյալ՝ ըստ Օրենքի 18-րդ հոդվածի 7-րդ մասի (նույնացման նիստի արդյունքում կայացվող որոշումներ) և 23-րդ հոդվածի 1-ին մասի (զոհերի աջակցության դադարեցման վերաբերյալ որոշումներ)։ </w:t>
            </w:r>
          </w:p>
          <w:p w:rsidR="00A83A48" w:rsidRPr="00047192" w:rsidRDefault="00A83A48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Նախագծով առաջարկվող փոփոխությունների դեպքում հաշվետվությունը, պարունակելով անհրաժեշտ տեղեկատվություն նույնացման նիստի արդյունքում կայացված որոշումների վերաբերյալ, չի անդրադառնալու զոհերի աջակցության դադարեցման վերաբերյալ որոշումներին։ Կարծում ենք, նման մոտեցումը լրացուցիչ հիմնավորման կարիք ունի։ </w:t>
            </w:r>
          </w:p>
        </w:tc>
        <w:tc>
          <w:tcPr>
            <w:tcW w:w="6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A48" w:rsidRPr="004B6D6A" w:rsidRDefault="00A83A48" w:rsidP="004B6D6A">
            <w:pPr>
              <w:pStyle w:val="ListParagraph"/>
              <w:spacing w:after="0" w:line="360" w:lineRule="auto"/>
              <w:ind w:left="0" w:firstLine="7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:rsidR="00A83A48" w:rsidRPr="004B6D6A" w:rsidRDefault="00A83A48" w:rsidP="004B6D6A">
            <w:pPr>
              <w:shd w:val="clear" w:color="auto" w:fill="FFFFFF"/>
              <w:spacing w:after="0" w:line="360" w:lineRule="auto"/>
              <w:ind w:right="15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ենթակետը խմագրվել է հետևյալ բովանդակությամբ՝ «1)</w:t>
            </w:r>
            <w:r w:rsidRPr="004B6D6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նույնացման հանձնաժողովի գումարած նիստերը և քննարկվող հարցերը` ըստ «Մարդկանց թրաֆիքինգի և շահագործման ենթարկված անձանց նույնացման և աջակցության մասին» Հայաստանի Հանրապետության օրենքի 18-րդ հոդվածի 7-րդ մասի և 23-րդ հոդվածի 1-ին մասի»։</w:t>
            </w:r>
          </w:p>
          <w:p w:rsidR="00A83A48" w:rsidRPr="004B6D6A" w:rsidRDefault="00A83A48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508B" w:rsidRPr="00B470CC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508B" w:rsidRPr="004B6D6A" w:rsidRDefault="00F2508B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5. Հարկ ենք համարում անդրադառնալ նաև ամփոփաթերթում տեղ գտած՝ «Ամքոր Հայաստան» բարեգործական հիմնադրամի նկատառմանը և դրա կապակցությամբ ներկայացված առարկություններին։</w:t>
            </w:r>
          </w:p>
          <w:p w:rsidR="00F2508B" w:rsidRPr="004B6D6A" w:rsidRDefault="00F2508B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Մասնավորապես, հիմնադրամի կողմից առաջարկվել է մշակել Հանձնաժողովի կողմից ուսումնասիրություններ և իրազեկման աշխատանքներ իրականացնելու, ինչպես նաև արտագնա նիստեր կազմակերպելու համար ընթացակարգ, ինչին ի պատասխան նշվել է, որ նման ընթացակարգը կմշակվի և կհաստատվի հանձնաժողովի կողմից հանձնաժողովի հերթական նիստում։ </w:t>
            </w:r>
          </w:p>
          <w:p w:rsidR="00F2508B" w:rsidRPr="004B6D6A" w:rsidRDefault="00F2508B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առնելով, որ Հանձնաժողովի կողմից ընդունվելու դեպքում նման փաստաթուղթը կկարգավորի Հանձնաժողովի աշխատակարգին վերաբերող հարցեր, իսկ Օրենքի 11-րդ հոդվածի 2-րդ մասի համաձայն՝ նույնացման հանձնաժողովի աշխատակարգը սահմանվում է ՀՀ կառավարության որոշմամբ՝ առաջարկում ենք Նախագծում ներառել դրույթ, որը կընձեռի հանձնաժողովին արտագնա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նիստերի անցկացման կարգը կամ առանձնահատկությունները սահմանելու լիազորությամբ։ </w:t>
            </w:r>
          </w:p>
          <w:p w:rsidR="00F2508B" w:rsidRPr="004B6D6A" w:rsidRDefault="00F2508B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508B" w:rsidRPr="00271506" w:rsidRDefault="00F2508B" w:rsidP="00271506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27150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lastRenderedPageBreak/>
              <w:t>Չի ընդունվել</w:t>
            </w:r>
          </w:p>
          <w:p w:rsidR="00214809" w:rsidRPr="004B6D6A" w:rsidRDefault="00214809" w:rsidP="0027150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«Ամքոր Հայաստան» բարեգործական հիմնադրամ</w:t>
            </w:r>
            <w:r w:rsidRPr="004B6D6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 նկատառման մեջ նշվում  է հետևյալը՝ «Առաջարկվում է Հայաստանի Հանրապետության կառավարության 2015 թվականի հոկտեմբերի 15-ի N  1200-ն որոշման նախագծի  N 1 հավելվածի 3-րդ կետի 9-րդ ենթակետում նշված «հանձնաժողովի կողմից թրաֆիքինգի զոհերի համար թիրախային  համարվող վայրեր՝ ուսումնասիրություններ և իրազեկման աշխատանքներ իրականցնելու, ինչպես նաև այդ վայրերում արտագնա նիստեր կազմակերպելու համար»,  մշակել հատուկ ընթացակարգ և պլան, ինչպես նաև տրամադրել բյուջե:»</w:t>
            </w:r>
          </w:p>
          <w:p w:rsidR="00F2508B" w:rsidRPr="00271506" w:rsidRDefault="00F2508B" w:rsidP="0027150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Ըստ էության</w:t>
            </w:r>
            <w:r w:rsidR="00214809"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հանձաժողովի աշխատակարգը կարգավորող սույն որոշման մեջ համապատասխան</w:t>
            </w:r>
            <w:r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գործընթացը կարգավորվող  ընթացակարգային դրույթ  արդեն իսկ սահմանել ենք </w:t>
            </w:r>
            <w:r w:rsidR="00214809"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հենց </w:t>
            </w:r>
            <w:r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նախագծի 1-ին կետի 1-ին ենթակետի ա. պարբերությամբ հետևյալ բովանդակությամբ՝ «</w:t>
            </w:r>
            <w:r w:rsidR="00214809"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9</w:t>
            </w:r>
            <w:r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) </w:t>
            </w:r>
            <w:r w:rsidR="00214809"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անհրաժեշտության դեպքում </w:t>
            </w:r>
            <w:r w:rsidR="00214809"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այցելություններ է կատարում թրաֆիքինգի զոհերի համար թիրախային  համարվող վայրեր՝ (հատուկ դպրոցներ, հոգեբուժարաններ, մանկատներ և այլ</w:t>
            </w:r>
            <w:r w:rsidR="00672DDB"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՝ թրաֆիքինգի դեպքերի հանդիպման տեսանկյունից ռիսկային համարվող </w:t>
            </w:r>
            <w:r w:rsidR="00214809"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հաստատություններում) ուսումնասիրություններ և իրազեկման աշխատանքներ իրականցնելու, ինչպես նաև այդ վայրերում արտագնա նիստեր կազմակերպելու համար։» Իսկ ինչ վերաբերում է ուսումնասիրություններ և իրազեկումներ անցակցնելու, արտագնա նիստեր իրականացնելու անհրաժեշտությանը, կամ դրա շրջանակում իրականացվող ընթացիկ աշխատանքների իրականացման համար «ընթացակարգ և պլան» մշակելուն, ապա անհրաժեշտ է նշել, որ այդ այցելությունները բխելու են կոնկրետ իրավիճակային խնդիրներից, ուստի, ընթացս դրանց կազ</w:t>
            </w:r>
            <w:r w:rsidR="002E2B8B"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մակերպման և իրականացման հարցերը</w:t>
            </w:r>
            <w:r w:rsidR="00214809" w:rsidRPr="002715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ենթակա են քննարկման և հաստատման հանձնաժողովի ընթացիկ աշխատանքային նիստերում։</w:t>
            </w:r>
          </w:p>
        </w:tc>
      </w:tr>
      <w:tr w:rsidR="00BD22F7" w:rsidRPr="00B470CC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2F7" w:rsidRPr="004B6D6A" w:rsidRDefault="00BD22F7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6. Նախագծի հիմնավորման առնչությամբ հարկ ենք համարում նշել, որ վերջինս պետք է պարունակի տեղեկատվություն Նախագծով կարգավորման ենթակա իրավահարաբերությունների առնչությամբ առկա իրավիճակի վերաբերյալ, հակիրճ անդրադառնա Որոշման կիրառման ընթացքում ծագած խնդիրներին կամ այլ հանգամանքներին, որոնցով պայմանավորված է Նախագծի մշակումը և ներկայացվող փոփոխությունների կատարումը։</w:t>
            </w:r>
          </w:p>
          <w:p w:rsidR="00BD22F7" w:rsidRPr="004B6D6A" w:rsidRDefault="00BD22F7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2F7" w:rsidRPr="004B6D6A" w:rsidRDefault="00BD22F7" w:rsidP="004B6D6A">
            <w:pPr>
              <w:pStyle w:val="ListParagraph"/>
              <w:spacing w:after="0" w:line="360" w:lineRule="auto"/>
              <w:ind w:left="0" w:firstLine="7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:rsidR="00BD22F7" w:rsidRPr="004B6D6A" w:rsidRDefault="00BD22F7" w:rsidP="004B6D6A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փոփոխությունները </w:t>
            </w:r>
            <w:r w:rsidR="00101716"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հիմնավորման մեջ 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</w:t>
            </w:r>
            <w:r w:rsidR="00345E95" w:rsidRPr="004B6D6A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4B6D6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3101BE" w:rsidRPr="00B470CC" w:rsidTr="005255E1">
        <w:trPr>
          <w:tblCellSpacing w:w="0" w:type="dxa"/>
          <w:jc w:val="center"/>
        </w:trPr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1BE" w:rsidRPr="004B6D6A" w:rsidRDefault="003101BE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7192">
              <w:rPr>
                <w:rFonts w:ascii="GHEA Grapalat" w:hAnsi="GHEA Grapalat"/>
                <w:sz w:val="24"/>
                <w:szCs w:val="24"/>
                <w:lang w:val="hy-AM"/>
              </w:rPr>
              <w:t>7. Նախագծի 1-ին կետի 1-ին ենթակետի բ. պարբերությունում «հետևյալ բովանդակությամբ» բառերն անհրաժեշտ է հանել՝ նկատի ունենալով «Նորմատիվ իրավական ակտերի մասին» օրենքի 33-րդ հոդվածի դրույթները:</w:t>
            </w:r>
          </w:p>
          <w:p w:rsidR="003101BE" w:rsidRPr="00047192" w:rsidRDefault="003101BE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7192">
              <w:rPr>
                <w:rFonts w:ascii="GHEA Grapalat" w:hAnsi="GHEA Grapalat"/>
                <w:sz w:val="24"/>
                <w:szCs w:val="24"/>
                <w:lang w:val="hy-AM"/>
              </w:rPr>
              <w:t>Նույն դիտողությունը վերաբերում է նաև 1-ին կետի 1-ին ենթակետի գ., դ. և ե. պարբերություններին:</w:t>
            </w:r>
          </w:p>
          <w:p w:rsidR="003101BE" w:rsidRPr="004B6D6A" w:rsidRDefault="003101BE" w:rsidP="0004719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1BE" w:rsidRPr="004B6D6A" w:rsidRDefault="003101BE" w:rsidP="004B6D6A">
            <w:pPr>
              <w:pStyle w:val="ListParagraph"/>
              <w:spacing w:after="0" w:line="360" w:lineRule="auto"/>
              <w:ind w:left="0" w:firstLine="7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6D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:rsidR="003101BE" w:rsidRPr="00271506" w:rsidRDefault="003101BE" w:rsidP="0027150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7150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կետերը խմբագրվել են։</w:t>
            </w:r>
          </w:p>
        </w:tc>
      </w:tr>
    </w:tbl>
    <w:p w:rsidR="002E1423" w:rsidRPr="004B6D6A" w:rsidRDefault="002E1423" w:rsidP="004B6D6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E1423" w:rsidRPr="004B6D6A" w:rsidSect="00222B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DD4"/>
    <w:multiLevelType w:val="hybridMultilevel"/>
    <w:tmpl w:val="DB08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B47"/>
    <w:multiLevelType w:val="hybridMultilevel"/>
    <w:tmpl w:val="9192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60D9"/>
    <w:multiLevelType w:val="hybridMultilevel"/>
    <w:tmpl w:val="9AD2D710"/>
    <w:lvl w:ilvl="0" w:tplc="FDF0653E">
      <w:start w:val="1"/>
      <w:numFmt w:val="decimal"/>
      <w:lvlText w:val="%1."/>
      <w:lvlJc w:val="left"/>
      <w:pPr>
        <w:ind w:left="840" w:hanging="765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C194899"/>
    <w:multiLevelType w:val="hybridMultilevel"/>
    <w:tmpl w:val="31FC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4ABA"/>
    <w:multiLevelType w:val="hybridMultilevel"/>
    <w:tmpl w:val="31FC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5460"/>
    <w:multiLevelType w:val="hybridMultilevel"/>
    <w:tmpl w:val="17E27984"/>
    <w:lvl w:ilvl="0" w:tplc="0CFEC174">
      <w:start w:val="1"/>
      <w:numFmt w:val="decimal"/>
      <w:lvlText w:val="%1."/>
      <w:lvlJc w:val="left"/>
      <w:pPr>
        <w:ind w:left="450" w:hanging="39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B4677D"/>
    <w:multiLevelType w:val="hybridMultilevel"/>
    <w:tmpl w:val="DB08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15D8"/>
    <w:multiLevelType w:val="hybridMultilevel"/>
    <w:tmpl w:val="DB08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C24C7"/>
    <w:multiLevelType w:val="hybridMultilevel"/>
    <w:tmpl w:val="DB08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609"/>
    <w:multiLevelType w:val="hybridMultilevel"/>
    <w:tmpl w:val="B608E006"/>
    <w:lvl w:ilvl="0" w:tplc="0A96810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E73B58"/>
    <w:multiLevelType w:val="hybridMultilevel"/>
    <w:tmpl w:val="DB08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6DC9"/>
    <w:multiLevelType w:val="hybridMultilevel"/>
    <w:tmpl w:val="12489BB6"/>
    <w:lvl w:ilvl="0" w:tplc="FDF0653E">
      <w:start w:val="1"/>
      <w:numFmt w:val="decimal"/>
      <w:lvlText w:val="%1."/>
      <w:lvlJc w:val="left"/>
      <w:pPr>
        <w:ind w:left="890" w:hanging="765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5E234CC"/>
    <w:multiLevelType w:val="hybridMultilevel"/>
    <w:tmpl w:val="801E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F0A7B"/>
    <w:multiLevelType w:val="hybridMultilevel"/>
    <w:tmpl w:val="DB08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D59"/>
    <w:multiLevelType w:val="hybridMultilevel"/>
    <w:tmpl w:val="C100BA34"/>
    <w:lvl w:ilvl="0" w:tplc="84CAB7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3534D9"/>
    <w:multiLevelType w:val="hybridMultilevel"/>
    <w:tmpl w:val="28F2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A03E8"/>
    <w:multiLevelType w:val="hybridMultilevel"/>
    <w:tmpl w:val="24B69C5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F4144F8"/>
    <w:multiLevelType w:val="hybridMultilevel"/>
    <w:tmpl w:val="2D3A540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0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B"/>
    <w:rsid w:val="00025554"/>
    <w:rsid w:val="000327F3"/>
    <w:rsid w:val="00047192"/>
    <w:rsid w:val="000516FA"/>
    <w:rsid w:val="00052D9E"/>
    <w:rsid w:val="000621FC"/>
    <w:rsid w:val="00076501"/>
    <w:rsid w:val="00081526"/>
    <w:rsid w:val="00087B88"/>
    <w:rsid w:val="000E2CF7"/>
    <w:rsid w:val="000E5DDF"/>
    <w:rsid w:val="00101716"/>
    <w:rsid w:val="001035E1"/>
    <w:rsid w:val="00110F71"/>
    <w:rsid w:val="00156B2F"/>
    <w:rsid w:val="00185973"/>
    <w:rsid w:val="001866B1"/>
    <w:rsid w:val="001A73B2"/>
    <w:rsid w:val="001B6635"/>
    <w:rsid w:val="001B7A2F"/>
    <w:rsid w:val="001E1AC8"/>
    <w:rsid w:val="00214809"/>
    <w:rsid w:val="00222B08"/>
    <w:rsid w:val="00251652"/>
    <w:rsid w:val="00255C01"/>
    <w:rsid w:val="00271506"/>
    <w:rsid w:val="002C48C6"/>
    <w:rsid w:val="002D02C7"/>
    <w:rsid w:val="002E1423"/>
    <w:rsid w:val="002E2B8B"/>
    <w:rsid w:val="002F4388"/>
    <w:rsid w:val="003101BE"/>
    <w:rsid w:val="00345E95"/>
    <w:rsid w:val="003F7F27"/>
    <w:rsid w:val="00461C0F"/>
    <w:rsid w:val="00472D65"/>
    <w:rsid w:val="004B6D6A"/>
    <w:rsid w:val="005023EA"/>
    <w:rsid w:val="0050303A"/>
    <w:rsid w:val="00511832"/>
    <w:rsid w:val="0052498B"/>
    <w:rsid w:val="005255E1"/>
    <w:rsid w:val="005401B7"/>
    <w:rsid w:val="005A1DD7"/>
    <w:rsid w:val="005F3030"/>
    <w:rsid w:val="006061C3"/>
    <w:rsid w:val="00642AE2"/>
    <w:rsid w:val="006628F4"/>
    <w:rsid w:val="00672DDB"/>
    <w:rsid w:val="00694521"/>
    <w:rsid w:val="00697E87"/>
    <w:rsid w:val="006C19A8"/>
    <w:rsid w:val="006D2F9B"/>
    <w:rsid w:val="007574A2"/>
    <w:rsid w:val="00776B1E"/>
    <w:rsid w:val="00787F39"/>
    <w:rsid w:val="007A7066"/>
    <w:rsid w:val="007B09DE"/>
    <w:rsid w:val="007B3CCB"/>
    <w:rsid w:val="007E5173"/>
    <w:rsid w:val="007E5209"/>
    <w:rsid w:val="007F5995"/>
    <w:rsid w:val="008328D0"/>
    <w:rsid w:val="00835E8F"/>
    <w:rsid w:val="00843300"/>
    <w:rsid w:val="00860D09"/>
    <w:rsid w:val="00872E04"/>
    <w:rsid w:val="00885001"/>
    <w:rsid w:val="008B4D5F"/>
    <w:rsid w:val="008D294E"/>
    <w:rsid w:val="008F65B6"/>
    <w:rsid w:val="00903184"/>
    <w:rsid w:val="00932657"/>
    <w:rsid w:val="009515A0"/>
    <w:rsid w:val="009B7B44"/>
    <w:rsid w:val="009C2047"/>
    <w:rsid w:val="009E2B95"/>
    <w:rsid w:val="009E38CE"/>
    <w:rsid w:val="00A156CE"/>
    <w:rsid w:val="00A16738"/>
    <w:rsid w:val="00A359CE"/>
    <w:rsid w:val="00A83A48"/>
    <w:rsid w:val="00A9360B"/>
    <w:rsid w:val="00AA7271"/>
    <w:rsid w:val="00AC052D"/>
    <w:rsid w:val="00B26E06"/>
    <w:rsid w:val="00B40A0A"/>
    <w:rsid w:val="00B470CC"/>
    <w:rsid w:val="00B901C4"/>
    <w:rsid w:val="00BD22F7"/>
    <w:rsid w:val="00BD2639"/>
    <w:rsid w:val="00C47ACC"/>
    <w:rsid w:val="00C654F0"/>
    <w:rsid w:val="00CB6BCA"/>
    <w:rsid w:val="00D16708"/>
    <w:rsid w:val="00D264B9"/>
    <w:rsid w:val="00D31A5D"/>
    <w:rsid w:val="00D32699"/>
    <w:rsid w:val="00D46943"/>
    <w:rsid w:val="00D52651"/>
    <w:rsid w:val="00D56301"/>
    <w:rsid w:val="00D702BD"/>
    <w:rsid w:val="00DA4650"/>
    <w:rsid w:val="00DB6916"/>
    <w:rsid w:val="00DF2572"/>
    <w:rsid w:val="00DF6427"/>
    <w:rsid w:val="00E00B81"/>
    <w:rsid w:val="00E0182E"/>
    <w:rsid w:val="00E13E45"/>
    <w:rsid w:val="00E4575D"/>
    <w:rsid w:val="00E50671"/>
    <w:rsid w:val="00E961DC"/>
    <w:rsid w:val="00F2508B"/>
    <w:rsid w:val="00F376F9"/>
    <w:rsid w:val="00F5602D"/>
    <w:rsid w:val="00F66FA6"/>
    <w:rsid w:val="00F8066D"/>
    <w:rsid w:val="00F97604"/>
    <w:rsid w:val="00FA0892"/>
    <w:rsid w:val="00FC2A67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DEF8"/>
  <w15:chartTrackingRefBased/>
  <w15:docId w15:val="{D7897CED-980C-4A06-B056-9A88F02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1B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635"/>
    <w:rPr>
      <w:b/>
      <w:bCs/>
    </w:rPr>
  </w:style>
  <w:style w:type="paragraph" w:customStyle="1" w:styleId="mechtex">
    <w:name w:val="mechtex"/>
    <w:basedOn w:val="Normal"/>
    <w:link w:val="mechtexChar"/>
    <w:rsid w:val="001B6635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x-none" w:eastAsia="x-none"/>
    </w:rPr>
  </w:style>
  <w:style w:type="character" w:customStyle="1" w:styleId="mechtexChar">
    <w:name w:val="mechtex Char"/>
    <w:link w:val="mechtex"/>
    <w:locked/>
    <w:rsid w:val="001B6635"/>
    <w:rPr>
      <w:rFonts w:ascii="Arial Armenian" w:eastAsia="Times New Roman" w:hAnsi="Arial Armenian" w:cs="Times New Roman"/>
      <w:szCs w:val="24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List Paragraph-ExecSummary,Paragraphe de liste PBLH,Bullets,Абзац списка"/>
    <w:basedOn w:val="Normal"/>
    <w:link w:val="ListParagraphChar"/>
    <w:uiPriority w:val="34"/>
    <w:qFormat/>
    <w:rsid w:val="001B66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Paragraphe de liste PBLH Char"/>
    <w:link w:val="ListParagraph"/>
    <w:uiPriority w:val="34"/>
    <w:rsid w:val="001B66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94E"/>
    <w:rPr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E457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20</Pages>
  <Words>3271</Words>
  <Characters>18649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Sophie.Bostanchyan</dc:creator>
  <cp:keywords>https://mul2.gov.am/tasks/466744/oneclick/ampopatert 23.07.21.docx?token=ed6a75e5ea3ac74cb54ec855d67936ce</cp:keywords>
  <dc:description/>
  <cp:lastModifiedBy>Margarita Margaryan</cp:lastModifiedBy>
  <cp:revision>100</cp:revision>
  <cp:lastPrinted>2021-06-11T12:20:00Z</cp:lastPrinted>
  <dcterms:created xsi:type="dcterms:W3CDTF">2021-05-06T06:54:00Z</dcterms:created>
  <dcterms:modified xsi:type="dcterms:W3CDTF">2021-07-26T12:00:00Z</dcterms:modified>
</cp:coreProperties>
</file>