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F0A" w:rsidRPr="00CC53B8" w:rsidRDefault="00F20F0A" w:rsidP="00E06D83">
      <w:pPr>
        <w:spacing w:line="24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C53B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6C62AD" w:rsidRPr="00915DD8" w:rsidRDefault="00AD6B8E" w:rsidP="00E06D83">
      <w:pPr>
        <w:spacing w:line="240" w:lineRule="auto"/>
        <w:ind w:firstLine="426"/>
        <w:jc w:val="center"/>
        <w:rPr>
          <w:lang w:val="hy-AM"/>
        </w:rPr>
      </w:pPr>
      <w:r w:rsidRPr="00AD6B8E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2017 ԹՎԱԿԱՆԻ ՍԵՊՏԵՄԲԵՐԻ 28-Ի N1371-Ն ՈՐՈՇՄԱՆ ՄԵՋ ՓՈՓՈԽՈՒԹՅՈՒՆՆԵՐ ԵՎ ԼՐԱՑՈՒՄՆԵՐ ԿԱՏԱՐԵԼՈՒ ՄԱՍԻՆ» ՀՀ ԿԱՌԱՎԱՐՈՒԹՅԱՆ </w:t>
      </w:r>
      <w:r w:rsidR="00915DD8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 w:rsidR="00F20F0A" w:rsidRPr="00CC53B8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319"/>
        <w:gridCol w:w="5631"/>
      </w:tblGrid>
      <w:tr w:rsidR="007B4B96" w:rsidRPr="007B4B96" w:rsidTr="006B53B6">
        <w:tc>
          <w:tcPr>
            <w:tcW w:w="7319" w:type="dxa"/>
            <w:vMerge w:val="restart"/>
            <w:shd w:val="clear" w:color="auto" w:fill="BFBFBF" w:themeFill="background1" w:themeFillShade="BF"/>
          </w:tcPr>
          <w:p w:rsidR="007B4B96" w:rsidRPr="007B4B96" w:rsidRDefault="007B4B96" w:rsidP="007B4B96">
            <w:pPr>
              <w:ind w:left="720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B4B96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>1. ՀՀ</w:t>
            </w: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="00521BEC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արդարադատության</w:t>
            </w: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7B4B96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>նախարարություն</w:t>
            </w:r>
          </w:p>
          <w:p w:rsidR="007B4B96" w:rsidRPr="007B4B96" w:rsidRDefault="007B4B96" w:rsidP="007B4B96">
            <w:pPr>
              <w:tabs>
                <w:tab w:val="left" w:pos="2850"/>
              </w:tabs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5631" w:type="dxa"/>
            <w:shd w:val="clear" w:color="auto" w:fill="BFBFBF" w:themeFill="background1" w:themeFillShade="BF"/>
          </w:tcPr>
          <w:p w:rsidR="007B4B96" w:rsidRPr="007B4B96" w:rsidRDefault="00A038B2" w:rsidP="00A038B2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09</w:t>
            </w:r>
            <w:r w:rsidR="007B4B96"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</w:t>
            </w:r>
            <w:r w:rsidR="007B4B96"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.2021թ.</w:t>
            </w:r>
          </w:p>
        </w:tc>
      </w:tr>
      <w:tr w:rsidR="007B4B96" w:rsidRPr="007B4B96" w:rsidTr="006B53B6">
        <w:tc>
          <w:tcPr>
            <w:tcW w:w="7319" w:type="dxa"/>
            <w:vMerge/>
            <w:shd w:val="clear" w:color="auto" w:fill="BFBFBF" w:themeFill="background1" w:themeFillShade="BF"/>
          </w:tcPr>
          <w:p w:rsidR="007B4B96" w:rsidRPr="007B4B96" w:rsidRDefault="007B4B96" w:rsidP="007B4B96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5631" w:type="dxa"/>
            <w:shd w:val="clear" w:color="auto" w:fill="BFBFBF" w:themeFill="background1" w:themeFillShade="BF"/>
          </w:tcPr>
          <w:p w:rsidR="007B4B96" w:rsidRPr="007B4B96" w:rsidRDefault="007B4B96" w:rsidP="00A038B2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N0</w:t>
            </w:r>
            <w:r w:rsidR="00A038B2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</w:t>
            </w: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/</w:t>
            </w:r>
            <w:r w:rsidR="00A038B2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27․1/20145</w:t>
            </w: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-2021</w:t>
            </w:r>
          </w:p>
        </w:tc>
      </w:tr>
      <w:tr w:rsidR="007B4B96" w:rsidRPr="007B4B96" w:rsidTr="006B53B6">
        <w:tc>
          <w:tcPr>
            <w:tcW w:w="7319" w:type="dxa"/>
          </w:tcPr>
          <w:p w:rsidR="007B4B96" w:rsidRPr="002F01F2" w:rsidRDefault="00ED5FCB" w:rsidP="00ED5FCB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</w:t>
            </w:r>
            <w:r>
              <w:rPr>
                <w:rFonts w:ascii="Cambria Math" w:eastAsia="Times New Roman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8D22F8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«Հայաստանի Հանրապետության կառավարության 2017 թվականի սեպտեմբերի 28-ի N 1371-Ն որոշման մեջ փոփոխություններ և լրացում կատարելու մասին» Հայաստանի Հանրապետության կառավարության որոշման նախագծի  </w:t>
            </w:r>
            <w:proofErr w:type="spellStart"/>
            <w:r w:rsidRPr="008D22F8">
              <w:rPr>
                <w:rFonts w:ascii="GHEA Grapalat" w:hAnsi="GHEA Grapalat"/>
                <w:sz w:val="20"/>
                <w:szCs w:val="20"/>
                <w:lang w:val="hy-AM" w:eastAsia="ru-RU"/>
              </w:rPr>
              <w:t>վերնագրից</w:t>
            </w:r>
            <w:proofErr w:type="spellEnd"/>
            <w:r w:rsidRPr="008D22F8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առաջ «2020» թիվն անհրաժեշտ է փոխարինել  «2021» թվով:</w:t>
            </w:r>
          </w:p>
        </w:tc>
        <w:tc>
          <w:tcPr>
            <w:tcW w:w="5631" w:type="dxa"/>
          </w:tcPr>
          <w:p w:rsidR="007B4B96" w:rsidRPr="007B4B96" w:rsidRDefault="000E52FF" w:rsidP="007B4B96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Ընդունվել է</w:t>
            </w:r>
          </w:p>
        </w:tc>
      </w:tr>
      <w:tr w:rsidR="00ED5FCB" w:rsidRPr="008D5613" w:rsidTr="006B53B6">
        <w:tc>
          <w:tcPr>
            <w:tcW w:w="7319" w:type="dxa"/>
          </w:tcPr>
          <w:p w:rsidR="006F0971" w:rsidRPr="00CF1F44" w:rsidRDefault="006F0971" w:rsidP="00CF1F44">
            <w:pPr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F0971">
              <w:rPr>
                <w:rFonts w:ascii="GHEA Grapalat" w:hAnsi="GHEA Grapalat"/>
                <w:sz w:val="20"/>
                <w:szCs w:val="20"/>
                <w:lang w:val="hy-AM" w:eastAsia="ru-RU"/>
              </w:rPr>
              <w:t>2</w:t>
            </w:r>
            <w:r w:rsidRPr="00CF1F44">
              <w:rPr>
                <w:rFonts w:ascii="Cambria Math" w:hAnsi="Cambria Math" w:cs="Cambria Math"/>
                <w:sz w:val="20"/>
                <w:szCs w:val="20"/>
                <w:lang w:val="hy-AM" w:eastAsia="ru-RU"/>
              </w:rPr>
              <w:t>․</w:t>
            </w:r>
            <w:r w:rsidRPr="006F0971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 Միաժամանակ </w:t>
            </w:r>
            <w:r w:rsidR="00E338DE">
              <w:rPr>
                <w:rFonts w:ascii="GHEA Grapalat" w:hAnsi="GHEA Grapalat"/>
                <w:sz w:val="20"/>
                <w:szCs w:val="20"/>
                <w:lang w:val="hy-AM" w:eastAsia="ru-RU"/>
              </w:rPr>
              <w:t>ն</w:t>
            </w:r>
            <w:r w:rsidRPr="006F0971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ախագծի 1-ին կետի 1-ին ենթակետով </w:t>
            </w:r>
            <w:proofErr w:type="spellStart"/>
            <w:r w:rsidRPr="006F0971">
              <w:rPr>
                <w:rFonts w:ascii="GHEA Grapalat" w:hAnsi="GHEA Grapalat"/>
                <w:sz w:val="20"/>
                <w:szCs w:val="20"/>
                <w:lang w:val="hy-AM" w:eastAsia="ru-RU"/>
              </w:rPr>
              <w:t>խմբագրվող</w:t>
            </w:r>
            <w:proofErr w:type="spellEnd"/>
            <w:r w:rsidRPr="006F0971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հավելվածի 3-րդ կետի 4-րդ ենթակետում չհամարակալված </w:t>
            </w:r>
            <w:proofErr w:type="spellStart"/>
            <w:r w:rsidRPr="006F0971">
              <w:rPr>
                <w:rFonts w:ascii="GHEA Grapalat" w:hAnsi="GHEA Grapalat"/>
                <w:sz w:val="20"/>
                <w:szCs w:val="20"/>
                <w:lang w:val="hy-AM" w:eastAsia="ru-RU"/>
              </w:rPr>
              <w:t>պարբերությունն</w:t>
            </w:r>
            <w:proofErr w:type="spellEnd"/>
            <w:r w:rsidRPr="006F0971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անհրաժեշտ է համարակալել՝ նկատի ունենալով «Նորմատիվ իրավական ակտերի մասին» օրենքի 14-րդ հոդվածի 5-րդ մասի դրույթները, որոնց համաձայն՝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</w:t>
            </w:r>
            <w:proofErr w:type="spellStart"/>
            <w:r w:rsidRPr="006F0971">
              <w:rPr>
                <w:rFonts w:ascii="GHEA Grapalat" w:hAnsi="GHEA Grapalat"/>
                <w:sz w:val="20"/>
                <w:szCs w:val="20"/>
                <w:lang w:val="hy-AM" w:eastAsia="ru-RU"/>
              </w:rPr>
              <w:t>միջակետով</w:t>
            </w:r>
            <w:proofErr w:type="spellEnd"/>
            <w:r w:rsidRPr="006F0971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: Ենթակետերը համարակալվում են արաբական թվանշաններով, որոնք տեքստից բաժանվում են </w:t>
            </w:r>
            <w:proofErr w:type="spellStart"/>
            <w:r w:rsidRPr="006F0971">
              <w:rPr>
                <w:rFonts w:ascii="GHEA Grapalat" w:hAnsi="GHEA Grapalat"/>
                <w:sz w:val="20"/>
                <w:szCs w:val="20"/>
                <w:lang w:val="hy-AM" w:eastAsia="ru-RU"/>
              </w:rPr>
              <w:t>փակագծով</w:t>
            </w:r>
            <w:proofErr w:type="spellEnd"/>
            <w:r w:rsidRPr="006F0971">
              <w:rPr>
                <w:rFonts w:ascii="GHEA Grapalat" w:hAnsi="GHEA Grapalat"/>
                <w:sz w:val="20"/>
                <w:szCs w:val="20"/>
                <w:lang w:val="hy-AM" w:eastAsia="ru-RU"/>
              </w:rPr>
              <w:t>: Պարբերությունները համարակալվում են հայերենի այբուբենի</w:t>
            </w:r>
            <w:r w:rsidRPr="00CF1F44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CF1F44">
              <w:rPr>
                <w:rFonts w:ascii="GHEA Grapalat" w:hAnsi="GHEA Grapalat"/>
                <w:sz w:val="20"/>
                <w:szCs w:val="20"/>
                <w:lang w:val="hy-AM" w:eastAsia="ru-RU"/>
              </w:rPr>
              <w:t>փոքրատառերով</w:t>
            </w:r>
            <w:proofErr w:type="spellEnd"/>
            <w:r w:rsidRPr="00CF1F44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, որոնք տեքստից բաժանվում են </w:t>
            </w:r>
            <w:proofErr w:type="spellStart"/>
            <w:r w:rsidRPr="00CF1F44">
              <w:rPr>
                <w:rFonts w:ascii="GHEA Grapalat" w:hAnsi="GHEA Grapalat"/>
                <w:sz w:val="20"/>
                <w:szCs w:val="20"/>
                <w:lang w:val="hy-AM" w:eastAsia="ru-RU"/>
              </w:rPr>
              <w:t>միջակետով</w:t>
            </w:r>
            <w:proofErr w:type="spellEnd"/>
            <w:r w:rsidRPr="00CF1F44">
              <w:rPr>
                <w:rFonts w:ascii="GHEA Grapalat" w:hAnsi="GHEA Grapalat"/>
                <w:sz w:val="20"/>
                <w:szCs w:val="20"/>
                <w:lang w:val="hy-AM" w:eastAsia="ru-RU"/>
              </w:rPr>
              <w:t>:</w:t>
            </w:r>
          </w:p>
          <w:p w:rsidR="00ED5FCB" w:rsidRPr="00CF1F44" w:rsidRDefault="00ED5FCB" w:rsidP="00285C66">
            <w:pPr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31" w:type="dxa"/>
          </w:tcPr>
          <w:p w:rsidR="00ED5FCB" w:rsidRDefault="00CF1F44" w:rsidP="007B4B96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Ընդունվել է</w:t>
            </w:r>
          </w:p>
          <w:p w:rsidR="00F46852" w:rsidRDefault="00F46852" w:rsidP="00402B3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Նախագծի 1-ին կետով նախատեսված՝</w:t>
            </w:r>
            <w:r w:rsidRPr="008D22F8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Հայաստանի Հանրապետության կառավարության 2017 թվականի սեպտեմբերի 28-ի N 1371-Ն որոշման </w:t>
            </w:r>
            <w:r w:rsidR="00402B33">
              <w:rPr>
                <w:rFonts w:ascii="GHEA Grapalat" w:hAnsi="GHEA Grapalat"/>
                <w:sz w:val="20"/>
                <w:szCs w:val="20"/>
                <w:lang w:val="hy-AM" w:eastAsia="ru-RU"/>
              </w:rPr>
              <w:t>հավելվածի 3-րդ կետի 4-րդ ենթակետում նախատեսված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փոփոխության </w:t>
            </w:r>
            <w:r w:rsidR="00402B3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տեքստի երկրորդ պարբերությունը սահմանվել է որպես նույն կետի 4․1-ին ենթակետ։ </w:t>
            </w:r>
          </w:p>
        </w:tc>
      </w:tr>
      <w:tr w:rsidR="007B4B96" w:rsidRPr="007B4B96" w:rsidTr="006B53B6">
        <w:tc>
          <w:tcPr>
            <w:tcW w:w="7319" w:type="dxa"/>
            <w:vMerge w:val="restart"/>
            <w:shd w:val="clear" w:color="auto" w:fill="BFBFBF" w:themeFill="background1" w:themeFillShade="BF"/>
          </w:tcPr>
          <w:p w:rsidR="007B4B96" w:rsidRPr="007B4B96" w:rsidRDefault="007B4B96" w:rsidP="007B4B96">
            <w:pPr>
              <w:ind w:left="72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2. ՀՀ ֆինանսների նախարարություն</w:t>
            </w:r>
          </w:p>
        </w:tc>
        <w:tc>
          <w:tcPr>
            <w:tcW w:w="5631" w:type="dxa"/>
            <w:shd w:val="clear" w:color="auto" w:fill="BFBFBF" w:themeFill="background1" w:themeFillShade="BF"/>
          </w:tcPr>
          <w:p w:rsidR="007B4B96" w:rsidRPr="007B4B96" w:rsidRDefault="00A038B2" w:rsidP="007B4B96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01.07</w:t>
            </w:r>
            <w:r w:rsidR="007B4B96"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.2021թ.</w:t>
            </w:r>
          </w:p>
        </w:tc>
      </w:tr>
      <w:tr w:rsidR="007B4B96" w:rsidRPr="007B4B96" w:rsidTr="006B53B6">
        <w:tc>
          <w:tcPr>
            <w:tcW w:w="7319" w:type="dxa"/>
            <w:vMerge/>
            <w:shd w:val="clear" w:color="auto" w:fill="BFBFBF" w:themeFill="background1" w:themeFillShade="BF"/>
          </w:tcPr>
          <w:p w:rsidR="007B4B96" w:rsidRPr="007B4B96" w:rsidRDefault="007B4B96" w:rsidP="007B4B96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5631" w:type="dxa"/>
            <w:shd w:val="clear" w:color="auto" w:fill="BFBFBF" w:themeFill="background1" w:themeFillShade="BF"/>
          </w:tcPr>
          <w:p w:rsidR="007B4B96" w:rsidRPr="007B4B96" w:rsidRDefault="007B4B96" w:rsidP="00A038B2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N01/2-3/</w:t>
            </w:r>
            <w:r w:rsidR="00A038B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10507</w:t>
            </w: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-2021</w:t>
            </w:r>
          </w:p>
        </w:tc>
      </w:tr>
      <w:tr w:rsidR="007B4B96" w:rsidRPr="008D5613" w:rsidTr="006B53B6">
        <w:tc>
          <w:tcPr>
            <w:tcW w:w="7319" w:type="dxa"/>
          </w:tcPr>
          <w:p w:rsidR="004708C9" w:rsidRPr="004708C9" w:rsidRDefault="004708C9" w:rsidP="004708C9">
            <w:pPr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Նախագծով 1-ին կետի 1-ին ենթակետով լրացվող 4-րդ կետի երկրորդ պարբերությամբ առաջարկվում է սահմանել, որ եկամտային հարկի գումարների փոխհատուցման նպատակով անձինք հարկային մարմին են ներկայացնում հաշվետու տարվա ընթացքում անձանց կողմից ռեզիդենտ հանդիսացող նույն բաժնետիրական ընկերության կանոնադրական 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կապիտալի ավե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 xml:space="preserve">լացման արդյունքում Հայաստանի կենտրոնական </w:t>
            </w:r>
            <w:proofErr w:type="spellStart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դեպոզիտարիայում</w:t>
            </w:r>
            <w:proofErr w:type="spellEnd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բացված սեփա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կան արժեթղթերի հաշվում բաժնետոմսերի ընդհանուր անվանական արժեքի (բաժնետոմ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սերի քանակի և մեկ բաժնետոմսի անվանական արժեքի արտադրյալ) ավելացման վերա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բեր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 xml:space="preserve">յալ Հայաստանի կենտրոնական </w:t>
            </w:r>
            <w:proofErr w:type="spellStart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դեպոզիտարիայի</w:t>
            </w:r>
            <w:proofErr w:type="spellEnd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կողմից տրամադրված տեղեկանք` համա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ձայն նույն կարգի թիվ 3</w:t>
            </w:r>
            <w:r w:rsidRPr="004708C9">
              <w:rPr>
                <w:rFonts w:ascii="Cambria Math" w:hAnsi="Cambria Math" w:cs="Cambria Math"/>
                <w:sz w:val="20"/>
                <w:szCs w:val="20"/>
                <w:lang w:val="hy-AM" w:eastAsia="ru-RU"/>
              </w:rPr>
              <w:t>․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1 </w:t>
            </w:r>
            <w:proofErr w:type="spellStart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ձևի</w:t>
            </w:r>
            <w:proofErr w:type="spellEnd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: Միաժամանակ, նշյալ տեղեկանքի շրջանակում բացա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հայտ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 xml:space="preserve">վում է միայն Հայաստանի կենտրոնական </w:t>
            </w:r>
            <w:proofErr w:type="spellStart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դեպո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զի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տա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րիա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յում</w:t>
            </w:r>
            <w:proofErr w:type="spellEnd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անձի անու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նով բացված սեփա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կան արժեթղթերի հաշվին տվյալ ժամա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նա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կա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հատ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վածի ընթաց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քում կազ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մա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կերպության կող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մից թողարկված բաժնետոմսերի ընդհանուր անվա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նա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կան արժեքով ավե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լաց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ման վերաբերյալ տեղե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կատվություն՝ առանց այդ բաժնետոմսերի ընդհանուր անվա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նա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կան արժեքի ավե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լաց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ման հիմքերը բացահայտելու: Այլ կերպ ասած՝ տեղեկանքից հնարավոր չէ հասկանալ՝ բաժ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նե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տոմ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սերի ընդհանուր անվանական արժեքի ավելացումը տեղի է ունեցել ընկերության կանոնադրական կապիտալում դրամային ներդրման, թե այլ տեսակի՝ օրինակ, շարժական կամ անշարժ գույքի ներդրման արդյունքում:</w:t>
            </w:r>
          </w:p>
          <w:p w:rsidR="004708C9" w:rsidRPr="004708C9" w:rsidRDefault="004708C9" w:rsidP="004708C9">
            <w:pPr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Այդ կապակցությամբ, հարկ ենք համարում ընդգծել, որ ՀՀ հարկային օրենսգրքի (այսու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հետ՝ Օրենսգիրք) 159-րդ հոդ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վածի 4-րդ մասի համաձայն՝ շահաբաժինների տեսքով ստաց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վող եկամուտները դրանց ստաց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ման հար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կային տարվա ընթացքում շահա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բա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ժին վճարող՝ Հայաս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տանի Հանրա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պե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տու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թյան ռեզի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դենտ նույն կազմակերպության կանո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նադրա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 xml:space="preserve">կան կամ </w:t>
            </w:r>
            <w:proofErr w:type="spellStart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բաժնե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հավաք</w:t>
            </w:r>
            <w:proofErr w:type="spellEnd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կապի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տա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լում օրենս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դրու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թյամբ սահմանված կարգով ներդ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նելու դեպ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քում ներդր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ված գումարը` ներդր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 xml:space="preserve">ման չափով, բայց ոչ ավելի, քան </w:t>
            </w:r>
            <w:proofErr w:type="spellStart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շահա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բա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ժին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ներից</w:t>
            </w:r>
            <w:proofErr w:type="spellEnd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պետա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կան բյուջե վճարված հարկի գումար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ները, պետական բյուջեից փոխ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հա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տուց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վում է Կառա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վա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րու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թյան սահմանած կարգով:</w:t>
            </w:r>
          </w:p>
          <w:p w:rsidR="004708C9" w:rsidRPr="004708C9" w:rsidRDefault="004708C9" w:rsidP="004708C9">
            <w:pPr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Հաշվի առնելով վերոգրյալը՝ հայտնում ենք, որ Օրենսգրքի 159-րդ հոդվածի 4-րդ մասի լիարժեք կիրառությունն ապահովելու համար անհրաժեշտ է, որպեսզի ՀՀ ՊԵԿ ներկայացվող տեղեկատվության մեջ բացահայտվի նաև բաժնետոմսերի ընդհանուր անվա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նա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կան արժեքի ավելացման հիմքը:</w:t>
            </w:r>
          </w:p>
          <w:p w:rsidR="004708C9" w:rsidRPr="004708C9" w:rsidRDefault="004708C9" w:rsidP="004708C9">
            <w:pPr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Ամփոփելով վերոգրյալը՝ առաջարկում ենք քննարկել նախագծով հաստատվող տեղե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 xml:space="preserve">կանքի </w:t>
            </w:r>
            <w:proofErr w:type="spellStart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ձևը</w:t>
            </w:r>
            <w:proofErr w:type="spellEnd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վերանայելու և դրանում բաժնետոմսերի ընդհանուր անվա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նա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կան արժեքի ավե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լաց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ման հիմքի մասին տեղեկատվություն ներառելու հնարավորության հարցը:</w:t>
            </w:r>
          </w:p>
          <w:p w:rsidR="007B4B96" w:rsidRPr="004708C9" w:rsidRDefault="007B4B96" w:rsidP="004708C9">
            <w:pPr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631" w:type="dxa"/>
          </w:tcPr>
          <w:p w:rsidR="007B4B96" w:rsidRPr="003F51AB" w:rsidRDefault="003F2883" w:rsidP="00BC09F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3F51AB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Չի ընդունվել</w:t>
            </w:r>
          </w:p>
          <w:p w:rsidR="003F51AB" w:rsidRPr="003F51AB" w:rsidRDefault="0000629E" w:rsidP="003F51AB">
            <w:pPr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8D22F8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ՀՀ կառավարության 2017 թվականի </w:t>
            </w:r>
            <w:r w:rsidR="00424617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սեպտեմբերի 28-ի N 1371-Ն որոշման հավելվածով սահմանված կարգի 5-րդ և 6-րդ կետերի համաձայն՝ </w:t>
            </w:r>
            <w:r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="00D1172D" w:rsidRPr="00C31818">
              <w:rPr>
                <w:rFonts w:ascii="Calibri" w:hAnsi="Calibri" w:cs="Calibri"/>
                <w:sz w:val="20"/>
                <w:szCs w:val="20"/>
                <w:lang w:val="hy-AM" w:eastAsia="ru-RU"/>
              </w:rPr>
              <w:t> </w:t>
            </w:r>
            <w:r w:rsidR="00D1172D"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շահաբաժինների տեսքով ստացվող եկամուտները դրանց ստացման հարկային </w:t>
            </w:r>
            <w:r w:rsidR="00D1172D"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տարվա ընթացքում շահաբաժին վճարող Հ</w:t>
            </w:r>
            <w:r w:rsid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>Հ</w:t>
            </w:r>
            <w:r w:rsidR="00D1172D"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ռեզիդենտ նույն կազմակերպության կանոնադրական կամ </w:t>
            </w:r>
            <w:proofErr w:type="spellStart"/>
            <w:r w:rsidR="00D1172D"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>բաժնեհավաք</w:t>
            </w:r>
            <w:proofErr w:type="spellEnd"/>
            <w:r w:rsidR="00D1172D"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կապիտալում ներդնելու դեպքում այդ </w:t>
            </w:r>
            <w:proofErr w:type="spellStart"/>
            <w:r w:rsidR="00D1172D"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>շահաբաժիններից</w:t>
            </w:r>
            <w:proofErr w:type="spellEnd"/>
            <w:r w:rsidR="00D1172D"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վճարված եկամտային հարկի գումարների փոխհատուցման նպատակով անձինք հարկային մարմին են ներկայացնում </w:t>
            </w:r>
            <w:r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կազմակերպության կանոնադրական կամ </w:t>
            </w:r>
            <w:proofErr w:type="spellStart"/>
            <w:r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>բաժնեհավաք</w:t>
            </w:r>
            <w:proofErr w:type="spellEnd"/>
            <w:r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կապիտալում կատարված գումարային ներդրո</w:t>
            </w:r>
            <w:r w:rsidR="00F509B7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ւմները հաստատող փաստաթուղթ, ինչպես նաև </w:t>
            </w:r>
            <w:proofErr w:type="spellStart"/>
            <w:r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>բաժնեհավաք</w:t>
            </w:r>
            <w:proofErr w:type="spellEnd"/>
            <w:r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(</w:t>
            </w:r>
            <w:proofErr w:type="spellStart"/>
            <w:r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>փայահավաք</w:t>
            </w:r>
            <w:proofErr w:type="spellEnd"/>
            <w:r w:rsidRPr="00D1172D">
              <w:rPr>
                <w:rFonts w:ascii="GHEA Grapalat" w:hAnsi="GHEA Grapalat"/>
                <w:sz w:val="20"/>
                <w:szCs w:val="20"/>
                <w:lang w:val="hy-AM" w:eastAsia="ru-RU"/>
              </w:rPr>
              <w:t>) կապիտալում կատարված փոփոխությունների վերաբերյալ պետական միասնական գրանցամատյանում կատարված գրառումը հավաստող գրանցամատյանի համապատասխան քաղվածքը:</w:t>
            </w:r>
            <w:r w:rsidR="00D7583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="00D75836">
              <w:rPr>
                <w:rFonts w:ascii="GHEA Grapalat" w:hAnsi="GHEA Grapalat"/>
                <w:sz w:val="20"/>
                <w:szCs w:val="20"/>
                <w:lang w:val="hy-AM" w:eastAsia="ru-RU"/>
              </w:rPr>
              <w:t>Հետևաբար</w:t>
            </w:r>
            <w:proofErr w:type="spellEnd"/>
            <w:r w:rsidR="00D7583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՝ նախագծով նախատեսվող՝ </w:t>
            </w:r>
            <w:r w:rsidR="003F51AB">
              <w:rPr>
                <w:rFonts w:ascii="GHEA Grapalat" w:hAnsi="GHEA Grapalat"/>
                <w:sz w:val="20"/>
                <w:szCs w:val="20"/>
                <w:lang w:val="hy-AM" w:eastAsia="ru-RU"/>
              </w:rPr>
              <w:t>կ</w:t>
            </w:r>
            <w:r w:rsidR="003F51AB" w:rsidRPr="003F51AB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ազմակերպության կանոնադրական կապիտալի ավելացման արդյունքում ֆիզիկական անձանց սեփական արժեթղթերի հաշվում բաժնետոմսերի ընդհանուր անվանական արժեքի ավելացման վերաբերյալ </w:t>
            </w:r>
          </w:p>
          <w:p w:rsidR="003F51AB" w:rsidRDefault="00D75836" w:rsidP="003F51AB">
            <w:pPr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Հայաստանի կենտրոնական </w:t>
            </w:r>
            <w:proofErr w:type="spellStart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դեպոզիտարիայի</w:t>
            </w:r>
            <w:proofErr w:type="spellEnd"/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կողմից տրամադրված </w:t>
            </w:r>
            <w:r w:rsidR="003F51AB" w:rsidRPr="003F51AB">
              <w:rPr>
                <w:rFonts w:ascii="GHEA Grapalat" w:hAnsi="GHEA Grapalat"/>
                <w:sz w:val="20"/>
                <w:szCs w:val="20"/>
                <w:lang w:val="hy-AM" w:eastAsia="ru-RU"/>
              </w:rPr>
              <w:t>N</w:t>
            </w:r>
            <w:r w:rsidR="003F51AB"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3</w:t>
            </w:r>
            <w:r w:rsidR="003F51AB" w:rsidRPr="00C31818">
              <w:rPr>
                <w:rFonts w:ascii="Cambria Math" w:hAnsi="Cambria Math" w:cs="Cambria Math"/>
                <w:sz w:val="20"/>
                <w:szCs w:val="20"/>
                <w:lang w:val="hy-AM" w:eastAsia="ru-RU"/>
              </w:rPr>
              <w:t>․</w:t>
            </w:r>
            <w:r w:rsidR="003F51AB"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1 </w:t>
            </w:r>
            <w:proofErr w:type="spellStart"/>
            <w:r w:rsidR="003F51AB"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ձևի</w:t>
            </w:r>
            <w:proofErr w:type="spellEnd"/>
            <w:r w:rsidR="003F51AB"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տեղեկանք</w:t>
            </w:r>
            <w:r w:rsidR="003F51AB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ում </w:t>
            </w:r>
            <w:r w:rsidR="003F51AB"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բաժնետոմսերի ընդհանուր անվա</w:t>
            </w:r>
            <w:r w:rsidR="003F51AB"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>նա</w:t>
            </w:r>
            <w:r w:rsidR="003F51AB"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softHyphen/>
              <w:t xml:space="preserve">կան արժեքի ավելացման </w:t>
            </w:r>
            <w:r w:rsidR="00182361"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հիմքի մասին տեղեկատվություն ներառելու </w:t>
            </w:r>
            <w:r w:rsidR="003F51AB">
              <w:rPr>
                <w:rFonts w:ascii="GHEA Grapalat" w:hAnsi="GHEA Grapalat"/>
                <w:sz w:val="20"/>
                <w:szCs w:val="20"/>
                <w:lang w:val="hy-AM" w:eastAsia="ru-RU"/>
              </w:rPr>
              <w:t>անհրաժեշտություն</w:t>
            </w:r>
            <w:r w:rsidR="00182361">
              <w:rPr>
                <w:rFonts w:ascii="GHEA Grapalat" w:hAnsi="GHEA Grapalat"/>
                <w:sz w:val="20"/>
                <w:szCs w:val="20"/>
                <w:lang w:val="hy-AM" w:eastAsia="ru-RU"/>
              </w:rPr>
              <w:t>ը</w:t>
            </w:r>
            <w:r w:rsidR="003F51AB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="00182361">
              <w:rPr>
                <w:rFonts w:ascii="GHEA Grapalat" w:hAnsi="GHEA Grapalat"/>
                <w:sz w:val="20"/>
                <w:szCs w:val="20"/>
                <w:lang w:val="hy-AM" w:eastAsia="ru-RU"/>
              </w:rPr>
              <w:t>բացակայում է</w:t>
            </w:r>
            <w:r w:rsidR="003F51AB" w:rsidRPr="004708C9">
              <w:rPr>
                <w:rFonts w:ascii="GHEA Grapalat" w:hAnsi="GHEA Grapalat"/>
                <w:sz w:val="20"/>
                <w:szCs w:val="20"/>
                <w:lang w:val="hy-AM" w:eastAsia="ru-RU"/>
              </w:rPr>
              <w:t>:</w:t>
            </w:r>
          </w:p>
          <w:p w:rsidR="0000629E" w:rsidRPr="00D1172D" w:rsidRDefault="0000629E" w:rsidP="003F51AB">
            <w:pPr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bookmarkStart w:id="0" w:name="_GoBack"/>
            <w:bookmarkEnd w:id="0"/>
          </w:p>
          <w:p w:rsidR="007B4B96" w:rsidRPr="003F51AB" w:rsidRDefault="007B4B96" w:rsidP="003F51AB">
            <w:pPr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</w:tr>
      <w:tr w:rsidR="007B4B96" w:rsidRPr="007B4B96" w:rsidTr="006B53B6">
        <w:tc>
          <w:tcPr>
            <w:tcW w:w="7319" w:type="dxa"/>
            <w:vMerge w:val="restart"/>
            <w:shd w:val="clear" w:color="auto" w:fill="BFBFBF" w:themeFill="background1" w:themeFillShade="BF"/>
          </w:tcPr>
          <w:p w:rsidR="007B4B96" w:rsidRPr="007B4B96" w:rsidRDefault="007B4B96" w:rsidP="003303C2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lastRenderedPageBreak/>
              <w:t xml:space="preserve">3. ՀՀ </w:t>
            </w:r>
            <w:r w:rsidR="003303C2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կենտրոնական բանկ</w:t>
            </w:r>
          </w:p>
        </w:tc>
        <w:tc>
          <w:tcPr>
            <w:tcW w:w="5631" w:type="dxa"/>
            <w:shd w:val="clear" w:color="auto" w:fill="BFBFBF" w:themeFill="background1" w:themeFillShade="BF"/>
          </w:tcPr>
          <w:p w:rsidR="007B4B96" w:rsidRPr="007B4B96" w:rsidRDefault="004727D3" w:rsidP="004727D3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</w:t>
            </w:r>
            <w:r w:rsidR="007B4B96"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2.0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</w:t>
            </w:r>
            <w:r w:rsidR="007B4B96"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.2021թ</w:t>
            </w:r>
            <w:r w:rsidR="007B4B96" w:rsidRPr="007B4B9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</w:p>
        </w:tc>
      </w:tr>
      <w:tr w:rsidR="007B4B96" w:rsidRPr="007B4B96" w:rsidTr="006B53B6">
        <w:tc>
          <w:tcPr>
            <w:tcW w:w="7319" w:type="dxa"/>
            <w:vMerge/>
            <w:shd w:val="clear" w:color="auto" w:fill="BFBFBF" w:themeFill="background1" w:themeFillShade="BF"/>
          </w:tcPr>
          <w:p w:rsidR="007B4B96" w:rsidRPr="007B4B96" w:rsidRDefault="007B4B96" w:rsidP="007B4B96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5631" w:type="dxa"/>
            <w:shd w:val="clear" w:color="auto" w:fill="BFBFBF" w:themeFill="background1" w:themeFillShade="BF"/>
          </w:tcPr>
          <w:p w:rsidR="007B4B96" w:rsidRPr="007B4B96" w:rsidRDefault="007B4B96" w:rsidP="004727D3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N</w:t>
            </w:r>
            <w:r w:rsidR="004727D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16</w:t>
            </w:r>
            <w:r w:rsidR="004727D3">
              <w:rPr>
                <w:rFonts w:ascii="Cambria Math" w:eastAsia="Times New Roman" w:hAnsi="Cambria Math" w:cs="Cambria Math"/>
                <w:sz w:val="20"/>
                <w:szCs w:val="20"/>
                <w:lang w:val="hy-AM"/>
              </w:rPr>
              <w:t>․</w:t>
            </w:r>
            <w:r w:rsidR="004727D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</w:t>
            </w:r>
            <w:r w:rsidR="004727D3">
              <w:rPr>
                <w:rFonts w:ascii="Cambria Math" w:eastAsia="Times New Roman" w:hAnsi="Cambria Math" w:cs="Cambria Math"/>
                <w:sz w:val="20"/>
                <w:szCs w:val="20"/>
                <w:lang w:val="hy-AM"/>
              </w:rPr>
              <w:t>․</w:t>
            </w:r>
            <w:r w:rsidR="004727D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3-07</w:t>
            </w: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/</w:t>
            </w:r>
            <w:r w:rsidR="004727D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000523</w:t>
            </w: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-2021</w:t>
            </w:r>
          </w:p>
        </w:tc>
      </w:tr>
      <w:tr w:rsidR="007B4B96" w:rsidRPr="008D5613" w:rsidTr="006B53B6">
        <w:tc>
          <w:tcPr>
            <w:tcW w:w="7319" w:type="dxa"/>
          </w:tcPr>
          <w:p w:rsidR="007B4B96" w:rsidRPr="007B4B96" w:rsidRDefault="007B4B96" w:rsidP="00067886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1. </w:t>
            </w:r>
            <w:r w:rsidR="00285C66" w:rsidRPr="000E52FF">
              <w:rPr>
                <w:rFonts w:ascii="GHEA Grapalat" w:hAnsi="GHEA Grapalat"/>
                <w:sz w:val="20"/>
                <w:szCs w:val="20"/>
                <w:lang w:val="hy-AM" w:eastAsia="ru-RU"/>
              </w:rPr>
              <w:t>Ձեզ ենք ներկայացնում ՀՀ կառավարության «Հայաստանի Հանրապետության կառավարության 2017 թվականի սեպտեմբերի 28-ի N1371-Ն որոշման մեջ փոփոխություններ և լրացում կատարելու մասին» որոշման նախագծի առնչությամբ Հայաստանի Հանրապետության կենտրոնական բանկի դիտարկումները՝ տեքստի խմբագրման ռեժիմով։</w:t>
            </w:r>
          </w:p>
        </w:tc>
        <w:tc>
          <w:tcPr>
            <w:tcW w:w="5631" w:type="dxa"/>
          </w:tcPr>
          <w:p w:rsidR="007B4B96" w:rsidRDefault="007B4B96" w:rsidP="007B4B96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7B4B9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Ընդունվել է</w:t>
            </w:r>
          </w:p>
          <w:p w:rsidR="00BC09FF" w:rsidRPr="007B4B96" w:rsidRDefault="00BC09FF" w:rsidP="00BC09FF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BC09FF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Առաջարկությունների հիման վրա նախագիծը </w:t>
            </w:r>
            <w:proofErr w:type="spellStart"/>
            <w:r w:rsidRPr="00BC09FF">
              <w:rPr>
                <w:rFonts w:ascii="GHEA Grapalat" w:hAnsi="GHEA Grapalat"/>
                <w:sz w:val="20"/>
                <w:szCs w:val="20"/>
                <w:lang w:val="hy-AM" w:eastAsia="ru-RU"/>
              </w:rPr>
              <w:t>խմբագրվել</w:t>
            </w:r>
            <w:proofErr w:type="spellEnd"/>
            <w:r w:rsidRPr="00BC09FF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է։</w:t>
            </w:r>
          </w:p>
        </w:tc>
      </w:tr>
    </w:tbl>
    <w:p w:rsidR="007B4B96" w:rsidRPr="007B4B96" w:rsidRDefault="007B4B96" w:rsidP="007B4B96">
      <w:pPr>
        <w:spacing w:after="0" w:line="240" w:lineRule="auto"/>
        <w:jc w:val="both"/>
        <w:rPr>
          <w:rFonts w:ascii="Sylfaen" w:eastAsia="Times New Roman" w:hAnsi="Sylfaen" w:cs="Times New Roman"/>
          <w:lang w:val="hy-AM"/>
        </w:rPr>
      </w:pPr>
      <w:r w:rsidRPr="007B4B9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br w:type="textWrapping" w:clear="all"/>
      </w:r>
    </w:p>
    <w:sectPr w:rsidR="007B4B96" w:rsidRPr="007B4B96" w:rsidSect="00CC53B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92180C"/>
    <w:multiLevelType w:val="hybridMultilevel"/>
    <w:tmpl w:val="76F04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FC5"/>
    <w:rsid w:val="0000629E"/>
    <w:rsid w:val="00067886"/>
    <w:rsid w:val="00095E4D"/>
    <w:rsid w:val="000E52FF"/>
    <w:rsid w:val="00182361"/>
    <w:rsid w:val="00285C66"/>
    <w:rsid w:val="002F01F2"/>
    <w:rsid w:val="003303C2"/>
    <w:rsid w:val="0034233B"/>
    <w:rsid w:val="003F2883"/>
    <w:rsid w:val="003F51AB"/>
    <w:rsid w:val="00402B33"/>
    <w:rsid w:val="00424617"/>
    <w:rsid w:val="004708C9"/>
    <w:rsid w:val="004727D3"/>
    <w:rsid w:val="00521BEC"/>
    <w:rsid w:val="006B53B6"/>
    <w:rsid w:val="006C62AD"/>
    <w:rsid w:val="006F0971"/>
    <w:rsid w:val="00781B84"/>
    <w:rsid w:val="007B4B96"/>
    <w:rsid w:val="008D22F8"/>
    <w:rsid w:val="008D5613"/>
    <w:rsid w:val="00915DD8"/>
    <w:rsid w:val="00922FFF"/>
    <w:rsid w:val="00992FC5"/>
    <w:rsid w:val="009F3E9E"/>
    <w:rsid w:val="00A02650"/>
    <w:rsid w:val="00A038B2"/>
    <w:rsid w:val="00AD6B8E"/>
    <w:rsid w:val="00B12EB1"/>
    <w:rsid w:val="00B16BB8"/>
    <w:rsid w:val="00BC09FF"/>
    <w:rsid w:val="00C31818"/>
    <w:rsid w:val="00CC53B8"/>
    <w:rsid w:val="00CF1F44"/>
    <w:rsid w:val="00D1172D"/>
    <w:rsid w:val="00D75836"/>
    <w:rsid w:val="00E06D83"/>
    <w:rsid w:val="00E338DE"/>
    <w:rsid w:val="00ED5FCB"/>
    <w:rsid w:val="00F20F0A"/>
    <w:rsid w:val="00F46852"/>
    <w:rsid w:val="00F509B7"/>
    <w:rsid w:val="00F6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ECD1D1-8839-48FA-976D-D6C8A96A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4B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01F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06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18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4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Semerjyan</dc:creator>
  <cp:keywords/>
  <dc:description/>
  <cp:lastModifiedBy>Ashot Semerjyan</cp:lastModifiedBy>
  <cp:revision>45</cp:revision>
  <dcterms:created xsi:type="dcterms:W3CDTF">2021-06-30T08:27:00Z</dcterms:created>
  <dcterms:modified xsi:type="dcterms:W3CDTF">2021-07-15T06:59:00Z</dcterms:modified>
</cp:coreProperties>
</file>