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65942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</w:p>
    <w:p w:rsidR="00327D2D" w:rsidRPr="00EB46FE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2020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ԹՎԱԿԱՆԻ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ԴԵԿՏԵՄԲԵՐԻ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3-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N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>1976-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ՈՐՈՇՄԱՆ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ՄԵՋ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ՓՈՓՈԽՈՒԹՅՈՒՆ</w:t>
      </w:r>
      <w:r w:rsidR="003E42A6">
        <w:rPr>
          <w:rFonts w:ascii="GHEA Grapalat" w:hAnsi="GHEA Grapalat" w:cs="Sylfaen"/>
          <w:b/>
          <w:sz w:val="24"/>
          <w:szCs w:val="24"/>
          <w:lang w:val="ru-RU" w:eastAsia="ru-RU"/>
        </w:rPr>
        <w:t>ՆԵՐ</w:t>
      </w:r>
      <w:r w:rsidRP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3E42A6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E87774" w:rsidRPr="00EB46FE" w:rsidRDefault="00E87774" w:rsidP="00E877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25B7A">
        <w:rPr>
          <w:rFonts w:ascii="GHEA Grapalat" w:hAnsi="GHEA Grapalat"/>
          <w:sz w:val="24"/>
          <w:szCs w:val="24"/>
          <w:lang w:val="hy-AM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4C7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Pr="00FA4AB0">
        <w:rPr>
          <w:rFonts w:ascii="GHEA Grapalat" w:hAnsi="GHEA Grapalat"/>
          <w:sz w:val="24"/>
          <w:szCs w:val="24"/>
          <w:lang w:val="fr-FR"/>
        </w:rPr>
        <w:t>33-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հոդվածը</w:t>
      </w:r>
      <w:proofErr w:type="spellEnd"/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4C7">
        <w:rPr>
          <w:rFonts w:ascii="GHEA Grapalat" w:hAnsi="GHEA Grapalat"/>
          <w:sz w:val="24"/>
          <w:szCs w:val="24"/>
          <w:lang w:val="hy-AM"/>
        </w:rPr>
        <w:t>3</w:t>
      </w:r>
      <w:r w:rsidRPr="00D3060C">
        <w:rPr>
          <w:rFonts w:ascii="GHEA Grapalat" w:hAnsi="GHEA Grapalat"/>
          <w:sz w:val="24"/>
          <w:szCs w:val="24"/>
          <w:lang w:val="fr-FR"/>
        </w:rPr>
        <w:t>4</w:t>
      </w:r>
      <w:r w:rsidRPr="007574C7">
        <w:rPr>
          <w:rFonts w:ascii="GHEA Grapalat" w:hAnsi="GHEA Grapalat"/>
          <w:sz w:val="24"/>
          <w:szCs w:val="24"/>
          <w:lang w:val="hy-AM"/>
        </w:rPr>
        <w:t>-րդ հոդված</w:t>
      </w:r>
      <w:r>
        <w:rPr>
          <w:rFonts w:ascii="GHEA Grapalat" w:hAnsi="GHEA Grapalat"/>
          <w:sz w:val="24"/>
          <w:szCs w:val="24"/>
        </w:rPr>
        <w:t>ի</w:t>
      </w:r>
      <w:r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 w:rsidRPr="00425B7A">
        <w:rPr>
          <w:rFonts w:ascii="GHEA Grapalat" w:hAnsi="GHEA Grapalat"/>
          <w:sz w:val="24"/>
          <w:szCs w:val="24"/>
          <w:lang w:val="hy-AM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D3060C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252AC5" w:rsidRPr="00252AC5" w:rsidRDefault="00D3060C" w:rsidP="00565942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2020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3-ի </w:t>
      </w:r>
      <w:r w:rsidRPr="00D3060C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Հ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ցանցային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կապի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միջոցներին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հարկային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մարմնում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գրանցումից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հանման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կիրառության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կանոնները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հաստատելու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կտրոնի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դուրս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մեքենաների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դրանց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հաշվառման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հաշվառումից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հանման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դրանց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միջոցով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տրամադրվող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կտրոնի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պարտադիր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վավերապայմաններին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ինչպես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ինտերնետային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կայքին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հավելվածին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առև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տրային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հարթակին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սահմանելու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 ՀՀ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2017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5-ի N</w:t>
      </w:r>
      <w:r w:rsidR="005659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1318-</w:t>
      </w:r>
      <w:r w:rsidR="00565942">
        <w:rPr>
          <w:rFonts w:ascii="GHEA Grapalat" w:hAnsi="GHEA Grapalat"/>
          <w:sz w:val="24"/>
          <w:szCs w:val="24"/>
          <w:lang w:val="hy-AM"/>
        </w:rPr>
        <w:t>Ն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ուժը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կորցրած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ճանաչելու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565942">
        <w:rPr>
          <w:rFonts w:ascii="GHEA Grapalat" w:hAnsi="GHEA Grapalat"/>
          <w:sz w:val="24"/>
          <w:szCs w:val="24"/>
          <w:lang w:val="fr-FR"/>
        </w:rPr>
        <w:t>N</w:t>
      </w:r>
      <w:r w:rsidR="00565942">
        <w:rPr>
          <w:rFonts w:ascii="GHEA Grapalat" w:hAnsi="GHEA Grapalat"/>
          <w:sz w:val="24"/>
          <w:szCs w:val="24"/>
          <w:lang w:val="hy-AM"/>
        </w:rPr>
        <w:t>1976</w:t>
      </w:r>
      <w:r w:rsidR="00314064" w:rsidRPr="00314064">
        <w:rPr>
          <w:rFonts w:ascii="GHEA Grapalat" w:hAnsi="GHEA Grapalat"/>
          <w:sz w:val="24"/>
          <w:szCs w:val="24"/>
          <w:lang w:val="fr-FR"/>
        </w:rPr>
        <w:t>-</w:t>
      </w:r>
      <w:r w:rsidR="00314064" w:rsidRPr="00565942">
        <w:rPr>
          <w:rFonts w:ascii="GHEA Grapalat" w:hAnsi="GHEA Grapalat"/>
          <w:sz w:val="24"/>
          <w:szCs w:val="24"/>
          <w:lang w:val="fr-FR"/>
        </w:rPr>
        <w:t>Ն</w:t>
      </w:r>
      <w:r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3E42A6">
        <w:rPr>
          <w:rFonts w:ascii="GHEA Grapalat" w:hAnsi="GHEA Grapalat"/>
          <w:sz w:val="24"/>
          <w:szCs w:val="24"/>
          <w:lang w:val="ru-RU"/>
        </w:rPr>
        <w:t>՝</w:t>
      </w:r>
    </w:p>
    <w:p w:rsidR="00252AC5" w:rsidRPr="003E42A6" w:rsidRDefault="00252AC5" w:rsidP="00252AC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52AC5">
        <w:rPr>
          <w:rFonts w:ascii="GHEA Grapalat" w:hAnsi="GHEA Grapalat"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  <w:t>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կետն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ուժը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ճանաչել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>,</w:t>
      </w:r>
    </w:p>
    <w:p w:rsidR="00D3060C" w:rsidRPr="00252AC5" w:rsidRDefault="00252AC5" w:rsidP="00252AC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N3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հավելվածի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17-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րդ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կետի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1-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ին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ենթակետում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>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25-րդ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կետով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բառերը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փոխարինել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 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>18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-րդ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կետով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բառերով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>:</w:t>
      </w:r>
    </w:p>
    <w:p w:rsidR="00ED6189" w:rsidRPr="009E622E" w:rsidRDefault="003816DE" w:rsidP="00D3060C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է</w:t>
      </w:r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պաշտոնական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հրապարակման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օրվան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օրը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>:</w:t>
      </w:r>
    </w:p>
    <w:p w:rsidR="00DC5B16" w:rsidRDefault="00DC5B1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br w:type="page"/>
      </w:r>
    </w:p>
    <w:p w:rsidR="00DC5B16" w:rsidRPr="00AB2BC9" w:rsidRDefault="00DC5B16" w:rsidP="00DC5B16">
      <w:pPr>
        <w:tabs>
          <w:tab w:val="left" w:pos="851"/>
        </w:tabs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DC5B16" w:rsidRPr="00AB2BC9" w:rsidRDefault="00DC5B16" w:rsidP="00DC5B16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 կառավարության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2020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թվականի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դեկտեմբերի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3-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N1976-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որոշման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մեջ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փոփոխություններ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կատարելու</w:t>
      </w:r>
      <w:proofErr w:type="spellEnd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մասին</w:t>
      </w:r>
      <w:r w:rsidRPr="00FA4AB0">
        <w:rPr>
          <w:rFonts w:ascii="GHEA Grapalat" w:eastAsia="Calibri" w:hAnsi="GHEA Grapalat" w:cs="Times New Roman"/>
          <w:b/>
          <w:sz w:val="24"/>
          <w:szCs w:val="24"/>
          <w:lang w:val="hy-AM"/>
        </w:rPr>
        <w:t>»</w:t>
      </w:r>
      <w:r w:rsidRPr="00AB2BC9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նախագծի ընդունման</w:t>
      </w:r>
    </w:p>
    <w:p w:rsidR="00DC5B16" w:rsidRPr="00AB2BC9" w:rsidRDefault="00DC5B16" w:rsidP="00DC5B16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C5B16" w:rsidRPr="00AB2BC9" w:rsidRDefault="00DC5B16" w:rsidP="00DC5B16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AB2BC9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AB2BC9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նհրաժեշտությունը </w:t>
      </w:r>
      <w:r w:rsidRPr="00AB2BC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E76564" w:rsidRPr="00E76564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ընդունման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նպատակը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հսկիչ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դրամարկղային մեքենաների </w:t>
      </w:r>
      <w:proofErr w:type="gramStart"/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մոդել(</w:t>
      </w:r>
      <w:proofErr w:type="gramEnd"/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ներ)ի՝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անկանխիկ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վճարման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տեսակի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կիրառման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պահանջների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ապահովման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համար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սահմանված </w:t>
      </w:r>
      <w:r w:rsidR="00E76564" w:rsidRPr="00E76564">
        <w:rPr>
          <w:rFonts w:ascii="GHEA Grapalat" w:eastAsia="Times New Roman" w:hAnsi="GHEA Grapalat" w:cs="GHEA Grapalat"/>
          <w:sz w:val="24"/>
          <w:szCs w:val="24"/>
          <w:lang w:val="ru-RU"/>
        </w:rPr>
        <w:t>վերջնաժամկետը</w:t>
      </w:r>
      <w:r w:rsidR="00E76564" w:rsidRPr="00E76564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E76564">
        <w:rPr>
          <w:rFonts w:ascii="GHEA Grapalat" w:eastAsia="Times New Roman" w:hAnsi="GHEA Grapalat" w:cs="GHEA Grapalat"/>
          <w:sz w:val="24"/>
          <w:szCs w:val="24"/>
          <w:lang w:val="hy-AM"/>
        </w:rPr>
        <w:t>ուժը կորցրած ճանաչելն է:</w:t>
      </w:r>
    </w:p>
    <w:p w:rsidR="00DC5B16" w:rsidRPr="00FA4AB0" w:rsidRDefault="00DC5B16" w:rsidP="00DC5B16">
      <w:pPr>
        <w:numPr>
          <w:ilvl w:val="0"/>
          <w:numId w:val="50"/>
        </w:numPr>
        <w:tabs>
          <w:tab w:val="left" w:pos="-142"/>
          <w:tab w:val="left" w:pos="851"/>
        </w:tabs>
        <w:spacing w:after="0" w:line="336" w:lineRule="auto"/>
        <w:ind w:left="0"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AB2BC9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DC5B16" w:rsidRPr="00FA4AB0" w:rsidRDefault="00DC5B16" w:rsidP="00DC5B16">
      <w:pPr>
        <w:tabs>
          <w:tab w:val="left" w:pos="-142"/>
          <w:tab w:val="left" w:pos="851"/>
        </w:tabs>
        <w:spacing w:after="0" w:line="336" w:lineRule="auto"/>
        <w:ind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03.12.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>2020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N1976-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որոշմամբ սահմանված է, որ</w:t>
      </w:r>
      <w:r w:rsidRPr="00FA4AB0">
        <w:rPr>
          <w:rFonts w:ascii="Arial Unicode" w:hAnsi="Arial Unicode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վճար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պահանջների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ապահովման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համա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պա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տաս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խա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նու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եզրակացության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տրամադրման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վերջնաժամկետը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տրամադրման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օրը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ներառող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ամս</w:t>
      </w:r>
      <w:proofErr w:type="spellEnd"/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հաջորդող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12-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րդ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ամսվա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1-</w:t>
      </w:r>
      <w:r w:rsidRPr="00FA4AB0">
        <w:rPr>
          <w:rFonts w:ascii="GHEA Grapalat" w:eastAsia="Times New Roman" w:hAnsi="GHEA Grapalat" w:cs="GHEA Grapalat"/>
          <w:sz w:val="24"/>
          <w:szCs w:val="24"/>
        </w:rPr>
        <w:t>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</w:rPr>
        <w:t>է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Ընդ որում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ժամկետը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չպահպանելու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դեպ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քում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եզրակացությունը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ճանաչվում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ուժը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կորցրած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ուժը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կորցնելու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օրվանից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եզրա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ցու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թյու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նում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նշված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հսկիչ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դրամարկղային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մեքենաները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ենթակա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չեն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իրացման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վարձա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կա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լու</w:t>
      </w:r>
      <w:r w:rsidR="00E87774" w:rsidRPr="00E87774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թյան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eastAsia="Times New Roman" w:hAnsi="GHEA Grapalat" w:cs="GHEA Grapalat"/>
          <w:sz w:val="24"/>
          <w:szCs w:val="24"/>
          <w:lang w:val="hy-AM"/>
        </w:rPr>
        <w:t>տրամադրման</w:t>
      </w:r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DC5B16" w:rsidRPr="00BC5438" w:rsidRDefault="00DC5B16" w:rsidP="00DC5B16">
      <w:pPr>
        <w:tabs>
          <w:tab w:val="left" w:pos="-142"/>
          <w:tab w:val="left" w:pos="851"/>
        </w:tabs>
        <w:spacing w:after="0" w:line="336" w:lineRule="auto"/>
        <w:ind w:firstLine="567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Խնդիրն այն է, որ գործնականում հանդիպում են դեպքեր, երբ մինչև վերջնաժամկետի ավարտն իրացվում են ՀԴՄ-ներ, որոնք չեն ապահովում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վճարման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պահանջներ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ը: Նշված դեպքում կարգավորված չէ, թե ինչպես և ում կողմից է իրականացվելու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անկանխիկ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վճարման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տեսակի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A4AB0">
        <w:rPr>
          <w:rFonts w:ascii="GHEA Grapalat" w:eastAsia="Times New Roman" w:hAnsi="GHEA Grapalat" w:cs="GHEA Grapalat"/>
          <w:sz w:val="24"/>
          <w:szCs w:val="24"/>
        </w:rPr>
        <w:t>կիրառման</w:t>
      </w:r>
      <w:proofErr w:type="spellEnd"/>
      <w:r w:rsidRPr="00FA4AB0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պահանջներ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ի ապահովումը վերջնաժամկետի ավարտից հետո: Միաժամանակ, առաջանում է խնդիր, թե արդյոք ենթակա են շահագործման այն ՀԴՄ-ները, որոնք վերջնաժամկետում չեն ապահովել նշված պահանջները:</w:t>
      </w:r>
    </w:p>
    <w:p w:rsidR="00DC5B16" w:rsidRPr="00AB2BC9" w:rsidRDefault="00DC5B16" w:rsidP="00DC5B16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Առկա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proofErr w:type="spellEnd"/>
      <w:r w:rsidRPr="00AB2BC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DC5B16" w:rsidRPr="00E76564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</w:pPr>
      <w:proofErr w:type="spellStart"/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proofErr w:type="spellEnd"/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proofErr w:type="spellEnd"/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AB2BC9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AB2BC9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ուժը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կորցրած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ճանաչել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անկանխիկ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վճարման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տեսակի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կիրառման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պահանջների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ապահովման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համար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սահմանված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վերջնաժամկետը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Միաժամանակ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,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«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Հայաստանի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Հանրապետության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կառավարության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2012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թվականի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նոյեմբերի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8-ի N1419-Ն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որոշման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մեջ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փոփոխություն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և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լրացում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կատարելու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մասին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» </w:t>
      </w:r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որոշման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նախագծով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առաջարկվում</w:t>
      </w:r>
      <w:proofErr w:type="spellEnd"/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է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սահմանել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,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ru-RU" w:bidi="hy-AM"/>
        </w:rPr>
        <w:t>որ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ՀԴՄ-ների մոդել(ներ)ի՝ ՀՀ հարկային օրենսգրքով և ՀՀ կառավարության կողմից սահմանված պահանջներին (բացառությամբ անկանխիկ վճարման տեսակի կիրառման պահանջների) համապատասխանության դեպքում տրվում է համապատասխանության նախնական եզրակացություն: ՀԴՄ-ների մոդել(ներ)ի՝ անկանխիկ վճարման տեսակի կիրառման 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lastRenderedPageBreak/>
        <w:t>պահանջներին համապատասխանության դեպքում տրվում է համապատասխանության եզ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րա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կացություն: Ընդ որում, իրացման կամ վարձակալության տրամադրման ենթակա են միայն համա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պա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տաս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խանության եզրակացություն ստացած ՀԴՄ-ները: Նշված կարգա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վոր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ման արդյուն</w:t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քում կբացառվի առանց անկանխիկ վճարման տեսակի կիրառման պահանջ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Pr="00DC5B16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ների ապահովման՝ ՀԴՄ-ների իրացումը կամ վարձակալության տրամադրումը:</w:t>
      </w:r>
      <w:r w:rsid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 Արդյուն</w:t>
      </w:r>
      <w:r w:rsidR="008D793F" w:rsidRPr="008D793F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softHyphen/>
      </w:r>
      <w:r w:rsid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քում, բացակայում է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անկանխիկ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վճարման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տեսակի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կիրառման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պահանջների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ապահովման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համար</w:t>
      </w:r>
      <w:proofErr w:type="spellEnd"/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վերջնաժամկետ</w:t>
      </w:r>
      <w:proofErr w:type="spellEnd"/>
      <w:r w:rsid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 xml:space="preserve">ի սահմանման անհրաժեշտությունը: </w:t>
      </w:r>
    </w:p>
    <w:p w:rsidR="00DC5B16" w:rsidRPr="00E76564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</w:pP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Նախագծով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նախատեսվում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է</w:t>
      </w:r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նաև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շտկել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որոշման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մեջ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առկա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bidi="hy-AM"/>
        </w:rPr>
        <w:t>վրիպակը</w:t>
      </w:r>
      <w:proofErr w:type="spellEnd"/>
      <w:r w:rsidRP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:</w:t>
      </w:r>
    </w:p>
    <w:p w:rsidR="00DC5B16" w:rsidRPr="00AB2BC9" w:rsidRDefault="00DC5B16" w:rsidP="00DC5B16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առարկան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DC5B16" w:rsidRPr="00AB2BC9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ախագծի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կարգավորման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>առարկան</w:t>
      </w:r>
      <w:proofErr w:type="spellEnd"/>
      <w:r w:rsidRPr="00AB2BC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՝ </w:t>
      </w:r>
      <w:r w:rsidRPr="002A51D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հսկիչ դրամարկղային մեքենաների մոդել(ներ)ի՝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անկանխիկ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վճարման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տեսակի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կիրառման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պահանջների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ապահովման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համար</w:t>
      </w:r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>սահմանված</w:t>
      </w:r>
      <w:proofErr w:type="spellEnd"/>
      <w:r w:rsidR="00E76564" w:rsidRPr="00E7656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r w:rsidR="00E76564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վերջնաժամկետն ուժը կորցրած ճանաչելն է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DC5B16" w:rsidRPr="00AB2BC9" w:rsidRDefault="00DC5B16" w:rsidP="00DC5B16">
      <w:pPr>
        <w:numPr>
          <w:ilvl w:val="0"/>
          <w:numId w:val="50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AB2BC9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AB2B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DC5B16" w:rsidRPr="00AB2BC9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DC5B16" w:rsidRPr="00AB2BC9" w:rsidRDefault="00DC5B16" w:rsidP="00DC5B16">
      <w:pPr>
        <w:numPr>
          <w:ilvl w:val="0"/>
          <w:numId w:val="50"/>
        </w:numPr>
        <w:tabs>
          <w:tab w:val="left" w:pos="851"/>
        </w:tabs>
        <w:autoSpaceDN w:val="0"/>
        <w:spacing w:after="0" w:line="336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AB2BC9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AB2BC9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E76564" w:rsidRDefault="00DC5B16" w:rsidP="00DC5B16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AB2B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AB2B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AB2BC9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725F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ուժը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կորցրած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կճանաչվի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անկանխիկ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վճարման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տեսակի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կիրառման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պահանջների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ապահովման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համար</w:t>
      </w:r>
      <w:r w:rsidR="00E76564" w:rsidRPr="00DC5B16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proofErr w:type="spellStart"/>
      <w:r w:rsid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>սահմանված</w:t>
      </w:r>
      <w:proofErr w:type="spellEnd"/>
      <w:r w:rsidR="00E76564">
        <w:rPr>
          <w:rFonts w:ascii="GHEA Grapalat" w:eastAsia="Times New Roman" w:hAnsi="GHEA Grapalat" w:cs="Times New Roman"/>
          <w:bCs/>
          <w:sz w:val="24"/>
          <w:szCs w:val="24"/>
          <w:lang w:val="fr-FR" w:bidi="hy-AM"/>
        </w:rPr>
        <w:t xml:space="preserve"> </w:t>
      </w:r>
      <w:r w:rsidR="00E76564" w:rsidRP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վերջնաժամկետը</w:t>
      </w:r>
      <w:r w:rsidR="00E76564">
        <w:rPr>
          <w:rFonts w:ascii="GHEA Grapalat" w:eastAsia="Times New Roman" w:hAnsi="GHEA Grapalat" w:cs="Times New Roman"/>
          <w:bCs/>
          <w:sz w:val="24"/>
          <w:szCs w:val="24"/>
          <w:lang w:val="hy-AM" w:bidi="hy-AM"/>
        </w:rPr>
        <w:t>:</w:t>
      </w:r>
      <w:r w:rsidR="00E76564" w:rsidRPr="00FA4AB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</w:p>
    <w:p w:rsidR="00CB69A1" w:rsidRPr="009C5C6D" w:rsidRDefault="00CB69A1" w:rsidP="00CB69A1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FA4AB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7.</w:t>
      </w:r>
      <w:r w:rsidRPr="00FA4AB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Pr="009C5C6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CB69A1" w:rsidRPr="006D768E" w:rsidRDefault="00CB69A1" w:rsidP="00CB69A1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C5C6D">
        <w:rPr>
          <w:rFonts w:ascii="GHEA Grapalat" w:eastAsia="Times New Roman" w:hAnsi="GHEA Grapalat" w:cs="GHEA Grapalat"/>
          <w:sz w:val="24"/>
          <w:szCs w:val="24"/>
          <w:lang w:val="hy-AM"/>
        </w:rPr>
        <w:t>Նախագծի ընդունման կապակցությամբ լրացուցիչ ֆինանսական միջոցների անհրաժեշտություն, պետական բյուջեի եկամուտներում և ծախսերում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C5C6D">
        <w:rPr>
          <w:rFonts w:ascii="GHEA Grapalat" w:eastAsia="Times New Roman" w:hAnsi="GHEA Grapalat" w:cs="GHEA Grapalat"/>
          <w:sz w:val="24"/>
          <w:szCs w:val="24"/>
          <w:lang w:val="hy-AM"/>
        </w:rPr>
        <w:t>էական փոփոխություններ չի նախատեսվում։</w:t>
      </w:r>
    </w:p>
    <w:p w:rsidR="006D768E" w:rsidRDefault="006D768E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br w:type="page"/>
      </w:r>
    </w:p>
    <w:p w:rsidR="006D768E" w:rsidRPr="00AB2BC9" w:rsidRDefault="006D768E" w:rsidP="006D768E">
      <w:pPr>
        <w:tabs>
          <w:tab w:val="left" w:pos="851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B2BC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ՏԵՂԵԿԱՆՔ</w:t>
      </w:r>
    </w:p>
    <w:p w:rsidR="006D768E" w:rsidRPr="00AB2BC9" w:rsidRDefault="006D768E" w:rsidP="006D768E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fr-FR"/>
        </w:rPr>
      </w:pP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«Հայաստանի Հանրապետության կառավարության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2020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թվականի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դեկտեմբերի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3-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ի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N1976-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որոշման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մեջ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փոփոխություններ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կատարելու</w:t>
      </w:r>
      <w:proofErr w:type="spellEnd"/>
      <w:r w:rsidRPr="00DC5B1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DC5B16">
        <w:rPr>
          <w:rFonts w:ascii="GHEA Grapalat" w:eastAsia="Calibri" w:hAnsi="GHEA Grapalat" w:cs="Times New Roman"/>
          <w:b/>
          <w:sz w:val="24"/>
          <w:szCs w:val="24"/>
          <w:lang w:val="hy-AM"/>
        </w:rPr>
        <w:t>մասին»</w:t>
      </w:r>
      <w:r w:rsidRPr="00DC5B16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կառավարության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B2B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որոշման նախագծի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այլ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ակտերի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AB2BC9"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B2BC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6D768E" w:rsidRPr="00AB2BC9" w:rsidRDefault="006D768E" w:rsidP="006D768E">
      <w:pPr>
        <w:tabs>
          <w:tab w:val="left" w:pos="-3261"/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6D768E" w:rsidRPr="00AB2BC9" w:rsidRDefault="006D768E" w:rsidP="006D768E">
      <w:pPr>
        <w:spacing w:after="0" w:line="312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DC5B1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«Հայաստանի Հանրապետության կառավարության 2020 թվականի դեկտեմբերի 3-ի N1976-Ն որոշման մեջ փոփոխություններ կատարելու մասին» </w:t>
      </w:r>
      <w:r w:rsidRPr="00AB2BC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ՀՀ կառավարության որոշման նախագծի ընդունման կապակցությամբ այլ նորմատիվ իրավական ակտեր ընդունել անհրաժեշտ չէ:</w:t>
      </w:r>
    </w:p>
    <w:p w:rsidR="006D768E" w:rsidRPr="006D768E" w:rsidRDefault="006D768E" w:rsidP="00CB69A1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6D768E" w:rsidRPr="006D768E" w:rsidSect="00E87774">
      <w:pgSz w:w="11906" w:h="16838" w:code="9"/>
      <w:pgMar w:top="851" w:right="566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ghosyan">
    <w15:presenceInfo w15:providerId="None" w15:userId="Anna P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6326"/>
    <w:rsid w:val="000D25C9"/>
    <w:rsid w:val="000D2CD7"/>
    <w:rsid w:val="000D7C44"/>
    <w:rsid w:val="000E14E6"/>
    <w:rsid w:val="000E14F8"/>
    <w:rsid w:val="000E4EB2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0C6D"/>
    <w:rsid w:val="00122E78"/>
    <w:rsid w:val="001230E8"/>
    <w:rsid w:val="00125669"/>
    <w:rsid w:val="00126627"/>
    <w:rsid w:val="00126BEE"/>
    <w:rsid w:val="00130183"/>
    <w:rsid w:val="001353D1"/>
    <w:rsid w:val="00137162"/>
    <w:rsid w:val="001404BA"/>
    <w:rsid w:val="0014071C"/>
    <w:rsid w:val="001425B9"/>
    <w:rsid w:val="001437C7"/>
    <w:rsid w:val="00155C3F"/>
    <w:rsid w:val="0015770C"/>
    <w:rsid w:val="00163082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52AC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B33E2"/>
    <w:rsid w:val="003B3A48"/>
    <w:rsid w:val="003B6EB9"/>
    <w:rsid w:val="003C3A5B"/>
    <w:rsid w:val="003C7FDA"/>
    <w:rsid w:val="003D59C4"/>
    <w:rsid w:val="003E04A5"/>
    <w:rsid w:val="003E22A8"/>
    <w:rsid w:val="003E42A6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1CF9"/>
    <w:rsid w:val="004624E8"/>
    <w:rsid w:val="0046473D"/>
    <w:rsid w:val="00465114"/>
    <w:rsid w:val="0046535F"/>
    <w:rsid w:val="0047423D"/>
    <w:rsid w:val="00474684"/>
    <w:rsid w:val="00481D81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79F8"/>
    <w:rsid w:val="00552202"/>
    <w:rsid w:val="00552CD4"/>
    <w:rsid w:val="005554FB"/>
    <w:rsid w:val="005641CD"/>
    <w:rsid w:val="0056461C"/>
    <w:rsid w:val="00564D0F"/>
    <w:rsid w:val="00565942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D768E"/>
    <w:rsid w:val="006E0D1C"/>
    <w:rsid w:val="006E4200"/>
    <w:rsid w:val="006F04B8"/>
    <w:rsid w:val="006F2C98"/>
    <w:rsid w:val="00703EEF"/>
    <w:rsid w:val="007069FD"/>
    <w:rsid w:val="007279F8"/>
    <w:rsid w:val="00740F91"/>
    <w:rsid w:val="00752225"/>
    <w:rsid w:val="007574C7"/>
    <w:rsid w:val="00761328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44ED"/>
    <w:rsid w:val="007B5033"/>
    <w:rsid w:val="007B5188"/>
    <w:rsid w:val="007D3319"/>
    <w:rsid w:val="007E10EA"/>
    <w:rsid w:val="007E380B"/>
    <w:rsid w:val="007E5D4B"/>
    <w:rsid w:val="007F27F0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734D1"/>
    <w:rsid w:val="00875A4A"/>
    <w:rsid w:val="00877247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D793F"/>
    <w:rsid w:val="008E4112"/>
    <w:rsid w:val="008E4C5D"/>
    <w:rsid w:val="008E5A3D"/>
    <w:rsid w:val="008E6842"/>
    <w:rsid w:val="008F73A4"/>
    <w:rsid w:val="008F7E57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424D5"/>
    <w:rsid w:val="00942BA5"/>
    <w:rsid w:val="00962059"/>
    <w:rsid w:val="00965C0D"/>
    <w:rsid w:val="00967CA2"/>
    <w:rsid w:val="009762BA"/>
    <w:rsid w:val="00980866"/>
    <w:rsid w:val="00991638"/>
    <w:rsid w:val="00993175"/>
    <w:rsid w:val="00993716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1950"/>
    <w:rsid w:val="00AB1D42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911FC"/>
    <w:rsid w:val="00BA07BC"/>
    <w:rsid w:val="00BA1C0E"/>
    <w:rsid w:val="00BA636B"/>
    <w:rsid w:val="00BB25C2"/>
    <w:rsid w:val="00BB5F0B"/>
    <w:rsid w:val="00BB6F04"/>
    <w:rsid w:val="00BB71A0"/>
    <w:rsid w:val="00BD1BF9"/>
    <w:rsid w:val="00BE16B6"/>
    <w:rsid w:val="00BE3B9D"/>
    <w:rsid w:val="00BE4D42"/>
    <w:rsid w:val="00BF05EA"/>
    <w:rsid w:val="00BF106C"/>
    <w:rsid w:val="00C00482"/>
    <w:rsid w:val="00C02210"/>
    <w:rsid w:val="00C0366C"/>
    <w:rsid w:val="00C03742"/>
    <w:rsid w:val="00C07462"/>
    <w:rsid w:val="00C20AE4"/>
    <w:rsid w:val="00C244A5"/>
    <w:rsid w:val="00C26EC5"/>
    <w:rsid w:val="00C30A45"/>
    <w:rsid w:val="00C35796"/>
    <w:rsid w:val="00C37B9D"/>
    <w:rsid w:val="00C40797"/>
    <w:rsid w:val="00C42AA1"/>
    <w:rsid w:val="00C43880"/>
    <w:rsid w:val="00C46475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B69A1"/>
    <w:rsid w:val="00CC2B1B"/>
    <w:rsid w:val="00CC7796"/>
    <w:rsid w:val="00CD0CBF"/>
    <w:rsid w:val="00CD4A77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5BDA"/>
    <w:rsid w:val="00D7025A"/>
    <w:rsid w:val="00D762D4"/>
    <w:rsid w:val="00D81776"/>
    <w:rsid w:val="00D9594E"/>
    <w:rsid w:val="00DA756F"/>
    <w:rsid w:val="00DB05F1"/>
    <w:rsid w:val="00DB489A"/>
    <w:rsid w:val="00DC5B16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2E3A"/>
    <w:rsid w:val="00E45F16"/>
    <w:rsid w:val="00E51AE6"/>
    <w:rsid w:val="00E67F46"/>
    <w:rsid w:val="00E71426"/>
    <w:rsid w:val="00E73186"/>
    <w:rsid w:val="00E73CC8"/>
    <w:rsid w:val="00E76564"/>
    <w:rsid w:val="00E7763E"/>
    <w:rsid w:val="00E77665"/>
    <w:rsid w:val="00E822A5"/>
    <w:rsid w:val="00E84B28"/>
    <w:rsid w:val="00E865E6"/>
    <w:rsid w:val="00E87412"/>
    <w:rsid w:val="00E87774"/>
    <w:rsid w:val="00E9335C"/>
    <w:rsid w:val="00E9640F"/>
    <w:rsid w:val="00EA51BC"/>
    <w:rsid w:val="00EA678A"/>
    <w:rsid w:val="00EB2590"/>
    <w:rsid w:val="00EB46FE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EF789A"/>
    <w:rsid w:val="00F079AE"/>
    <w:rsid w:val="00F218E2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B2BC4"/>
    <w:rsid w:val="00FC2DCB"/>
    <w:rsid w:val="00FC5532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7BC5-A395-4E5C-9EA5-0E1AF98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https://mul2-taxservice.gov.am/tasks/1130489/oneclick/Naxagic_karav_voroshum_popox_1976_hxum_ezrakacutyun_.docx?token=edf8bad4a71264ec9a8434721bb6f33e</cp:keywords>
  <cp:lastModifiedBy>Irina Vardanyan</cp:lastModifiedBy>
  <cp:revision>7</cp:revision>
  <cp:lastPrinted>2021-03-24T13:10:00Z</cp:lastPrinted>
  <dcterms:created xsi:type="dcterms:W3CDTF">2021-04-19T08:45:00Z</dcterms:created>
  <dcterms:modified xsi:type="dcterms:W3CDTF">2021-06-09T13:15:00Z</dcterms:modified>
</cp:coreProperties>
</file>