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0106E" w14:textId="54DEB127" w:rsidR="009B732E" w:rsidRDefault="009B732E" w:rsidP="00BF788F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9A68C2">
        <w:rPr>
          <w:rFonts w:ascii="GHEA Grapalat" w:hAnsi="GHEA Grapalat"/>
          <w:sz w:val="24"/>
          <w:szCs w:val="24"/>
          <w:lang w:val="hy-AM"/>
        </w:rPr>
        <w:t>ԱՄՓՈՓԱԹԵՐԹ</w:t>
      </w:r>
    </w:p>
    <w:p w14:paraId="2FF33863" w14:textId="1F8EB290" w:rsidR="00BB6D36" w:rsidRPr="009A68C2" w:rsidRDefault="00BF788F" w:rsidP="00D06DBF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BF788F">
        <w:rPr>
          <w:rFonts w:ascii="GHEA Grapalat" w:hAnsi="GHEA Grapalat"/>
          <w:sz w:val="24"/>
          <w:szCs w:val="24"/>
          <w:lang w:val="hy-AM"/>
        </w:rPr>
        <w:t>«</w:t>
      </w:r>
      <w:r w:rsidR="003F69E8" w:rsidRPr="003F69E8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2020 ԹՎԱԿԱՆԻ ՍԵՊՏԵՄԲԵՐԻ 22-Ի N 1549-Լ </w:t>
      </w:r>
      <w:bookmarkStart w:id="0" w:name="_GoBack"/>
      <w:bookmarkEnd w:id="0"/>
      <w:r w:rsidR="003F69E8" w:rsidRPr="003F69E8">
        <w:rPr>
          <w:rFonts w:ascii="GHEA Grapalat" w:hAnsi="GHEA Grapalat"/>
          <w:sz w:val="24"/>
          <w:szCs w:val="24"/>
          <w:lang w:val="hy-AM"/>
        </w:rPr>
        <w:t>ՈՐՈՇՄԱՆ ՄԵՋ ՓՈՓՈԽՈՒԹՅՈՒՆՆԵՐ ԵՎ ԼՐԱՑՈՒՄՆԵՐ  ԿԱՏԱՐԵԼՈՒ ՄԱՍԻՆ</w:t>
      </w:r>
      <w:r w:rsidR="00D06DBF" w:rsidRPr="003F69E8">
        <w:rPr>
          <w:rFonts w:ascii="GHEA Grapalat" w:hAnsi="GHEA Grapalat"/>
          <w:sz w:val="24"/>
          <w:szCs w:val="24"/>
          <w:lang w:val="hy-AM"/>
        </w:rPr>
        <w:t>»</w:t>
      </w:r>
      <w:r w:rsidRPr="00BF788F">
        <w:rPr>
          <w:rFonts w:ascii="GHEA Grapalat" w:hAnsi="GHEA Grapalat"/>
          <w:sz w:val="24"/>
          <w:szCs w:val="24"/>
          <w:lang w:val="hy-AM"/>
        </w:rPr>
        <w:t xml:space="preserve"> ՀՀ ԿԱՌԱՎԱՐՈՒԹՅԱՆ ՈՐՈՇՄԱՆ ՆԱԽԱԳԻԾ</w:t>
      </w:r>
      <w:r>
        <w:rPr>
          <w:rFonts w:ascii="GHEA Grapalat" w:hAnsi="GHEA Grapalat"/>
          <w:sz w:val="24"/>
          <w:szCs w:val="24"/>
          <w:lang w:val="hy-AM"/>
        </w:rPr>
        <w:t>Ի</w:t>
      </w:r>
    </w:p>
    <w:tbl>
      <w:tblPr>
        <w:tblStyle w:val="TableGrid"/>
        <w:tblW w:w="11624" w:type="dxa"/>
        <w:tblInd w:w="-714" w:type="dxa"/>
        <w:tblLook w:val="04A0" w:firstRow="1" w:lastRow="0" w:firstColumn="1" w:lastColumn="0" w:noHBand="0" w:noVBand="1"/>
      </w:tblPr>
      <w:tblGrid>
        <w:gridCol w:w="7088"/>
        <w:gridCol w:w="4536"/>
      </w:tblGrid>
      <w:tr w:rsidR="00565638" w:rsidRPr="00D30DA2" w14:paraId="25819705" w14:textId="77777777" w:rsidTr="00A80A35">
        <w:trPr>
          <w:trHeight w:val="327"/>
        </w:trPr>
        <w:tc>
          <w:tcPr>
            <w:tcW w:w="7088" w:type="dxa"/>
            <w:vMerge w:val="restart"/>
            <w:shd w:val="clear" w:color="auto" w:fill="BFBFBF" w:themeFill="background1" w:themeFillShade="BF"/>
          </w:tcPr>
          <w:p w14:paraId="20C6F214" w14:textId="16C6042F" w:rsidR="00D4737E" w:rsidRPr="00D30DA2" w:rsidRDefault="008A19B3" w:rsidP="00A80A3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30DA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00D43" w:rsidRPr="00D30DA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 w:rsidR="0072307A" w:rsidRPr="00D30DA2">
              <w:rPr>
                <w:rFonts w:ascii="GHEA Grapalat" w:hAnsi="GHEA Grapalat"/>
                <w:sz w:val="24"/>
                <w:szCs w:val="24"/>
                <w:lang w:val="hy-AM"/>
              </w:rPr>
              <w:t>ֆինանսների նախարարություն</w:t>
            </w:r>
          </w:p>
          <w:p w14:paraId="6FCACF52" w14:textId="6084F325" w:rsidR="00D4737E" w:rsidRPr="009A68C2" w:rsidRDefault="00D4737E" w:rsidP="00A80A3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14:paraId="528077D2" w14:textId="3D25F2B3" w:rsidR="00D4737E" w:rsidRPr="009A68C2" w:rsidRDefault="00617F76" w:rsidP="00A80A3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30DA2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.05</w:t>
            </w:r>
            <w:r w:rsidR="00600D43" w:rsidRPr="009A68C2">
              <w:rPr>
                <w:rFonts w:ascii="GHEA Grapalat" w:hAnsi="GHEA Grapalat"/>
                <w:sz w:val="24"/>
                <w:szCs w:val="24"/>
                <w:lang w:val="hy-AM"/>
              </w:rPr>
              <w:t>.2021թ.</w:t>
            </w:r>
          </w:p>
        </w:tc>
      </w:tr>
      <w:tr w:rsidR="00565638" w:rsidRPr="00D30DA2" w14:paraId="1672BA38" w14:textId="77777777" w:rsidTr="00A80A35">
        <w:trPr>
          <w:trHeight w:val="170"/>
        </w:trPr>
        <w:tc>
          <w:tcPr>
            <w:tcW w:w="7088" w:type="dxa"/>
            <w:vMerge/>
            <w:shd w:val="clear" w:color="auto" w:fill="BFBFBF" w:themeFill="background1" w:themeFillShade="BF"/>
          </w:tcPr>
          <w:p w14:paraId="778B6B96" w14:textId="77777777" w:rsidR="00D4737E" w:rsidRPr="009A68C2" w:rsidRDefault="00D4737E" w:rsidP="00A80A3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14:paraId="59832015" w14:textId="4850B140" w:rsidR="00D4737E" w:rsidRPr="009A68C2" w:rsidRDefault="00617F76" w:rsidP="00A80A3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30DA2"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  <w:r w:rsidR="00D95DCF">
              <w:t xml:space="preserve"> </w:t>
            </w:r>
            <w:r w:rsidR="00D95DCF" w:rsidRPr="00D95DCF">
              <w:rPr>
                <w:rFonts w:ascii="GHEA Grapalat" w:hAnsi="GHEA Grapalat"/>
                <w:sz w:val="24"/>
                <w:szCs w:val="24"/>
                <w:lang w:val="hy-AM"/>
              </w:rPr>
              <w:t>01/29/7867-2021</w:t>
            </w:r>
          </w:p>
        </w:tc>
      </w:tr>
      <w:tr w:rsidR="00565638" w:rsidRPr="00DF055A" w14:paraId="31696FCC" w14:textId="77777777" w:rsidTr="00A80A35">
        <w:tc>
          <w:tcPr>
            <w:tcW w:w="7088" w:type="dxa"/>
          </w:tcPr>
          <w:p w14:paraId="5406C10A" w14:textId="6019C85A" w:rsidR="00D30DA2" w:rsidRDefault="00A80A35" w:rsidP="00A80A35">
            <w:pPr>
              <w:pStyle w:val="ListParagraph"/>
              <w:spacing w:after="0" w:line="240" w:lineRule="auto"/>
              <w:ind w:left="33" w:firstLine="68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="00D30DA2" w:rsidRPr="00D30DA2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արծում ենք, որ նախքան շահառուների շրջանակն ընդլայնելը և ժամկետներ երկարաձգելը անհրաժեշտ է գնահատել արդեն իսկ աջակցություն ստացած շահառուների գործունեության վրա միջոցառման ազդեցությունը, այն է՝ որքանո՞վ է ստացված օժանդակությունը նպաստել շահառուների՝ տնտեսական բնականոն գործունեության վերականգնմանը, և եթե վերջիններիս մոտ դեռևս շարունակվում են ֆինանսական բարդությունները, ապա արդյո՞ք փոխհատուցման նախատեսված հավելյալ ժամկետը նշանակալի գործոն կլինի այդ բարդությունների հաղթահարման գործում: Նշված հարցադրումների պատասխանները թույլ կտան բացահայտել նաև միջոցառման շարունակականության նպատակահարմարությունը: </w:t>
            </w:r>
          </w:p>
          <w:p w14:paraId="4BFE77C0" w14:textId="77777777" w:rsidR="00CB0DAC" w:rsidRDefault="00CB0DAC" w:rsidP="00A80A35">
            <w:pPr>
              <w:pStyle w:val="ListParagraph"/>
              <w:spacing w:after="0" w:line="240" w:lineRule="auto"/>
              <w:ind w:left="33" w:firstLine="68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9BED64C" w14:textId="77777777" w:rsidR="00CB0DAC" w:rsidRDefault="00CB0DAC" w:rsidP="00A80A35">
            <w:pPr>
              <w:pStyle w:val="ListParagraph"/>
              <w:spacing w:after="0" w:line="240" w:lineRule="auto"/>
              <w:ind w:left="33" w:firstLine="68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78AEEEE" w14:textId="77777777" w:rsidR="00CB0DAC" w:rsidRDefault="00CB0DAC" w:rsidP="00A80A35">
            <w:pPr>
              <w:pStyle w:val="ListParagraph"/>
              <w:spacing w:after="0" w:line="240" w:lineRule="auto"/>
              <w:ind w:left="33" w:firstLine="68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D7A6065" w14:textId="77777777" w:rsidR="00CB0DAC" w:rsidRDefault="00CB0DAC" w:rsidP="00A80A35">
            <w:pPr>
              <w:pStyle w:val="ListParagraph"/>
              <w:spacing w:after="0" w:line="240" w:lineRule="auto"/>
              <w:ind w:left="33" w:firstLine="68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CE7D9B5" w14:textId="77777777" w:rsidR="00CB0DAC" w:rsidRDefault="00CB0DAC" w:rsidP="00A80A35">
            <w:pPr>
              <w:pStyle w:val="ListParagraph"/>
              <w:spacing w:after="0" w:line="240" w:lineRule="auto"/>
              <w:ind w:left="33" w:firstLine="68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5CA54DC" w14:textId="77777777" w:rsidR="00CB0DAC" w:rsidRDefault="00CB0DAC" w:rsidP="00A80A35">
            <w:pPr>
              <w:pStyle w:val="ListParagraph"/>
              <w:spacing w:after="0" w:line="240" w:lineRule="auto"/>
              <w:ind w:left="33" w:firstLine="68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A8D86DF" w14:textId="77777777" w:rsidR="00CB0DAC" w:rsidRDefault="00CB0DAC" w:rsidP="00A80A35">
            <w:pPr>
              <w:pStyle w:val="ListParagraph"/>
              <w:spacing w:after="0" w:line="240" w:lineRule="auto"/>
              <w:ind w:left="33" w:firstLine="68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9D27356" w14:textId="77777777" w:rsidR="00CB0DAC" w:rsidRDefault="00CB0DAC" w:rsidP="00A80A35">
            <w:pPr>
              <w:pStyle w:val="ListParagraph"/>
              <w:spacing w:after="0" w:line="240" w:lineRule="auto"/>
              <w:ind w:left="33" w:firstLine="68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C04987A" w14:textId="77777777" w:rsidR="00CB0DAC" w:rsidRDefault="00CB0DAC" w:rsidP="00A80A35">
            <w:pPr>
              <w:pStyle w:val="ListParagraph"/>
              <w:spacing w:after="0" w:line="240" w:lineRule="auto"/>
              <w:ind w:left="33" w:firstLine="68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EF157B2" w14:textId="77777777" w:rsidR="00CB0DAC" w:rsidRDefault="00CB0DAC" w:rsidP="00A80A35">
            <w:pPr>
              <w:pStyle w:val="ListParagraph"/>
              <w:spacing w:after="0" w:line="240" w:lineRule="auto"/>
              <w:ind w:left="33" w:firstLine="68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245251D" w14:textId="77777777" w:rsidR="003A0425" w:rsidRDefault="003A0425" w:rsidP="00A80A35">
            <w:pPr>
              <w:pStyle w:val="ListParagraph"/>
              <w:spacing w:after="0" w:line="240" w:lineRule="auto"/>
              <w:ind w:left="33" w:firstLine="68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E2D825E" w14:textId="77777777" w:rsidR="003A0425" w:rsidRDefault="003A0425" w:rsidP="00A80A35">
            <w:pPr>
              <w:pStyle w:val="ListParagraph"/>
              <w:spacing w:after="0" w:line="240" w:lineRule="auto"/>
              <w:ind w:left="33" w:firstLine="68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8818ABE" w14:textId="77777777" w:rsidR="003A0425" w:rsidRDefault="003A0425" w:rsidP="00A80A35">
            <w:pPr>
              <w:pStyle w:val="ListParagraph"/>
              <w:spacing w:after="0" w:line="240" w:lineRule="auto"/>
              <w:ind w:left="33" w:firstLine="68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1FF9371" w14:textId="77777777" w:rsidR="003A0425" w:rsidRDefault="003A0425" w:rsidP="00A80A35">
            <w:pPr>
              <w:pStyle w:val="ListParagraph"/>
              <w:spacing w:after="0" w:line="240" w:lineRule="auto"/>
              <w:ind w:left="33" w:firstLine="68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C586CBA" w14:textId="77777777" w:rsidR="003A0425" w:rsidRDefault="003A0425" w:rsidP="00A80A35">
            <w:pPr>
              <w:pStyle w:val="ListParagraph"/>
              <w:spacing w:after="0" w:line="240" w:lineRule="auto"/>
              <w:ind w:left="33" w:firstLine="68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30D7D4D" w14:textId="77777777" w:rsidR="003A0425" w:rsidRDefault="003A0425" w:rsidP="00A80A35">
            <w:pPr>
              <w:pStyle w:val="ListParagraph"/>
              <w:spacing w:after="0" w:line="240" w:lineRule="auto"/>
              <w:ind w:left="33" w:firstLine="68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2D31445" w14:textId="77777777" w:rsidR="003A0425" w:rsidRDefault="003A0425" w:rsidP="00A80A35">
            <w:pPr>
              <w:pStyle w:val="ListParagraph"/>
              <w:spacing w:after="0" w:line="240" w:lineRule="auto"/>
              <w:ind w:left="33" w:firstLine="68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A7A79A2" w14:textId="77777777" w:rsidR="003A0425" w:rsidRDefault="003A0425" w:rsidP="00A80A35">
            <w:pPr>
              <w:pStyle w:val="ListParagraph"/>
              <w:spacing w:after="0" w:line="240" w:lineRule="auto"/>
              <w:ind w:left="33" w:firstLine="68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E650274" w14:textId="77777777" w:rsidR="003A0425" w:rsidRDefault="003A0425" w:rsidP="00A80A35">
            <w:pPr>
              <w:pStyle w:val="ListParagraph"/>
              <w:spacing w:after="0" w:line="240" w:lineRule="auto"/>
              <w:ind w:left="33" w:firstLine="68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06D87B6" w14:textId="77777777" w:rsidR="003A0425" w:rsidRDefault="003A0425" w:rsidP="00A80A35">
            <w:pPr>
              <w:pStyle w:val="ListParagraph"/>
              <w:spacing w:after="0" w:line="240" w:lineRule="auto"/>
              <w:ind w:left="33" w:firstLine="68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48DDE46" w14:textId="77777777" w:rsidR="003A0425" w:rsidRDefault="003A0425" w:rsidP="00A80A35">
            <w:pPr>
              <w:pStyle w:val="ListParagraph"/>
              <w:spacing w:after="0" w:line="240" w:lineRule="auto"/>
              <w:ind w:left="33" w:firstLine="68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0A779A1" w14:textId="77777777" w:rsidR="003A0425" w:rsidRDefault="003A0425" w:rsidP="00A80A35">
            <w:pPr>
              <w:pStyle w:val="ListParagraph"/>
              <w:spacing w:after="0" w:line="240" w:lineRule="auto"/>
              <w:ind w:left="33" w:firstLine="68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70C3D66" w14:textId="77777777" w:rsidR="003A0425" w:rsidRDefault="003A0425" w:rsidP="00A80A35">
            <w:pPr>
              <w:pStyle w:val="ListParagraph"/>
              <w:spacing w:after="0" w:line="240" w:lineRule="auto"/>
              <w:ind w:left="33" w:firstLine="68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349C231" w14:textId="77777777" w:rsidR="003A0425" w:rsidRDefault="003A0425" w:rsidP="00A80A35">
            <w:pPr>
              <w:pStyle w:val="ListParagraph"/>
              <w:spacing w:after="0" w:line="240" w:lineRule="auto"/>
              <w:ind w:left="33" w:firstLine="68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CBE4C62" w14:textId="77777777" w:rsidR="003A0425" w:rsidRDefault="003A0425" w:rsidP="00A80A35">
            <w:pPr>
              <w:pStyle w:val="ListParagraph"/>
              <w:spacing w:after="0" w:line="240" w:lineRule="auto"/>
              <w:ind w:left="33" w:firstLine="68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B930D66" w14:textId="77777777" w:rsidR="003A0425" w:rsidRDefault="003A0425" w:rsidP="00A80A35">
            <w:pPr>
              <w:pStyle w:val="ListParagraph"/>
              <w:spacing w:after="0" w:line="240" w:lineRule="auto"/>
              <w:ind w:left="33" w:firstLine="68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B5F336A" w14:textId="77777777" w:rsidR="003A0425" w:rsidRDefault="003A0425" w:rsidP="00A80A35">
            <w:pPr>
              <w:pStyle w:val="ListParagraph"/>
              <w:spacing w:after="0" w:line="240" w:lineRule="auto"/>
              <w:ind w:left="33" w:firstLine="68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D70ACA4" w14:textId="77777777" w:rsidR="003A0425" w:rsidRDefault="003A0425" w:rsidP="00A80A35">
            <w:pPr>
              <w:pStyle w:val="ListParagraph"/>
              <w:spacing w:after="0" w:line="240" w:lineRule="auto"/>
              <w:ind w:left="33" w:firstLine="68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4CF9122" w14:textId="77777777" w:rsidR="003A0425" w:rsidRDefault="003A0425" w:rsidP="00A80A35">
            <w:pPr>
              <w:pStyle w:val="ListParagraph"/>
              <w:spacing w:after="0" w:line="240" w:lineRule="auto"/>
              <w:ind w:left="33" w:firstLine="68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C3AC71C" w14:textId="77777777" w:rsidR="003A0425" w:rsidRDefault="003A0425" w:rsidP="00A80A35">
            <w:pPr>
              <w:pStyle w:val="ListParagraph"/>
              <w:spacing w:after="0" w:line="240" w:lineRule="auto"/>
              <w:ind w:left="33" w:firstLine="68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68415DC" w14:textId="77777777" w:rsidR="003A0425" w:rsidRDefault="003A0425" w:rsidP="00A80A35">
            <w:pPr>
              <w:pStyle w:val="ListParagraph"/>
              <w:spacing w:after="0" w:line="240" w:lineRule="auto"/>
              <w:ind w:left="33" w:firstLine="68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837C466" w14:textId="77777777" w:rsidR="003A0425" w:rsidRDefault="003A0425" w:rsidP="00A80A35">
            <w:pPr>
              <w:pStyle w:val="ListParagraph"/>
              <w:spacing w:after="0" w:line="240" w:lineRule="auto"/>
              <w:ind w:left="33" w:firstLine="68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2DE1CA7" w14:textId="77777777" w:rsidR="003A0425" w:rsidRDefault="003A0425" w:rsidP="00A80A35">
            <w:pPr>
              <w:pStyle w:val="ListParagraph"/>
              <w:spacing w:after="0" w:line="240" w:lineRule="auto"/>
              <w:ind w:left="33" w:firstLine="68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8CAAB2D" w14:textId="77777777" w:rsidR="003A0425" w:rsidRDefault="003A0425" w:rsidP="00A80A35">
            <w:pPr>
              <w:pStyle w:val="ListParagraph"/>
              <w:spacing w:after="0" w:line="240" w:lineRule="auto"/>
              <w:ind w:left="33" w:firstLine="68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3783CC3" w14:textId="77777777" w:rsidR="003A0425" w:rsidRDefault="003A0425" w:rsidP="00A80A35">
            <w:pPr>
              <w:pStyle w:val="ListParagraph"/>
              <w:spacing w:after="0" w:line="240" w:lineRule="auto"/>
              <w:ind w:left="33" w:firstLine="68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6A1267D" w14:textId="77777777" w:rsidR="003A0425" w:rsidRDefault="003A0425" w:rsidP="00A80A35">
            <w:pPr>
              <w:pStyle w:val="ListParagraph"/>
              <w:spacing w:after="0" w:line="240" w:lineRule="auto"/>
              <w:ind w:left="33" w:firstLine="68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862D80D" w14:textId="77777777" w:rsidR="003A0425" w:rsidRDefault="003A0425" w:rsidP="00A80A35">
            <w:pPr>
              <w:pStyle w:val="ListParagraph"/>
              <w:spacing w:after="0" w:line="240" w:lineRule="auto"/>
              <w:ind w:left="33" w:firstLine="68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69F33D9" w14:textId="77777777" w:rsidR="003A0425" w:rsidRDefault="003A0425" w:rsidP="00A80A35">
            <w:pPr>
              <w:pStyle w:val="ListParagraph"/>
              <w:spacing w:after="0" w:line="240" w:lineRule="auto"/>
              <w:ind w:left="33" w:firstLine="68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1F929AC" w14:textId="77777777" w:rsidR="003A0425" w:rsidRDefault="003A0425" w:rsidP="00A80A35">
            <w:pPr>
              <w:pStyle w:val="ListParagraph"/>
              <w:spacing w:after="0" w:line="240" w:lineRule="auto"/>
              <w:ind w:left="33" w:firstLine="68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04AF37A" w14:textId="77777777" w:rsidR="003A0425" w:rsidRDefault="003A0425" w:rsidP="00A80A35">
            <w:pPr>
              <w:pStyle w:val="ListParagraph"/>
              <w:spacing w:after="0" w:line="240" w:lineRule="auto"/>
              <w:ind w:left="33" w:firstLine="68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6F356F" w14:textId="77777777" w:rsidR="003A0425" w:rsidRDefault="003A0425" w:rsidP="00A80A35">
            <w:pPr>
              <w:pStyle w:val="ListParagraph"/>
              <w:spacing w:after="0" w:line="240" w:lineRule="auto"/>
              <w:ind w:left="33" w:firstLine="68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59AA8D9" w14:textId="77777777" w:rsidR="003A0425" w:rsidRDefault="003A0425" w:rsidP="00A80A35">
            <w:pPr>
              <w:pStyle w:val="ListParagraph"/>
              <w:spacing w:after="0" w:line="240" w:lineRule="auto"/>
              <w:ind w:left="33" w:firstLine="68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30026AC" w14:textId="77777777" w:rsidR="003A0425" w:rsidRDefault="003A0425" w:rsidP="00A80A35">
            <w:pPr>
              <w:pStyle w:val="ListParagraph"/>
              <w:spacing w:after="0" w:line="240" w:lineRule="auto"/>
              <w:ind w:left="33" w:firstLine="68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7745C26" w14:textId="77777777" w:rsidR="003A0425" w:rsidRDefault="003A0425" w:rsidP="00A80A35">
            <w:pPr>
              <w:pStyle w:val="ListParagraph"/>
              <w:spacing w:after="0" w:line="240" w:lineRule="auto"/>
              <w:ind w:left="33" w:firstLine="68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7CC469C" w14:textId="77777777" w:rsidR="003A0425" w:rsidRDefault="003A0425" w:rsidP="00A80A35">
            <w:pPr>
              <w:pStyle w:val="ListParagraph"/>
              <w:spacing w:after="0" w:line="240" w:lineRule="auto"/>
              <w:ind w:left="33" w:firstLine="68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6A4F9D2" w14:textId="77777777" w:rsidR="003A0425" w:rsidRDefault="003A0425" w:rsidP="00A80A35">
            <w:pPr>
              <w:pStyle w:val="ListParagraph"/>
              <w:spacing w:after="0" w:line="240" w:lineRule="auto"/>
              <w:ind w:left="33" w:firstLine="68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B5E1E66" w14:textId="51DDCFB6" w:rsidR="00D4737E" w:rsidRPr="00D30DA2" w:rsidRDefault="00D30DA2" w:rsidP="00A80A35">
            <w:pPr>
              <w:pStyle w:val="ListParagraph"/>
              <w:spacing w:after="0" w:line="240" w:lineRule="auto"/>
              <w:ind w:left="33" w:firstLine="68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30DA2">
              <w:rPr>
                <w:rFonts w:ascii="GHEA Grapalat" w:hAnsi="GHEA Grapalat"/>
                <w:sz w:val="24"/>
                <w:szCs w:val="24"/>
                <w:lang w:val="hy-AM"/>
              </w:rPr>
              <w:t>Միաժամանակ, նկատի ունենալով ՀՀ կառավարության պահուստային ֆոնդի ծանրաբեռնվածությունը, առաջարկում ենք Նախագծի 2-րդ կետում նշված առաջարկը ներկայացնելիս ֆինանսավորման աղբյուրը դիտարկել ՀՀ 2021 թվականի պետական բյուջեով ՀՀ էկոնոմիկայի նախարարությանը հատկացված ընդհանուր միջոցների շրջանակներում:</w:t>
            </w:r>
          </w:p>
        </w:tc>
        <w:tc>
          <w:tcPr>
            <w:tcW w:w="4536" w:type="dxa"/>
          </w:tcPr>
          <w:p w14:paraId="146C7702" w14:textId="15B9F9EA" w:rsidR="00212BB6" w:rsidRDefault="00E46AF8" w:rsidP="00A80A3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</w:t>
            </w:r>
            <w:r w:rsidR="00212BB6">
              <w:rPr>
                <w:rFonts w:ascii="GHEA Grapalat" w:hAnsi="GHEA Grapalat"/>
                <w:sz w:val="24"/>
                <w:szCs w:val="24"/>
                <w:lang w:val="hy-AM"/>
              </w:rPr>
              <w:t>նդունվել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է</w:t>
            </w:r>
          </w:p>
          <w:p w14:paraId="10A1B6C2" w14:textId="67F0AA53" w:rsidR="00CB0DAC" w:rsidRPr="00CB0DAC" w:rsidRDefault="00212BB6" w:rsidP="00A80A3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համաձայն հիմնավորման մեջ </w:t>
            </w:r>
            <w:r w:rsidR="00CB0DAC">
              <w:rPr>
                <w:rFonts w:ascii="GHEA Grapalat" w:hAnsi="GHEA Grapalat"/>
                <w:sz w:val="24"/>
                <w:szCs w:val="24"/>
                <w:lang w:val="hy-AM"/>
              </w:rPr>
              <w:t xml:space="preserve">ավելացվել է Միջոցառման ամփոփ արդյունքների և ազդեցության վերաբերյալ հավելյալ </w:t>
            </w:r>
            <w:r w:rsidR="003A0425">
              <w:rPr>
                <w:rFonts w:ascii="GHEA Grapalat" w:hAnsi="GHEA Grapalat"/>
                <w:sz w:val="24"/>
                <w:szCs w:val="24"/>
                <w:lang w:val="hy-AM"/>
              </w:rPr>
              <w:t>պարզաբանումներ</w:t>
            </w:r>
            <w:r w:rsidR="00A80A35" w:rsidRPr="00A80A35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="003A042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80A35">
              <w:rPr>
                <w:rFonts w:ascii="GHEA Grapalat" w:hAnsi="GHEA Grapalat"/>
                <w:sz w:val="24"/>
                <w:szCs w:val="24"/>
                <w:lang w:val="hy-AM"/>
              </w:rPr>
              <w:t>Ս</w:t>
            </w:r>
            <w:r w:rsidR="003A0425">
              <w:rPr>
                <w:rFonts w:ascii="GHEA Grapalat" w:hAnsi="GHEA Grapalat"/>
                <w:sz w:val="24"/>
                <w:szCs w:val="24"/>
                <w:lang w:val="hy-AM"/>
              </w:rPr>
              <w:t>ակայն</w:t>
            </w:r>
            <w:r w:rsidR="00CB0DAC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հատկանշական է, որ նախագծի հիմնավորմամբ ներկայացվել </w:t>
            </w:r>
            <w:r w:rsidR="00916A75">
              <w:rPr>
                <w:rFonts w:ascii="GHEA Grapalat" w:hAnsi="GHEA Grapalat"/>
                <w:sz w:val="24"/>
                <w:szCs w:val="24"/>
                <w:lang w:val="hy-AM"/>
              </w:rPr>
              <w:t>է հետևյալը․</w:t>
            </w:r>
            <w:r w:rsidR="00CB0DA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A0425">
              <w:rPr>
                <w:rFonts w:ascii="GHEA Grapalat" w:hAnsi="GHEA Grapalat"/>
                <w:sz w:val="24"/>
                <w:szCs w:val="24"/>
                <w:lang w:val="hy-AM"/>
              </w:rPr>
              <w:t xml:space="preserve">քանի որ Միջոցառման նպատակն է </w:t>
            </w:r>
            <w:r w:rsidR="003A0425" w:rsidRPr="003A0425">
              <w:rPr>
                <w:rFonts w:ascii="GHEA Grapalat" w:hAnsi="GHEA Grapalat"/>
                <w:sz w:val="24"/>
                <w:szCs w:val="24"/>
                <w:lang w:val="hy-AM"/>
              </w:rPr>
              <w:t xml:space="preserve">տուժած զբոսաշրջության ոլորտը սպասարկող տրանսպորտային ընկերությունների՝ զարգացման նպատակով ձեռքբերված վարկի դիմաց գրավի առարկա հանդիսացող գույքը պաշտպանելու նպատակով՝ Հայաստանի Հանրապետության առևտրային բանկերում և վարկային կազմակերպություններում գործող վարկերի տոկոսադրույքների </w:t>
            </w:r>
            <w:r w:rsidR="003A0425">
              <w:rPr>
                <w:rFonts w:ascii="GHEA Grapalat" w:hAnsi="GHEA Grapalat"/>
                <w:sz w:val="24"/>
                <w:szCs w:val="24"/>
                <w:lang w:val="hy-AM"/>
              </w:rPr>
              <w:t>սուբսիդավորումը և քանի որ կորոնավիրուսի ազդեցությունը զ</w:t>
            </w:r>
            <w:r w:rsidR="00CB0DAC" w:rsidRPr="00CB0DAC">
              <w:rPr>
                <w:rFonts w:ascii="GHEA Grapalat" w:hAnsi="GHEA Grapalat"/>
                <w:sz w:val="24"/>
                <w:szCs w:val="24"/>
                <w:lang w:val="hy-AM"/>
              </w:rPr>
              <w:t xml:space="preserve">բոսաշրջային </w:t>
            </w:r>
            <w:r w:rsidR="003A0425">
              <w:rPr>
                <w:rFonts w:ascii="GHEA Grapalat" w:hAnsi="GHEA Grapalat"/>
                <w:sz w:val="24"/>
                <w:szCs w:val="24"/>
                <w:lang w:val="hy-AM"/>
              </w:rPr>
              <w:t xml:space="preserve">հոսքերի վրա շարունակվում է, </w:t>
            </w:r>
            <w:r w:rsidR="00CB0DAC" w:rsidRPr="00CB0DAC">
              <w:rPr>
                <w:rFonts w:ascii="GHEA Grapalat" w:hAnsi="GHEA Grapalat"/>
                <w:sz w:val="24"/>
                <w:szCs w:val="24"/>
                <w:lang w:val="hy-AM"/>
              </w:rPr>
              <w:t xml:space="preserve">զբոսաշրջության ոլորտը սպասարկող տրանսպորտային ընկերությունների մոտ դեռևս շարունակվում են տնտեսական բնականոն գործունեությանը վերադառնալու դժվարությունները։ Վերջիններիս մոտ շարունակվող ֆինանսական բարդությունները խնդիրներ կարող են ստեղծել հետագա բնականոն գործունեությանը վերադառնալու և աշխատատեղերը պահպանելու տեսանկյունից։ </w:t>
            </w:r>
          </w:p>
          <w:p w14:paraId="3C40C32A" w14:textId="16C331C2" w:rsidR="00212BB6" w:rsidRDefault="00CB0DAC" w:rsidP="00A80A3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B0DA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Ստեղծված իրավիճակում</w:t>
            </w:r>
            <w:r w:rsidR="003A0425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ուսումնասիրությունը</w:t>
            </w:r>
            <w:r w:rsidR="00916A75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միջոցառման մշտադիտարկման արդյունքները</w:t>
            </w:r>
            <w:r w:rsidR="003A0425">
              <w:rPr>
                <w:rFonts w:ascii="GHEA Grapalat" w:hAnsi="GHEA Grapalat"/>
                <w:sz w:val="24"/>
                <w:szCs w:val="24"/>
                <w:lang w:val="hy-AM"/>
              </w:rPr>
              <w:t xml:space="preserve"> ցույց </w:t>
            </w:r>
            <w:r w:rsidR="00916A75"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 w:rsidR="003A0425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տալիս, որ 25-րդ միջոցառման իրականացման արդյունքում շահառուները կարողացել են պահպանել</w:t>
            </w:r>
            <w:r w:rsidRPr="00CB0DA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A042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A0425" w:rsidRPr="003A0425">
              <w:rPr>
                <w:rFonts w:ascii="GHEA Grapalat" w:hAnsi="GHEA Grapalat"/>
                <w:sz w:val="24"/>
                <w:szCs w:val="24"/>
                <w:lang w:val="hy-AM"/>
              </w:rPr>
              <w:t>զարգացման նպատակով ձեռքբերված վարկի դիմաց գրավի առարկա հանդիսացող գույքը</w:t>
            </w:r>
            <w:r w:rsidR="003A0425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սակայն վերջիններս մինչև տուրստական հոսքերի ակտիվացումը </w:t>
            </w:r>
            <w:r w:rsidRPr="00CB0DAC">
              <w:rPr>
                <w:rFonts w:ascii="GHEA Grapalat" w:hAnsi="GHEA Grapalat"/>
                <w:sz w:val="24"/>
                <w:szCs w:val="24"/>
                <w:lang w:val="hy-AM"/>
              </w:rPr>
              <w:t xml:space="preserve">դեռևս կարիք ունեն լրացուցիչ ֆինանսական միջոցների ներգրավման՝ իրենց գործունեության շարունակականությունն ապահովելու </w:t>
            </w:r>
            <w:r w:rsidR="003A0425">
              <w:rPr>
                <w:rFonts w:ascii="GHEA Grapalat" w:hAnsi="GHEA Grapalat"/>
                <w:sz w:val="24"/>
                <w:szCs w:val="24"/>
                <w:lang w:val="hy-AM"/>
              </w:rPr>
              <w:t>նպատակով։</w:t>
            </w:r>
            <w:r w:rsidR="00916A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66073">
              <w:rPr>
                <w:rFonts w:ascii="GHEA Grapalat" w:hAnsi="GHEA Grapalat"/>
                <w:sz w:val="24"/>
                <w:szCs w:val="24"/>
                <w:lang w:val="hy-AM"/>
              </w:rPr>
              <w:t>Հետևաբար,</w:t>
            </w:r>
            <w:r w:rsidR="00916A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A042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02FB8">
              <w:rPr>
                <w:rFonts w:ascii="GHEA Grapalat" w:hAnsi="GHEA Grapalat"/>
                <w:sz w:val="24"/>
                <w:szCs w:val="24"/>
                <w:lang w:val="hy-AM"/>
              </w:rPr>
              <w:t>հաշվի առնելով Միջոցառման շրջանակներում արդեն տրամադրված օժանդակության արդյունավետության պահպանումը և պայմանների բարելավման հնարավորությունը՝ առաջ է գալիս Նախագծով առաջարկվող փոփոխությունների անհրաժեշտությունը։</w:t>
            </w:r>
          </w:p>
          <w:p w14:paraId="45E5A821" w14:textId="77777777" w:rsidR="00212BB6" w:rsidRDefault="00212BB6" w:rsidP="00A80A3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38F6351" w14:textId="77777777" w:rsidR="00212BB6" w:rsidRDefault="00212BB6" w:rsidP="00A80A3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Չի ընդունվել</w:t>
            </w:r>
          </w:p>
          <w:p w14:paraId="1BDE121C" w14:textId="655E9A59" w:rsidR="00212BB6" w:rsidRPr="009A68C2" w:rsidRDefault="00212BB6" w:rsidP="00A80A3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էկոնոմիկայի նախարարության կողմից իրականացվող ծրագրերի գծով տնտեսումներ չեն կանխատեսվում, ընդհակառակը՝ ստանձնած պարտավորությունների կատարման նպատակով անհրաժեշտ է լրացուցիչ ֆինանսական միջոցների ներգրավում։ </w:t>
            </w:r>
          </w:p>
        </w:tc>
      </w:tr>
      <w:tr w:rsidR="00565638" w:rsidRPr="00D30DA2" w14:paraId="71E1B614" w14:textId="77777777" w:rsidTr="00A80A35">
        <w:trPr>
          <w:trHeight w:val="315"/>
        </w:trPr>
        <w:tc>
          <w:tcPr>
            <w:tcW w:w="7088" w:type="dxa"/>
            <w:vMerge w:val="restart"/>
            <w:shd w:val="clear" w:color="auto" w:fill="BFBFBF" w:themeFill="background1" w:themeFillShade="BF"/>
          </w:tcPr>
          <w:p w14:paraId="2396BF80" w14:textId="59A6AAE0" w:rsidR="0044557C" w:rsidRPr="009A68C2" w:rsidRDefault="00D30DA2" w:rsidP="00A80A35">
            <w:pPr>
              <w:ind w:left="216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 xml:space="preserve">2. </w:t>
            </w:r>
            <w:r w:rsidR="00600D43" w:rsidRPr="009A68C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 w:rsidR="0072307A">
              <w:rPr>
                <w:rFonts w:ascii="GHEA Grapalat" w:hAnsi="GHEA Grapalat"/>
                <w:sz w:val="24"/>
                <w:szCs w:val="24"/>
                <w:lang w:val="hy-AM"/>
              </w:rPr>
              <w:t>պետական եկամուտների կոմիտե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693D5B3A" w14:textId="0D1C05AD" w:rsidR="0044557C" w:rsidRPr="009A68C2" w:rsidRDefault="00617F76" w:rsidP="00A80A3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30DA2">
              <w:rPr>
                <w:rFonts w:ascii="GHEA Grapalat" w:hAnsi="GHEA Grapalat"/>
                <w:sz w:val="24"/>
                <w:szCs w:val="24"/>
                <w:lang w:val="hy-AM"/>
              </w:rPr>
              <w:t>14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.05</w:t>
            </w:r>
            <w:r w:rsidR="00600D43" w:rsidRPr="009A68C2">
              <w:rPr>
                <w:rFonts w:ascii="GHEA Grapalat" w:hAnsi="GHEA Grapalat"/>
                <w:sz w:val="24"/>
                <w:szCs w:val="24"/>
                <w:lang w:val="hy-AM"/>
              </w:rPr>
              <w:t>.2021թ.</w:t>
            </w:r>
          </w:p>
        </w:tc>
      </w:tr>
      <w:tr w:rsidR="00565638" w:rsidRPr="00D30DA2" w14:paraId="6EF9D134" w14:textId="77777777" w:rsidTr="00A80A35">
        <w:trPr>
          <w:trHeight w:val="333"/>
        </w:trPr>
        <w:tc>
          <w:tcPr>
            <w:tcW w:w="7088" w:type="dxa"/>
            <w:vMerge/>
            <w:shd w:val="clear" w:color="auto" w:fill="BFBFBF" w:themeFill="background1" w:themeFillShade="BF"/>
          </w:tcPr>
          <w:p w14:paraId="7B1320B0" w14:textId="77777777" w:rsidR="0044557C" w:rsidRPr="009A68C2" w:rsidRDefault="0044557C" w:rsidP="00A80A3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14:paraId="27D9F0DB" w14:textId="2964979C" w:rsidR="0044557C" w:rsidRPr="009A68C2" w:rsidRDefault="00617F76" w:rsidP="00A80A3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30DA2"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  <w:r w:rsidR="00D95DCF">
              <w:t xml:space="preserve"> </w:t>
            </w:r>
            <w:r w:rsidR="00D95DCF" w:rsidRPr="00D95DCF">
              <w:rPr>
                <w:rFonts w:ascii="GHEA Grapalat" w:hAnsi="GHEA Grapalat"/>
                <w:sz w:val="24"/>
                <w:szCs w:val="24"/>
                <w:lang w:val="hy-AM"/>
              </w:rPr>
              <w:t>01/3-3/28808-2021</w:t>
            </w:r>
          </w:p>
        </w:tc>
      </w:tr>
      <w:tr w:rsidR="00600D43" w:rsidRPr="00D30DA2" w14:paraId="4870EC12" w14:textId="77777777" w:rsidTr="00A80A35">
        <w:tc>
          <w:tcPr>
            <w:tcW w:w="7088" w:type="dxa"/>
          </w:tcPr>
          <w:p w14:paraId="08ADDCFC" w14:textId="326C5286" w:rsidR="00600D43" w:rsidRPr="009A68C2" w:rsidRDefault="00600D43" w:rsidP="00A80A35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68C2">
              <w:rPr>
                <w:rFonts w:ascii="GHEA Grapalat" w:hAnsi="GHEA Grapalat"/>
                <w:sz w:val="24"/>
                <w:szCs w:val="24"/>
                <w:lang w:val="hy-AM"/>
              </w:rPr>
              <w:t>Դիտողություններ և առաջարկություններ չկան</w:t>
            </w:r>
          </w:p>
        </w:tc>
        <w:tc>
          <w:tcPr>
            <w:tcW w:w="4536" w:type="dxa"/>
          </w:tcPr>
          <w:p w14:paraId="110358C3" w14:textId="1618BB03" w:rsidR="00600D43" w:rsidRPr="009A68C2" w:rsidRDefault="00600D43" w:rsidP="00A80A35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9A68C2">
              <w:rPr>
                <w:rFonts w:ascii="GHEA Grapalat" w:hAnsi="GHEA Grapalat"/>
                <w:sz w:val="24"/>
                <w:szCs w:val="24"/>
                <w:lang w:val="hy-AM"/>
              </w:rPr>
              <w:t xml:space="preserve">Ընդունվել է </w:t>
            </w:r>
          </w:p>
        </w:tc>
      </w:tr>
      <w:tr w:rsidR="00D30DA2" w:rsidRPr="00D30DA2" w14:paraId="2315AA0A" w14:textId="77777777" w:rsidTr="00A80A35">
        <w:tc>
          <w:tcPr>
            <w:tcW w:w="7088" w:type="dxa"/>
            <w:vMerge w:val="restart"/>
            <w:shd w:val="clear" w:color="auto" w:fill="BFBFBF" w:themeFill="background1" w:themeFillShade="BF"/>
          </w:tcPr>
          <w:p w14:paraId="43B54003" w14:textId="581482E0" w:rsidR="00D30DA2" w:rsidRPr="00D30DA2" w:rsidRDefault="00D30DA2" w:rsidP="00A80A35">
            <w:pPr>
              <w:pStyle w:val="ListParagraph"/>
              <w:spacing w:after="0" w:line="240" w:lineRule="auto"/>
              <w:ind w:left="21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30DA2"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ՀՀ կենտրոնական բանկ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1B659519" w14:textId="77777777" w:rsidR="00D30DA2" w:rsidRPr="00D30DA2" w:rsidRDefault="00D30DA2" w:rsidP="00A80A35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30DA2" w:rsidRPr="00D30DA2" w14:paraId="112BD23A" w14:textId="77777777" w:rsidTr="00A80A35">
        <w:tc>
          <w:tcPr>
            <w:tcW w:w="7088" w:type="dxa"/>
            <w:vMerge/>
            <w:shd w:val="clear" w:color="auto" w:fill="BFBFBF" w:themeFill="background1" w:themeFillShade="BF"/>
          </w:tcPr>
          <w:p w14:paraId="1128FFD4" w14:textId="77777777" w:rsidR="00D30DA2" w:rsidRPr="009A68C2" w:rsidRDefault="00D30DA2" w:rsidP="00A80A3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14:paraId="6CEB1259" w14:textId="77777777" w:rsidR="00D30DA2" w:rsidRPr="00D30DA2" w:rsidRDefault="00D30DA2" w:rsidP="00A80A35">
            <w:pPr>
              <w:ind w:left="360"/>
              <w:rPr>
                <w:rFonts w:ascii="GHEA Grapalat" w:eastAsiaTheme="minorEastAsia" w:hAnsi="GHEA Grapalat"/>
                <w:sz w:val="24"/>
                <w:szCs w:val="24"/>
                <w:lang w:val="hy-AM"/>
              </w:rPr>
            </w:pPr>
          </w:p>
        </w:tc>
      </w:tr>
      <w:tr w:rsidR="00D30DA2" w:rsidRPr="00D30DA2" w14:paraId="7A6ECF8B" w14:textId="77777777" w:rsidTr="00A80A35">
        <w:tc>
          <w:tcPr>
            <w:tcW w:w="7088" w:type="dxa"/>
          </w:tcPr>
          <w:p w14:paraId="592CB224" w14:textId="0BEE1F59" w:rsidR="00D30DA2" w:rsidRPr="00D30DA2" w:rsidRDefault="00D30DA2" w:rsidP="00A80A35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Կարծիք չի ներկայացվել</w:t>
            </w:r>
          </w:p>
        </w:tc>
        <w:tc>
          <w:tcPr>
            <w:tcW w:w="4536" w:type="dxa"/>
          </w:tcPr>
          <w:p w14:paraId="22BAFC53" w14:textId="4FF451C2" w:rsidR="00D30DA2" w:rsidRPr="009A68C2" w:rsidRDefault="00D30DA2" w:rsidP="00A80A3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0333C6" w:rsidRPr="00D30DA2" w14:paraId="1E6CA7DF" w14:textId="77777777" w:rsidTr="000333C6">
        <w:tc>
          <w:tcPr>
            <w:tcW w:w="7088" w:type="dxa"/>
            <w:vMerge w:val="restart"/>
            <w:shd w:val="clear" w:color="auto" w:fill="BFBFBF" w:themeFill="background1" w:themeFillShade="BF"/>
          </w:tcPr>
          <w:p w14:paraId="6091A193" w14:textId="447541B8" w:rsidR="000333C6" w:rsidRPr="000333C6" w:rsidRDefault="000333C6" w:rsidP="000333C6">
            <w:pPr>
              <w:pStyle w:val="ListParagraph"/>
              <w:tabs>
                <w:tab w:val="left" w:pos="0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4.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ՀՀ արդարադատության նախարարություն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4DF08009" w14:textId="6ACAF62A" w:rsidR="000333C6" w:rsidRPr="000333C6" w:rsidRDefault="000333C6" w:rsidP="00A80A3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30.05.2021թ․</w:t>
            </w:r>
          </w:p>
        </w:tc>
      </w:tr>
      <w:tr w:rsidR="000333C6" w:rsidRPr="00D30DA2" w14:paraId="48A321F6" w14:textId="77777777" w:rsidTr="000333C6">
        <w:tc>
          <w:tcPr>
            <w:tcW w:w="7088" w:type="dxa"/>
            <w:vMerge/>
            <w:shd w:val="clear" w:color="auto" w:fill="BFBFBF" w:themeFill="background1" w:themeFillShade="BF"/>
          </w:tcPr>
          <w:p w14:paraId="5B979CBB" w14:textId="77777777" w:rsidR="000333C6" w:rsidRDefault="000333C6" w:rsidP="00A80A35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14:paraId="62649B35" w14:textId="73061348" w:rsidR="000333C6" w:rsidRPr="000333C6" w:rsidRDefault="000333C6" w:rsidP="00A80A3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N </w:t>
            </w:r>
            <w:r w:rsidRPr="000333C6">
              <w:rPr>
                <w:rFonts w:ascii="GHEA Grapalat" w:hAnsi="GHEA Grapalat"/>
                <w:sz w:val="24"/>
                <w:szCs w:val="24"/>
              </w:rPr>
              <w:t>/27.2/14653-2021</w:t>
            </w:r>
          </w:p>
        </w:tc>
      </w:tr>
      <w:tr w:rsidR="000333C6" w:rsidRPr="00D30DA2" w14:paraId="69C90E45" w14:textId="77777777" w:rsidTr="00A80A35">
        <w:tc>
          <w:tcPr>
            <w:tcW w:w="7088" w:type="dxa"/>
          </w:tcPr>
          <w:p w14:paraId="32E4AECD" w14:textId="574C8211" w:rsidR="000333C6" w:rsidRPr="000333C6" w:rsidRDefault="000333C6" w:rsidP="000333C6">
            <w:pPr>
              <w:pStyle w:val="ListParagraph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333C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«Հայաստանի Հանրապետության կառավարության 2020 թվականի սեպտեմբերի   22-ի N 1549-Լ «Կորոնավիրուսի տնտեսական հետևանքների չեզոքացման քսանհինգերորդ միջոցառումը հաստատելու մասին» որոշման մեջ փոփոխություններ և լրացումներ կատարելու մասին» Հայաստանի Հանրապետության կառավարության որոշման նախագծի (այսուհետ՝ Նախագիծ) վերնագրում անհրաժեշտ է նշել Հայաստանի Հանրապետության կառավարության 2020 թվականի սեպտեմբերի 22-ի N 1549-Լ որոշման կրճատ անվանումը՝ հիմք ընդունելով «Նորմատիվ իրավական ակտերի մասին» ՀՀ օրենքի 12-րդ հոդվածի 5-րդ մասի և 18-րդ հոդվածի 6-րդ մասի իրավակարգավորումները:</w:t>
            </w:r>
          </w:p>
          <w:p w14:paraId="0A12C445" w14:textId="01823462" w:rsidR="000333C6" w:rsidRPr="000333C6" w:rsidRDefault="000333C6" w:rsidP="000333C6">
            <w:pPr>
              <w:pStyle w:val="ListParagraph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333C6">
              <w:rPr>
                <w:rFonts w:ascii="GHEA Grapalat" w:hAnsi="GHEA Grapalat"/>
                <w:sz w:val="24"/>
                <w:szCs w:val="24"/>
                <w:lang w:val="hy-AM"/>
              </w:rPr>
              <w:t>Նախագծի 1-ին կետի 1-ին պարբերությունում «որոշման» բառից հետո անհրաժեշտ է լրացնել «մեջ» բառը:</w:t>
            </w:r>
          </w:p>
          <w:p w14:paraId="22455B17" w14:textId="77777777" w:rsidR="000333C6" w:rsidRPr="000333C6" w:rsidRDefault="000333C6" w:rsidP="000333C6">
            <w:pPr>
              <w:pStyle w:val="ListParagraph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333C6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Նախագծի 1-ին կետի 2-րդ ենթակետի ա. պարբերությունն անհրաժեշտ է վերաշարադրել՝ հաշվի առնելով, որ սահմանվել է գործողության կատարում՝ նշելով սույն որոշման ընդունման օրվանից, իսկ ներկայացված՝ փոփոխություններ և լրացումներ նախատեսող որոշման նախագծի ընդունվելու դեպքում, վերջինիս դրույթներն ինկորպորացվելու են Հայաստանի Հանրապետության կառավարության 2020 թվականի սեպտեմբերի 22-ի N 1549-Լ որոշման մեջ, որն արդեն իսկ ուժի մեջ է մտել 2020 թվականի սեպտեմբերի 22-ին: </w:t>
            </w:r>
          </w:p>
          <w:p w14:paraId="5D4C8D97" w14:textId="6C9EC701" w:rsidR="000333C6" w:rsidRPr="000333C6" w:rsidRDefault="000333C6" w:rsidP="000333C6">
            <w:pPr>
              <w:pStyle w:val="ListParagraph"/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333C6">
              <w:rPr>
                <w:rFonts w:ascii="GHEA Grapalat" w:hAnsi="GHEA Grapalat"/>
                <w:sz w:val="24"/>
                <w:szCs w:val="24"/>
                <w:lang w:val="hy-AM"/>
              </w:rPr>
              <w:t>Նույն դիտողությունը վերաբերում է Նախագծի 1-ին կետի 2-րդ ենթակետի բ. պարբերությանը:</w:t>
            </w:r>
          </w:p>
          <w:p w14:paraId="5CE0BA36" w14:textId="5D274A94" w:rsidR="000333C6" w:rsidRPr="000333C6" w:rsidRDefault="000333C6" w:rsidP="000333C6">
            <w:pPr>
              <w:pStyle w:val="ListParagraph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333C6">
              <w:rPr>
                <w:rFonts w:ascii="GHEA Grapalat" w:hAnsi="GHEA Grapalat"/>
                <w:sz w:val="24"/>
                <w:szCs w:val="24"/>
                <w:lang w:val="hy-AM"/>
              </w:rPr>
              <w:t>Նախագծի 1-ին կետի 2-րդ ենթակետի բ. պարբերությունում նախատեսվել է «ամիսը» բառից հետո կատարել լրացում, մինչդեռ Հայաստանի Հանրապետության կառավարության 2020 թվականի սեպտեմբերի 22-ի N 1549-Լ որոշման N 2 հավելվածի 1-ին կետի 5-րդ ենթակետում «ամիսը» բառ չկա:</w:t>
            </w:r>
          </w:p>
          <w:p w14:paraId="29D4635C" w14:textId="5C24EA30" w:rsidR="000333C6" w:rsidRPr="00DF055A" w:rsidRDefault="000333C6" w:rsidP="000333C6">
            <w:pPr>
              <w:pStyle w:val="ListParagraph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333C6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Նախագծի 2-րդ կետում անհրաժեշտ է հստակ նշել, թե ում են ներկայացվում առաջարկությունները: Նույն կետում անհրաժեշտ է նշել Հայաստանի Հանրապետության կառավարության 2020 թվականի դեկտեմբերի 30-ի N 2215-Ն որոշման կրճատ անվանումը՝ հիմք ընդունելով «Նորմատիվ իրավական </w:t>
            </w:r>
            <w:r w:rsidRPr="000333C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ակտերի մասին» ՀՀ օրենքի 12-րդ հոդվածի 5-րդ մասի և 18-րդ հոդվածի 6-րդ մասի իրավակարգավորումները:</w:t>
            </w:r>
          </w:p>
        </w:tc>
        <w:tc>
          <w:tcPr>
            <w:tcW w:w="4536" w:type="dxa"/>
          </w:tcPr>
          <w:p w14:paraId="10DBD27C" w14:textId="77777777" w:rsidR="000333C6" w:rsidRDefault="0037031D" w:rsidP="00A80A3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Ընդունվել է</w:t>
            </w:r>
          </w:p>
          <w:p w14:paraId="256FA442" w14:textId="77777777" w:rsidR="0037031D" w:rsidRDefault="0037031D" w:rsidP="00A80A3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9E8EDC4" w14:textId="77777777" w:rsidR="0037031D" w:rsidRDefault="0037031D" w:rsidP="00A80A3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44DECC6" w14:textId="77777777" w:rsidR="0037031D" w:rsidRDefault="0037031D" w:rsidP="00A80A3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615709F" w14:textId="77777777" w:rsidR="0037031D" w:rsidRDefault="0037031D" w:rsidP="00A80A3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DD2F1DF" w14:textId="77777777" w:rsidR="0037031D" w:rsidRDefault="0037031D" w:rsidP="00A80A3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80635E9" w14:textId="77777777" w:rsidR="0037031D" w:rsidRDefault="0037031D" w:rsidP="00A80A3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0782D60" w14:textId="77777777" w:rsidR="0037031D" w:rsidRDefault="0037031D" w:rsidP="00A80A3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60E473E" w14:textId="77777777" w:rsidR="0037031D" w:rsidRDefault="0037031D" w:rsidP="00A80A3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1C80151" w14:textId="77777777" w:rsidR="0037031D" w:rsidRDefault="0037031D" w:rsidP="00A80A3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708AE2B" w14:textId="77777777" w:rsidR="0037031D" w:rsidRDefault="0037031D" w:rsidP="00A80A3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D923420" w14:textId="77777777" w:rsidR="0037031D" w:rsidRDefault="0037031D" w:rsidP="00A80A3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34E4ABD" w14:textId="77777777" w:rsidR="0037031D" w:rsidRDefault="0037031D" w:rsidP="00A80A3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0D9949E" w14:textId="77777777" w:rsidR="0037031D" w:rsidRDefault="0037031D" w:rsidP="00A80A3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3F49A1C" w14:textId="1C2CC559" w:rsidR="0037031D" w:rsidRPr="009A68C2" w:rsidRDefault="0037031D" w:rsidP="00A80A3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1D22F4E1" w14:textId="77777777" w:rsidR="00C03679" w:rsidRPr="009A68C2" w:rsidRDefault="00C03679" w:rsidP="00A80A35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C03679" w:rsidRPr="009A68C2" w:rsidSect="001755A0">
      <w:pgSz w:w="12240" w:h="15840"/>
      <w:pgMar w:top="1134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432"/>
    <w:multiLevelType w:val="hybridMultilevel"/>
    <w:tmpl w:val="20EA0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1E14"/>
    <w:multiLevelType w:val="hybridMultilevel"/>
    <w:tmpl w:val="007C1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46F6"/>
    <w:multiLevelType w:val="hybridMultilevel"/>
    <w:tmpl w:val="3FFE5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0A87"/>
    <w:multiLevelType w:val="hybridMultilevel"/>
    <w:tmpl w:val="0FDE268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0A05958"/>
    <w:multiLevelType w:val="hybridMultilevel"/>
    <w:tmpl w:val="2E528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83B59"/>
    <w:multiLevelType w:val="hybridMultilevel"/>
    <w:tmpl w:val="D4F4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B67C2"/>
    <w:multiLevelType w:val="hybridMultilevel"/>
    <w:tmpl w:val="EF1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67305"/>
    <w:multiLevelType w:val="hybridMultilevel"/>
    <w:tmpl w:val="CA12D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A6D92"/>
    <w:multiLevelType w:val="hybridMultilevel"/>
    <w:tmpl w:val="C2CCA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82C63"/>
    <w:multiLevelType w:val="hybridMultilevel"/>
    <w:tmpl w:val="C83C5D2E"/>
    <w:lvl w:ilvl="0" w:tplc="CABE809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05D34AC"/>
    <w:multiLevelType w:val="hybridMultilevel"/>
    <w:tmpl w:val="63288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53136"/>
    <w:multiLevelType w:val="hybridMultilevel"/>
    <w:tmpl w:val="60949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77BB3"/>
    <w:multiLevelType w:val="hybridMultilevel"/>
    <w:tmpl w:val="6C881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D5C8C"/>
    <w:multiLevelType w:val="hybridMultilevel"/>
    <w:tmpl w:val="2E528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F6935"/>
    <w:multiLevelType w:val="hybridMultilevel"/>
    <w:tmpl w:val="396C4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570E9"/>
    <w:multiLevelType w:val="hybridMultilevel"/>
    <w:tmpl w:val="12800922"/>
    <w:lvl w:ilvl="0" w:tplc="295872EA">
      <w:start w:val="1"/>
      <w:numFmt w:val="decimal"/>
      <w:lvlText w:val="%1."/>
      <w:lvlJc w:val="left"/>
      <w:pPr>
        <w:ind w:left="927" w:hanging="360"/>
      </w:pPr>
      <w:rPr>
        <w:rFonts w:cs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7C048D6"/>
    <w:multiLevelType w:val="hybridMultilevel"/>
    <w:tmpl w:val="C7BE5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A1BF2"/>
    <w:multiLevelType w:val="hybridMultilevel"/>
    <w:tmpl w:val="66CAC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2"/>
  </w:num>
  <w:num w:numId="7">
    <w:abstractNumId w:val="17"/>
  </w:num>
  <w:num w:numId="8">
    <w:abstractNumId w:val="10"/>
  </w:num>
  <w:num w:numId="9">
    <w:abstractNumId w:val="1"/>
  </w:num>
  <w:num w:numId="10">
    <w:abstractNumId w:val="14"/>
  </w:num>
  <w:num w:numId="11">
    <w:abstractNumId w:val="4"/>
  </w:num>
  <w:num w:numId="12">
    <w:abstractNumId w:val="13"/>
  </w:num>
  <w:num w:numId="13">
    <w:abstractNumId w:val="5"/>
  </w:num>
  <w:num w:numId="14">
    <w:abstractNumId w:val="15"/>
  </w:num>
  <w:num w:numId="15">
    <w:abstractNumId w:val="3"/>
  </w:num>
  <w:num w:numId="16">
    <w:abstractNumId w:val="8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18"/>
    <w:rsid w:val="000250E0"/>
    <w:rsid w:val="000333C6"/>
    <w:rsid w:val="00035833"/>
    <w:rsid w:val="00043C09"/>
    <w:rsid w:val="00076329"/>
    <w:rsid w:val="00093FD9"/>
    <w:rsid w:val="0009571D"/>
    <w:rsid w:val="00095E1E"/>
    <w:rsid w:val="000A2EAF"/>
    <w:rsid w:val="000B4E41"/>
    <w:rsid w:val="000D2D2A"/>
    <w:rsid w:val="000E04D8"/>
    <w:rsid w:val="000E47E9"/>
    <w:rsid w:val="000E7139"/>
    <w:rsid w:val="00113436"/>
    <w:rsid w:val="00134ED5"/>
    <w:rsid w:val="001369C3"/>
    <w:rsid w:val="001504A0"/>
    <w:rsid w:val="00162248"/>
    <w:rsid w:val="001645FC"/>
    <w:rsid w:val="00171AF8"/>
    <w:rsid w:val="001755A0"/>
    <w:rsid w:val="00186CB3"/>
    <w:rsid w:val="001A3FB9"/>
    <w:rsid w:val="001A4948"/>
    <w:rsid w:val="001C07BD"/>
    <w:rsid w:val="001C714E"/>
    <w:rsid w:val="001D42D8"/>
    <w:rsid w:val="001F6418"/>
    <w:rsid w:val="00212BB6"/>
    <w:rsid w:val="00215B69"/>
    <w:rsid w:val="002254F0"/>
    <w:rsid w:val="00225BA1"/>
    <w:rsid w:val="00257B0F"/>
    <w:rsid w:val="00265D36"/>
    <w:rsid w:val="00271924"/>
    <w:rsid w:val="00296BDC"/>
    <w:rsid w:val="002B7DCB"/>
    <w:rsid w:val="002C136A"/>
    <w:rsid w:val="002C47EF"/>
    <w:rsid w:val="0030115C"/>
    <w:rsid w:val="0033123D"/>
    <w:rsid w:val="0033221B"/>
    <w:rsid w:val="00334BA9"/>
    <w:rsid w:val="00360CBC"/>
    <w:rsid w:val="0037031D"/>
    <w:rsid w:val="003926FC"/>
    <w:rsid w:val="003A0425"/>
    <w:rsid w:val="003A288E"/>
    <w:rsid w:val="003A5FA5"/>
    <w:rsid w:val="003E0531"/>
    <w:rsid w:val="003E19B3"/>
    <w:rsid w:val="003F108B"/>
    <w:rsid w:val="003F69E8"/>
    <w:rsid w:val="0044557C"/>
    <w:rsid w:val="004574CE"/>
    <w:rsid w:val="0047106C"/>
    <w:rsid w:val="00480069"/>
    <w:rsid w:val="00484A5F"/>
    <w:rsid w:val="00491AE9"/>
    <w:rsid w:val="00494F43"/>
    <w:rsid w:val="004E4614"/>
    <w:rsid w:val="004E7909"/>
    <w:rsid w:val="004E7C0F"/>
    <w:rsid w:val="005073C3"/>
    <w:rsid w:val="00523C48"/>
    <w:rsid w:val="00532405"/>
    <w:rsid w:val="00542740"/>
    <w:rsid w:val="005504BC"/>
    <w:rsid w:val="00565638"/>
    <w:rsid w:val="005669BF"/>
    <w:rsid w:val="00576947"/>
    <w:rsid w:val="005957A0"/>
    <w:rsid w:val="005B079F"/>
    <w:rsid w:val="00600D43"/>
    <w:rsid w:val="00602FB8"/>
    <w:rsid w:val="00612700"/>
    <w:rsid w:val="00614C36"/>
    <w:rsid w:val="00616AE8"/>
    <w:rsid w:val="00617F76"/>
    <w:rsid w:val="006236FC"/>
    <w:rsid w:val="00625CCF"/>
    <w:rsid w:val="00636240"/>
    <w:rsid w:val="0064206F"/>
    <w:rsid w:val="0065322E"/>
    <w:rsid w:val="00657D48"/>
    <w:rsid w:val="00666880"/>
    <w:rsid w:val="00672AD7"/>
    <w:rsid w:val="00673479"/>
    <w:rsid w:val="006B5C09"/>
    <w:rsid w:val="006B7106"/>
    <w:rsid w:val="006B731B"/>
    <w:rsid w:val="006C17C9"/>
    <w:rsid w:val="006D768A"/>
    <w:rsid w:val="006F3609"/>
    <w:rsid w:val="00701516"/>
    <w:rsid w:val="0072307A"/>
    <w:rsid w:val="00751528"/>
    <w:rsid w:val="007544ED"/>
    <w:rsid w:val="007616E6"/>
    <w:rsid w:val="0078551D"/>
    <w:rsid w:val="007908E5"/>
    <w:rsid w:val="007951A1"/>
    <w:rsid w:val="007B09BB"/>
    <w:rsid w:val="007B23EE"/>
    <w:rsid w:val="007B4427"/>
    <w:rsid w:val="007D741C"/>
    <w:rsid w:val="007E0E92"/>
    <w:rsid w:val="007F4886"/>
    <w:rsid w:val="00816829"/>
    <w:rsid w:val="00821270"/>
    <w:rsid w:val="00844097"/>
    <w:rsid w:val="0086312C"/>
    <w:rsid w:val="00866073"/>
    <w:rsid w:val="00883558"/>
    <w:rsid w:val="0088744B"/>
    <w:rsid w:val="008A19B3"/>
    <w:rsid w:val="008B0B9E"/>
    <w:rsid w:val="008D2904"/>
    <w:rsid w:val="00902A11"/>
    <w:rsid w:val="00910B78"/>
    <w:rsid w:val="009134C0"/>
    <w:rsid w:val="00916A75"/>
    <w:rsid w:val="00922D53"/>
    <w:rsid w:val="00962E5E"/>
    <w:rsid w:val="009702DA"/>
    <w:rsid w:val="00972FD1"/>
    <w:rsid w:val="0097474B"/>
    <w:rsid w:val="00990BCF"/>
    <w:rsid w:val="00997DFF"/>
    <w:rsid w:val="009A68C2"/>
    <w:rsid w:val="009B0167"/>
    <w:rsid w:val="009B21DF"/>
    <w:rsid w:val="009B732E"/>
    <w:rsid w:val="009D6281"/>
    <w:rsid w:val="00A0350C"/>
    <w:rsid w:val="00A04E12"/>
    <w:rsid w:val="00A37697"/>
    <w:rsid w:val="00A42D6B"/>
    <w:rsid w:val="00A467B9"/>
    <w:rsid w:val="00A53462"/>
    <w:rsid w:val="00A66AEE"/>
    <w:rsid w:val="00A80A35"/>
    <w:rsid w:val="00AA0E0A"/>
    <w:rsid w:val="00AA59AF"/>
    <w:rsid w:val="00AB1661"/>
    <w:rsid w:val="00AC22F6"/>
    <w:rsid w:val="00AD27DE"/>
    <w:rsid w:val="00AE0F42"/>
    <w:rsid w:val="00AE1CD6"/>
    <w:rsid w:val="00AE3130"/>
    <w:rsid w:val="00B61D2C"/>
    <w:rsid w:val="00B622B2"/>
    <w:rsid w:val="00B708BB"/>
    <w:rsid w:val="00B737F7"/>
    <w:rsid w:val="00B82C4F"/>
    <w:rsid w:val="00B93C72"/>
    <w:rsid w:val="00B95A7B"/>
    <w:rsid w:val="00BA0705"/>
    <w:rsid w:val="00BA43D1"/>
    <w:rsid w:val="00BB40A3"/>
    <w:rsid w:val="00BB6D36"/>
    <w:rsid w:val="00BC3F8C"/>
    <w:rsid w:val="00BF788F"/>
    <w:rsid w:val="00BF7913"/>
    <w:rsid w:val="00C026DC"/>
    <w:rsid w:val="00C03679"/>
    <w:rsid w:val="00C04078"/>
    <w:rsid w:val="00C260EA"/>
    <w:rsid w:val="00C33068"/>
    <w:rsid w:val="00C65D69"/>
    <w:rsid w:val="00C90C79"/>
    <w:rsid w:val="00CA33CA"/>
    <w:rsid w:val="00CA72E0"/>
    <w:rsid w:val="00CB0DAC"/>
    <w:rsid w:val="00CE7BA7"/>
    <w:rsid w:val="00D06DBF"/>
    <w:rsid w:val="00D076BD"/>
    <w:rsid w:val="00D11498"/>
    <w:rsid w:val="00D15AB6"/>
    <w:rsid w:val="00D30DA2"/>
    <w:rsid w:val="00D41A57"/>
    <w:rsid w:val="00D4737E"/>
    <w:rsid w:val="00D76193"/>
    <w:rsid w:val="00D8566D"/>
    <w:rsid w:val="00D87817"/>
    <w:rsid w:val="00D90393"/>
    <w:rsid w:val="00D95DCF"/>
    <w:rsid w:val="00D96BDC"/>
    <w:rsid w:val="00DA6206"/>
    <w:rsid w:val="00DA6A68"/>
    <w:rsid w:val="00DB531B"/>
    <w:rsid w:val="00DC4B2A"/>
    <w:rsid w:val="00DC78BF"/>
    <w:rsid w:val="00DD11CB"/>
    <w:rsid w:val="00DD3240"/>
    <w:rsid w:val="00DE4DF3"/>
    <w:rsid w:val="00DF055A"/>
    <w:rsid w:val="00DF365F"/>
    <w:rsid w:val="00DF4F9C"/>
    <w:rsid w:val="00E27E10"/>
    <w:rsid w:val="00E40772"/>
    <w:rsid w:val="00E46AF8"/>
    <w:rsid w:val="00E5153C"/>
    <w:rsid w:val="00E742B8"/>
    <w:rsid w:val="00E82D7A"/>
    <w:rsid w:val="00EC7236"/>
    <w:rsid w:val="00ED690A"/>
    <w:rsid w:val="00EE4217"/>
    <w:rsid w:val="00F13397"/>
    <w:rsid w:val="00F324C6"/>
    <w:rsid w:val="00F46B71"/>
    <w:rsid w:val="00F50BBE"/>
    <w:rsid w:val="00F87D36"/>
    <w:rsid w:val="00F95A9A"/>
    <w:rsid w:val="00F9769A"/>
    <w:rsid w:val="00FC3515"/>
    <w:rsid w:val="00FE100F"/>
    <w:rsid w:val="00FE1A18"/>
    <w:rsid w:val="00FE78B5"/>
    <w:rsid w:val="00FF0F3C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C2143"/>
  <w15:chartTrackingRefBased/>
  <w15:docId w15:val="{9A0599F0-846B-4C69-AA75-8F7D1018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="Times New Roman"/>
        <w:bCs/>
        <w:kern w:val="32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32E"/>
    <w:rPr>
      <w:rFonts w:asciiTheme="minorHAnsi" w:hAnsiTheme="minorHAnsi" w:cstheme="minorBidi"/>
      <w:bCs w:val="0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E3130"/>
    <w:rPr>
      <w:i/>
      <w:iCs/>
    </w:rPr>
  </w:style>
  <w:style w:type="paragraph" w:styleId="ListParagraph">
    <w:name w:val="List Paragraph"/>
    <w:basedOn w:val="Normal"/>
    <w:uiPriority w:val="34"/>
    <w:qFormat/>
    <w:rsid w:val="004E7C0F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odyText">
    <w:name w:val="Body Text"/>
    <w:basedOn w:val="Normal"/>
    <w:link w:val="BodyTextChar"/>
    <w:rsid w:val="00494F43"/>
    <w:pPr>
      <w:spacing w:after="140" w:line="276" w:lineRule="auto"/>
    </w:pPr>
    <w:rPr>
      <w:rFonts w:ascii="Calibri" w:eastAsia="Calibri" w:hAnsi="Calibri" w:cs="Times New Roman"/>
      <w:lang w:val="ru-RU"/>
    </w:rPr>
  </w:style>
  <w:style w:type="character" w:customStyle="1" w:styleId="BodyTextChar">
    <w:name w:val="Body Text Char"/>
    <w:basedOn w:val="DefaultParagraphFont"/>
    <w:link w:val="BodyText"/>
    <w:rsid w:val="00494F43"/>
    <w:rPr>
      <w:rFonts w:ascii="Calibri" w:eastAsia="Calibri" w:hAnsi="Calibri"/>
      <w:bCs w:val="0"/>
      <w:kern w:val="0"/>
      <w:sz w:val="22"/>
      <w:szCs w:val="22"/>
      <w:lang w:val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link w:val="NormalWebChar"/>
    <w:uiPriority w:val="99"/>
    <w:unhideWhenUsed/>
    <w:qFormat/>
    <w:rsid w:val="0088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semiHidden/>
    <w:rsid w:val="00BA43D1"/>
    <w:rPr>
      <w:color w:val="0000FF"/>
      <w:u w:val="single"/>
    </w:rPr>
  </w:style>
  <w:style w:type="character" w:styleId="Strong">
    <w:name w:val="Strong"/>
    <w:basedOn w:val="DefaultParagraphFont"/>
    <w:qFormat/>
    <w:rsid w:val="00DA6A68"/>
    <w:rPr>
      <w:b/>
      <w:bCs w:val="0"/>
    </w:rPr>
  </w:style>
  <w:style w:type="character" w:customStyle="1" w:styleId="NormalWebChar">
    <w:name w:val="Normal (Web) Char"/>
    <w:aliases w:val="Обычный (веб) Знак Знак Char,Знак Знак Знак Знак Char,Обычный (веб) Знак Знак Знак Char,Знак Знак Знак1 Знак Знак Знак Знак Знак Char,Знак1 Char,Знак Знак1 Char"/>
    <w:link w:val="NormalWeb"/>
    <w:uiPriority w:val="99"/>
    <w:locked/>
    <w:rsid w:val="00DA6A68"/>
    <w:rPr>
      <w:rFonts w:ascii="Times New Roman" w:eastAsia="Times New Roman" w:hAnsi="Times New Roman"/>
      <w:bCs w:val="0"/>
      <w:kern w:val="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1D"/>
    <w:rPr>
      <w:rFonts w:ascii="Segoe UI" w:hAnsi="Segoe UI" w:cs="Segoe UI"/>
      <w:bCs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AE7B9-17B3-41FD-A4C7-615A6DA3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>https://mul2-minfin.gov.am/tasks/294577/oneclick/Ampopatert23.03.2021 (1) (1).docx?token=ac8c4dc34a9b73ee7dcb76eb1a69671a</cp:keywords>
  <dc:description/>
  <cp:lastModifiedBy>Ani H. Hunanyan</cp:lastModifiedBy>
  <cp:revision>89</cp:revision>
  <cp:lastPrinted>2021-05-31T12:33:00Z</cp:lastPrinted>
  <dcterms:created xsi:type="dcterms:W3CDTF">2021-03-25T08:08:00Z</dcterms:created>
  <dcterms:modified xsi:type="dcterms:W3CDTF">2021-05-31T14:28:00Z</dcterms:modified>
</cp:coreProperties>
</file>