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07" w:rsidRPr="008D0FAD" w:rsidRDefault="00760B07" w:rsidP="008D0FAD">
      <w:pPr>
        <w:spacing w:after="200" w:line="360" w:lineRule="auto"/>
        <w:jc w:val="center"/>
        <w:rPr>
          <w:rFonts w:ascii="GHEA Grapalat" w:hAnsi="GHEA Grapalat"/>
          <w:b/>
        </w:rPr>
      </w:pPr>
      <w:r w:rsidRPr="008D0FAD">
        <w:rPr>
          <w:rFonts w:ascii="GHEA Grapalat" w:hAnsi="GHEA Grapalat"/>
          <w:b/>
        </w:rPr>
        <w:t>ԱՄՓՈՓԱԹԵՐԹ</w:t>
      </w:r>
    </w:p>
    <w:p w:rsidR="00A87FED" w:rsidRPr="00CA7EC1" w:rsidRDefault="00A87FED" w:rsidP="00CA7EC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Cs/>
          <w:lang w:val="hy-AM"/>
        </w:rPr>
      </w:pPr>
      <w:r w:rsidRPr="00CA7EC1">
        <w:rPr>
          <w:rStyle w:val="Strong"/>
          <w:rFonts w:ascii="GHEA Grapalat" w:hAnsi="GHEA Grapalat"/>
          <w:b w:val="0"/>
          <w:lang w:val="af-ZA"/>
        </w:rPr>
        <w:t>«ՀԱՅԱՍՏԱՆԻ ՀԱՆՐԱՊԵՏՈՒԹՅԱՆ ԿԱՌԱՎԱՐՈՒԹՅԱՆ 2012 ԹՎԱԿԱՆԻ ԱՊՐԻԼԻ 19-Ի N 496-Ն ՈՐՈՇՄԱՆ ՄԵՋ ԼՐԱՑՈՒՄՆԵՐ ԿԱՏԱՐԵԼՈՒ ՄԱՍԻՆ» Հ</w:t>
      </w:r>
      <w:r w:rsidRPr="00CA7EC1">
        <w:rPr>
          <w:rStyle w:val="Strong"/>
          <w:rFonts w:ascii="GHEA Grapalat" w:hAnsi="GHEA Grapalat"/>
          <w:b w:val="0"/>
          <w:lang w:val="hy-AM"/>
        </w:rPr>
        <w:t>ԱՅԱՍՏԱՆԻ ՀԱՆՐԱՊԵՏՈՒԹՅԱ</w:t>
      </w:r>
      <w:r w:rsidR="00CF6790" w:rsidRPr="00CA7EC1">
        <w:rPr>
          <w:rStyle w:val="Strong"/>
          <w:rFonts w:ascii="GHEA Grapalat" w:hAnsi="GHEA Grapalat"/>
          <w:b w:val="0"/>
          <w:lang w:val="hy-AM"/>
        </w:rPr>
        <w:t>Ն ԿԱՌԱՎԱՐՈՒԹՅԱՆ ՈՐՈՇՄԱՆ ՆԱ</w:t>
      </w:r>
      <w:r w:rsidR="00663C19" w:rsidRPr="00CA7EC1">
        <w:rPr>
          <w:rStyle w:val="Strong"/>
          <w:rFonts w:ascii="GHEA Grapalat" w:hAnsi="GHEA Grapalat"/>
          <w:b w:val="0"/>
          <w:lang w:val="hy-AM"/>
        </w:rPr>
        <w:t>Խ</w:t>
      </w:r>
      <w:r w:rsidR="00CF6790" w:rsidRPr="00CA7EC1">
        <w:rPr>
          <w:rStyle w:val="Strong"/>
          <w:rFonts w:ascii="GHEA Grapalat" w:hAnsi="GHEA Grapalat"/>
          <w:b w:val="0"/>
          <w:lang w:val="hy-AM"/>
        </w:rPr>
        <w:t>ԱԳԾ</w:t>
      </w:r>
      <w:r w:rsidRPr="00CA7EC1">
        <w:rPr>
          <w:rStyle w:val="Strong"/>
          <w:rFonts w:ascii="GHEA Grapalat" w:hAnsi="GHEA Grapalat"/>
          <w:b w:val="0"/>
          <w:lang w:val="hy-AM"/>
        </w:rPr>
        <w:t xml:space="preserve">Ի </w:t>
      </w:r>
      <w:r w:rsidRPr="00CA7EC1">
        <w:rPr>
          <w:rFonts w:ascii="GHEA Grapalat" w:hAnsi="GHEA Grapalat" w:cs="Sylfaen"/>
          <w:lang w:val="hy-AM"/>
        </w:rPr>
        <w:t>ՎԵՐԱԲԵՐՅԱԼ ՇԱՀԱԳՐԳԻՌ ՄԱՐՄԻՆՆԵՐԻ ՆԵՐԿԱՅԱՑՐԱԾ ԴԻՏՈՂՈՒԹՅՈՒՆՆԵՐԻ ԵՎ ԱՌԱՋԱՐԿՈՒԹՅՈՒՆՆՆԵՐԻ ՄԱՍԻՆ</w:t>
      </w:r>
    </w:p>
    <w:p w:rsidR="00A87FED" w:rsidRPr="00CA7EC1" w:rsidRDefault="00A87FED" w:rsidP="00CA7EC1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Sylfaen"/>
          <w:lang w:val="hy-AM"/>
        </w:rPr>
      </w:pPr>
    </w:p>
    <w:tbl>
      <w:tblPr>
        <w:tblW w:w="1418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1"/>
        <w:gridCol w:w="3827"/>
        <w:gridCol w:w="2396"/>
      </w:tblGrid>
      <w:tr w:rsidR="00D61C84" w:rsidRPr="008D0FAD" w:rsidTr="004825F6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D61C84" w:rsidRPr="008D0FAD" w:rsidRDefault="00C916CC" w:rsidP="008D0FAD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color w:val="000000"/>
                <w:lang w:val="hy-AM" w:eastAsia="hy-AM"/>
              </w:rPr>
            </w:pPr>
            <w:r w:rsidRPr="008D0FAD">
              <w:rPr>
                <w:rFonts w:ascii="GHEA Grapalat" w:hAnsi="GHEA Grapalat"/>
                <w:b/>
                <w:color w:val="000000"/>
                <w:lang w:val="hy-AM" w:eastAsia="hy-AM"/>
              </w:rPr>
              <w:t>«Էլեկտրոնային կառավարման ենթակառուցվածքների ներդրման գրասենյակ» ՓԲԸ</w:t>
            </w:r>
          </w:p>
        </w:tc>
        <w:tc>
          <w:tcPr>
            <w:tcW w:w="2396" w:type="dxa"/>
            <w:shd w:val="clear" w:color="auto" w:fill="D0D0D0"/>
            <w:hideMark/>
          </w:tcPr>
          <w:p w:rsidR="00D61C84" w:rsidRPr="008D0FAD" w:rsidRDefault="00276EC6" w:rsidP="008D0FAD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  <w:r w:rsidRPr="008D0FAD">
              <w:rPr>
                <w:rFonts w:ascii="GHEA Grapalat" w:hAnsi="GHEA Grapalat"/>
                <w:b/>
                <w:color w:val="000000"/>
                <w:lang w:val="hy-AM" w:eastAsia="hy-AM"/>
              </w:rPr>
              <w:t>05.01.2021թ.</w:t>
            </w:r>
          </w:p>
        </w:tc>
      </w:tr>
      <w:tr w:rsidR="00D61C84" w:rsidRPr="008D0FAD" w:rsidTr="004825F6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D61C84" w:rsidRPr="008D0FAD" w:rsidRDefault="00D61C84" w:rsidP="008D0FAD">
            <w:pPr>
              <w:spacing w:line="360" w:lineRule="auto"/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D61C84" w:rsidRPr="008D0FAD" w:rsidRDefault="00D61C84" w:rsidP="008D0FAD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  <w:r w:rsidRPr="008D0FAD">
              <w:rPr>
                <w:rFonts w:ascii="GHEA Grapalat" w:hAnsi="GHEA Grapalat"/>
                <w:b/>
                <w:color w:val="000000"/>
                <w:lang w:eastAsia="hy-AM"/>
              </w:rPr>
              <w:t xml:space="preserve">N </w:t>
            </w:r>
            <w:r w:rsidR="00EB6274" w:rsidRPr="008D0FAD">
              <w:rPr>
                <w:rFonts w:ascii="GHEA Grapalat" w:hAnsi="GHEA Grapalat"/>
                <w:b/>
                <w:color w:val="000000"/>
                <w:lang w:eastAsia="hy-AM"/>
              </w:rPr>
              <w:t>1617</w:t>
            </w:r>
          </w:p>
        </w:tc>
      </w:tr>
      <w:tr w:rsidR="00F41A0E" w:rsidRPr="000B568C" w:rsidTr="00F41A0E">
        <w:trPr>
          <w:trHeight w:val="395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F41A0E" w:rsidRPr="008D0FAD" w:rsidRDefault="00F76E25" w:rsidP="008D0FAD">
            <w:pPr>
              <w:tabs>
                <w:tab w:val="left" w:pos="567"/>
              </w:tabs>
              <w:spacing w:line="360" w:lineRule="auto"/>
              <w:ind w:left="269" w:right="159"/>
              <w:jc w:val="both"/>
              <w:rPr>
                <w:rFonts w:ascii="GHEA Grapalat" w:hAnsi="GHEA Grapalat" w:cs="Sylfaen"/>
                <w:lang w:val="hy-AM"/>
              </w:rPr>
            </w:pPr>
            <w:r w:rsidRPr="008D0FAD">
              <w:rPr>
                <w:rFonts w:ascii="GHEA Grapalat" w:hAnsi="GHEA Grapalat" w:cs="Sylfaen"/>
                <w:lang w:val="hy-AM"/>
              </w:rPr>
              <w:t>1.</w:t>
            </w:r>
            <w:r w:rsidRPr="008D0FAD">
              <w:rPr>
                <w:rFonts w:ascii="GHEA Grapalat" w:hAnsi="GHEA Grapalat" w:cs="Sylfaen"/>
                <w:lang w:val="hy-AM"/>
              </w:rPr>
              <w:tab/>
              <w:t xml:space="preserve">Առաջարկում ենք Նախագծում հստակեցնել և առավել մանրամասնել նախատեսված հարկային պարտավորությունների վճարման </w:t>
            </w:r>
            <w:proofErr w:type="spellStart"/>
            <w:r w:rsidRPr="008D0FAD">
              <w:rPr>
                <w:rFonts w:ascii="GHEA Grapalat" w:hAnsi="GHEA Grapalat" w:cs="Sylfaen"/>
                <w:lang w:val="hy-AM"/>
              </w:rPr>
              <w:t>ձևերն</w:t>
            </w:r>
            <w:proofErr w:type="spellEnd"/>
            <w:r w:rsidRPr="008D0FAD">
              <w:rPr>
                <w:rFonts w:ascii="GHEA Grapalat" w:hAnsi="GHEA Grapalat" w:cs="Sylfaen"/>
                <w:lang w:val="hy-AM"/>
              </w:rPr>
              <w:t xml:space="preserve"> ու միջոցները։ Մասնավորապես՝ Նախագծի 1-ին կետով սահմանվել են վճարման </w:t>
            </w:r>
            <w:proofErr w:type="spellStart"/>
            <w:r w:rsidRPr="008D0FAD">
              <w:rPr>
                <w:rFonts w:ascii="GHEA Grapalat" w:hAnsi="GHEA Grapalat" w:cs="Sylfaen"/>
                <w:lang w:val="hy-AM"/>
              </w:rPr>
              <w:t>ձևեր</w:t>
            </w:r>
            <w:proofErr w:type="spellEnd"/>
            <w:r w:rsidRPr="008D0FAD">
              <w:rPr>
                <w:rFonts w:ascii="GHEA Grapalat" w:hAnsi="GHEA Grapalat" w:cs="Sylfaen"/>
                <w:lang w:val="hy-AM"/>
              </w:rPr>
              <w:t xml:space="preserve"> (Անկանխիկ ձևով, կանխիկ ձևով, </w:t>
            </w:r>
            <w:proofErr w:type="spellStart"/>
            <w:r w:rsidRPr="008D0FAD">
              <w:rPr>
                <w:rFonts w:ascii="GHEA Grapalat" w:hAnsi="GHEA Grapalat" w:cs="Sylfaen"/>
                <w:lang w:val="hy-AM"/>
              </w:rPr>
              <w:t>միկրոպրոցեսորային</w:t>
            </w:r>
            <w:proofErr w:type="spellEnd"/>
            <w:r w:rsidRPr="008D0FAD">
              <w:rPr>
                <w:rFonts w:ascii="GHEA Grapalat" w:hAnsi="GHEA Grapalat" w:cs="Sylfaen"/>
                <w:lang w:val="hy-AM"/>
              </w:rPr>
              <w:t xml:space="preserve"> պլաստիկ քարտերի կիրառմամբ, կապի ձեռնարկության միջոցով), որոնց տարանջատումը հստակեցման կարիք ունի, քանի որ պլաստիկ քարտի միջոցով վճարումը արդեն իսկ անկանխիկ վճարում է, իսկ կապի ձեռնարկության միջոցով վճարումը կարող է իրականացվել կանխիկ ձևով։ Ընդ որում՝ Նախագծի 3-րդ կետով վճարման պահի սահմանման մանրամասներ են ներկայացված միայն կանխիկ և անկանխիկ վճարումների համար։</w:t>
            </w: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F41A0E" w:rsidRPr="008D0FAD" w:rsidRDefault="00070C86" w:rsidP="008D0FAD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 w:rsidRPr="008D0FAD">
              <w:rPr>
                <w:rFonts w:ascii="GHEA Grapalat" w:hAnsi="GHEA Grapalat"/>
                <w:color w:val="000000"/>
                <w:lang w:val="hy-AM" w:eastAsia="hy-AM"/>
              </w:rPr>
              <w:t>1.</w:t>
            </w:r>
            <w:r w:rsidR="00F41A0E" w:rsidRPr="008D0FAD">
              <w:rPr>
                <w:rFonts w:ascii="GHEA Grapalat" w:hAnsi="GHEA Grapalat"/>
                <w:color w:val="000000"/>
                <w:lang w:val="hy-AM" w:eastAsia="hy-AM"/>
              </w:rPr>
              <w:t>Ընդունվել է:</w:t>
            </w:r>
          </w:p>
          <w:p w:rsidR="00717ECC" w:rsidRPr="008D0FAD" w:rsidRDefault="00F76E25" w:rsidP="008D0FAD">
            <w:pPr>
              <w:spacing w:line="360" w:lineRule="auto"/>
              <w:ind w:left="529" w:right="145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 w:rsidRPr="008D0FAD">
              <w:rPr>
                <w:rFonts w:ascii="GHEA Grapalat" w:hAnsi="GHEA Grapalat"/>
                <w:color w:val="000000"/>
                <w:lang w:val="hy-AM" w:eastAsia="hy-AM"/>
              </w:rPr>
              <w:t xml:space="preserve">Նախագծում </w:t>
            </w:r>
            <w:r w:rsidR="00261E31">
              <w:rPr>
                <w:rFonts w:ascii="GHEA Grapalat" w:hAnsi="GHEA Grapalat"/>
                <w:color w:val="000000"/>
                <w:lang w:val="hy-AM" w:eastAsia="hy-AM"/>
              </w:rPr>
              <w:t>կ</w:t>
            </w:r>
            <w:r w:rsidRPr="008D0FAD">
              <w:rPr>
                <w:rFonts w:ascii="GHEA Grapalat" w:hAnsi="GHEA Grapalat"/>
                <w:color w:val="000000"/>
                <w:lang w:val="hy-AM" w:eastAsia="hy-AM"/>
              </w:rPr>
              <w:t xml:space="preserve">ատարվել են փոփոխություններ` </w:t>
            </w:r>
            <w:proofErr w:type="spellStart"/>
            <w:r w:rsidRPr="008D0FAD">
              <w:rPr>
                <w:rFonts w:ascii="GHEA Grapalat" w:hAnsi="GHEA Grapalat"/>
                <w:color w:val="000000"/>
                <w:lang w:val="hy-AM" w:eastAsia="hy-AM"/>
              </w:rPr>
              <w:t>տարանջատվել</w:t>
            </w:r>
            <w:proofErr w:type="spellEnd"/>
            <w:r w:rsidRPr="008D0FAD">
              <w:rPr>
                <w:rFonts w:ascii="GHEA Grapalat" w:hAnsi="GHEA Grapalat"/>
                <w:color w:val="000000"/>
                <w:lang w:val="hy-AM" w:eastAsia="hy-AM"/>
              </w:rPr>
              <w:t xml:space="preserve"> են ձևերը և  միջոցները:</w:t>
            </w:r>
          </w:p>
          <w:p w:rsidR="00F41A0E" w:rsidRPr="008D0FAD" w:rsidRDefault="00F41A0E" w:rsidP="008D0FAD">
            <w:pPr>
              <w:spacing w:line="360" w:lineRule="auto"/>
              <w:rPr>
                <w:rFonts w:ascii="GHEA Grapalat" w:hAnsi="GHEA Grapalat"/>
                <w:color w:val="000000"/>
                <w:lang w:val="hy-AM" w:eastAsia="hy-AM"/>
              </w:rPr>
            </w:pPr>
            <w:r w:rsidRPr="008D0FAD">
              <w:rPr>
                <w:rFonts w:ascii="Calibri" w:hAnsi="Calibri" w:cs="Calibri"/>
                <w:color w:val="000000"/>
                <w:lang w:val="hy-AM" w:eastAsia="hy-AM"/>
              </w:rPr>
              <w:t> </w:t>
            </w:r>
          </w:p>
        </w:tc>
      </w:tr>
      <w:tr w:rsidR="00717ECC" w:rsidRPr="000B568C" w:rsidTr="00F41A0E">
        <w:trPr>
          <w:trHeight w:val="395"/>
          <w:tblCellSpacing w:w="0" w:type="dxa"/>
          <w:jc w:val="center"/>
        </w:trPr>
        <w:tc>
          <w:tcPr>
            <w:tcW w:w="7961" w:type="dxa"/>
            <w:shd w:val="clear" w:color="auto" w:fill="FFFFFF"/>
          </w:tcPr>
          <w:p w:rsidR="00717ECC" w:rsidRPr="008D0FAD" w:rsidRDefault="00070C86" w:rsidP="008D0FAD">
            <w:pPr>
              <w:spacing w:line="360" w:lineRule="auto"/>
              <w:ind w:left="127" w:right="159" w:firstLine="567"/>
              <w:jc w:val="both"/>
              <w:rPr>
                <w:rFonts w:ascii="GHEA Grapalat" w:hAnsi="GHEA Grapalat" w:cs="Sylfaen"/>
                <w:lang w:val="hy-AM"/>
              </w:rPr>
            </w:pPr>
            <w:r w:rsidRPr="008D0FAD">
              <w:rPr>
                <w:rFonts w:ascii="GHEA Grapalat" w:hAnsi="GHEA Grapalat" w:cs="Sylfaen"/>
                <w:lang w:val="hy-AM"/>
              </w:rPr>
              <w:lastRenderedPageBreak/>
              <w:t>2.</w:t>
            </w:r>
            <w:r w:rsidRPr="008D0FAD">
              <w:rPr>
                <w:rFonts w:ascii="GHEA Grapalat" w:hAnsi="GHEA Grapalat" w:cs="Sylfaen"/>
                <w:lang w:val="hy-AM"/>
              </w:rPr>
              <w:tab/>
              <w:t xml:space="preserve">Նախագծի 2-րդ կետով փաստացիորեն նախատեսված են միայն առևտրային բանկերի, </w:t>
            </w:r>
            <w:proofErr w:type="spellStart"/>
            <w:r w:rsidRPr="008D0FAD">
              <w:rPr>
                <w:rFonts w:ascii="GHEA Grapalat" w:hAnsi="GHEA Grapalat" w:cs="Sylfaen"/>
                <w:lang w:val="hy-AM"/>
              </w:rPr>
              <w:t>տերմինալների</w:t>
            </w:r>
            <w:proofErr w:type="spellEnd"/>
            <w:r w:rsidRPr="008D0FAD">
              <w:rPr>
                <w:rFonts w:ascii="GHEA Grapalat" w:hAnsi="GHEA Grapalat" w:cs="Sylfaen"/>
                <w:lang w:val="hy-AM"/>
              </w:rPr>
              <w:t xml:space="preserve"> և e-payments.am կայքի միջոցով կատարված վճարումները կատարված լինելու մասին հաստատման միջոցներ հանդիսացող փաստաթղթերը և տեղեկությունները։ Այնինչ վճարումներ կարող են  նախատեսվել և իրականացվել նաև ֆինանսական ծառայություններ մատուցող այլ կազմակերպությունների, </w:t>
            </w:r>
            <w:proofErr w:type="spellStart"/>
            <w:r w:rsidRPr="008D0FAD">
              <w:rPr>
                <w:rFonts w:ascii="GHEA Grapalat" w:hAnsi="GHEA Grapalat" w:cs="Sylfaen"/>
                <w:lang w:val="hy-AM"/>
              </w:rPr>
              <w:t>էլեկտրոոնային</w:t>
            </w:r>
            <w:proofErr w:type="spellEnd"/>
            <w:r w:rsidRPr="008D0FAD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8D0FAD">
              <w:rPr>
                <w:rFonts w:ascii="GHEA Grapalat" w:hAnsi="GHEA Grapalat" w:cs="Sylfaen"/>
                <w:lang w:val="hy-AM"/>
              </w:rPr>
              <w:t>դրամապանակների</w:t>
            </w:r>
            <w:proofErr w:type="spellEnd"/>
            <w:r w:rsidRPr="008D0FAD">
              <w:rPr>
                <w:rFonts w:ascii="GHEA Grapalat" w:hAnsi="GHEA Grapalat" w:cs="Sylfaen"/>
                <w:lang w:val="hy-AM"/>
              </w:rPr>
              <w:t>, ինչպես նաև հանրային ծառայությունների միասնական գրասենյակների միջոցով։</w:t>
            </w:r>
          </w:p>
        </w:tc>
        <w:tc>
          <w:tcPr>
            <w:tcW w:w="6223" w:type="dxa"/>
            <w:gridSpan w:val="2"/>
            <w:shd w:val="clear" w:color="auto" w:fill="FFFFFF"/>
          </w:tcPr>
          <w:p w:rsidR="00070C86" w:rsidRPr="008D0FAD" w:rsidRDefault="00070C86" w:rsidP="008D0FAD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 w:rsidRPr="008D0FAD">
              <w:rPr>
                <w:rFonts w:ascii="GHEA Grapalat" w:hAnsi="GHEA Grapalat"/>
                <w:color w:val="000000"/>
                <w:lang w:val="hy-AM" w:eastAsia="hy-AM"/>
              </w:rPr>
              <w:t>2.Ընդունվել է:</w:t>
            </w:r>
          </w:p>
          <w:p w:rsidR="00717ECC" w:rsidRPr="008D0FAD" w:rsidRDefault="00C01F1A" w:rsidP="008D0FAD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 w:rsidRPr="008D0FAD">
              <w:rPr>
                <w:rFonts w:ascii="GHEA Grapalat" w:hAnsi="GHEA Grapalat" w:cs="Sylfaen"/>
                <w:bCs/>
                <w:lang w:val="hy-AM"/>
              </w:rPr>
              <w:t>Նախագծում կատարվել են համապատասխան փոփոխություններ:</w:t>
            </w:r>
          </w:p>
        </w:tc>
      </w:tr>
      <w:tr w:rsidR="00F76E25" w:rsidRPr="008D0FAD" w:rsidTr="00F41A0E">
        <w:trPr>
          <w:trHeight w:val="395"/>
          <w:tblCellSpacing w:w="0" w:type="dxa"/>
          <w:jc w:val="center"/>
        </w:trPr>
        <w:tc>
          <w:tcPr>
            <w:tcW w:w="7961" w:type="dxa"/>
            <w:shd w:val="clear" w:color="auto" w:fill="FFFFFF"/>
          </w:tcPr>
          <w:p w:rsidR="00FE44E0" w:rsidRPr="008D0FAD" w:rsidRDefault="00FE44E0" w:rsidP="008D0FAD">
            <w:pPr>
              <w:spacing w:line="360" w:lineRule="auto"/>
              <w:ind w:left="127" w:right="159" w:firstLine="142"/>
              <w:jc w:val="both"/>
              <w:rPr>
                <w:rFonts w:ascii="GHEA Grapalat" w:hAnsi="GHEA Grapalat"/>
                <w:lang w:val="hy-AM"/>
              </w:rPr>
            </w:pPr>
            <w:r w:rsidRPr="008D0FAD">
              <w:rPr>
                <w:rFonts w:ascii="GHEA Grapalat" w:hAnsi="GHEA Grapalat"/>
                <w:lang w:val="hy-AM"/>
              </w:rPr>
              <w:t xml:space="preserve">Հաշվի առնելով վերոգրյալը, ինչպես նաև այն, որ պետական մարմինների էլեկտրոնային կառավարման համակարգերի աճին զուգընթաց անհրաժեշտություն է առաջանում հստակեցնելու այլ համակարգերի հետ, այդ թվում՝ ֆինանսական ծառայություններ մատուցող կազմակերպությունների, վճարահաշվարկային գործող համակարգերի </w:t>
            </w:r>
            <w:proofErr w:type="spellStart"/>
            <w:r w:rsidRPr="008D0FAD">
              <w:rPr>
                <w:rFonts w:ascii="GHEA Grapalat" w:hAnsi="GHEA Grapalat"/>
                <w:lang w:val="hy-AM"/>
              </w:rPr>
              <w:t>փոխկապակցման</w:t>
            </w:r>
            <w:proofErr w:type="spellEnd"/>
            <w:r w:rsidRPr="008D0FAD">
              <w:rPr>
                <w:rFonts w:ascii="GHEA Grapalat" w:hAnsi="GHEA Grapalat"/>
                <w:lang w:val="hy-AM"/>
              </w:rPr>
              <w:t xml:space="preserve"> մեխանիզմները, առաջարկում ենք </w:t>
            </w:r>
            <w:proofErr w:type="spellStart"/>
            <w:r w:rsidRPr="008D0FAD">
              <w:rPr>
                <w:rFonts w:ascii="GHEA Grapalat" w:hAnsi="GHEA Grapalat"/>
                <w:lang w:val="hy-AM"/>
              </w:rPr>
              <w:t>շահակիր</w:t>
            </w:r>
            <w:proofErr w:type="spellEnd"/>
            <w:r w:rsidRPr="008D0FAD">
              <w:rPr>
                <w:rFonts w:ascii="GHEA Grapalat" w:hAnsi="GHEA Grapalat"/>
                <w:lang w:val="hy-AM"/>
              </w:rPr>
              <w:t xml:space="preserve"> գերատեսչությունների հետ համատեղ քննարկել գանձապետական </w:t>
            </w:r>
            <w:proofErr w:type="spellStart"/>
            <w:r w:rsidRPr="008D0FAD">
              <w:rPr>
                <w:rFonts w:ascii="GHEA Grapalat" w:hAnsi="GHEA Grapalat"/>
                <w:lang w:val="hy-AM"/>
              </w:rPr>
              <w:t>հաշվեհամարներին</w:t>
            </w:r>
            <w:proofErr w:type="spellEnd"/>
            <w:r w:rsidRPr="008D0FAD">
              <w:rPr>
                <w:rFonts w:ascii="GHEA Grapalat" w:hAnsi="GHEA Grapalat"/>
                <w:lang w:val="hy-AM"/>
              </w:rPr>
              <w:t xml:space="preserve"> փոխանցումների մեխանիզմները կարգը առանձին իրավական ակտով ամրագրելու հարցը։ </w:t>
            </w:r>
          </w:p>
          <w:p w:rsidR="00FE44E0" w:rsidRPr="008D0FAD" w:rsidRDefault="00FE44E0" w:rsidP="008D0FAD">
            <w:pPr>
              <w:spacing w:line="360" w:lineRule="auto"/>
              <w:ind w:left="127" w:right="159" w:firstLine="142"/>
              <w:jc w:val="both"/>
              <w:rPr>
                <w:rFonts w:ascii="GHEA Grapalat" w:hAnsi="GHEA Grapalat"/>
                <w:lang w:val="hy-AM"/>
              </w:rPr>
            </w:pPr>
            <w:r w:rsidRPr="008D0FAD">
              <w:rPr>
                <w:rFonts w:ascii="GHEA Grapalat" w:hAnsi="GHEA Grapalat"/>
                <w:lang w:val="hy-AM"/>
              </w:rPr>
              <w:t>Հայտնում ենք մեր պատրաստակամությունը ակտիվ աջակցելու նախագծի իրականացմանը:</w:t>
            </w:r>
          </w:p>
          <w:p w:rsidR="00F76E25" w:rsidRPr="008D0FAD" w:rsidRDefault="00F76E25" w:rsidP="008D0FAD">
            <w:pPr>
              <w:spacing w:line="360" w:lineRule="auto"/>
              <w:ind w:left="127" w:right="159" w:firstLine="567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6223" w:type="dxa"/>
            <w:gridSpan w:val="2"/>
            <w:shd w:val="clear" w:color="auto" w:fill="FFFFFF"/>
          </w:tcPr>
          <w:p w:rsidR="00F76E25" w:rsidRPr="008D0FAD" w:rsidRDefault="00FE44E0" w:rsidP="008D0FAD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 w:rsidRPr="008D0FAD">
              <w:rPr>
                <w:rFonts w:ascii="GHEA Grapalat" w:hAnsi="GHEA Grapalat" w:cs="Arial"/>
                <w:bCs/>
                <w:lang w:val="hy-AM"/>
              </w:rPr>
              <w:lastRenderedPageBreak/>
              <w:t>Ընդունվել է ի գիտություն:</w:t>
            </w:r>
          </w:p>
        </w:tc>
      </w:tr>
      <w:tr w:rsidR="00D61C84" w:rsidRPr="008D0FAD" w:rsidTr="004825F6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D61C84" w:rsidRPr="008D0FAD" w:rsidRDefault="00D61C84" w:rsidP="008D0FAD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  <w:r w:rsidRPr="008D0FAD">
              <w:rPr>
                <w:rFonts w:ascii="GHEA Grapalat" w:hAnsi="GHEA Grapalat"/>
                <w:b/>
                <w:color w:val="000000"/>
                <w:lang w:eastAsia="hy-AM"/>
              </w:rPr>
              <w:t xml:space="preserve">ՀՀ </w:t>
            </w:r>
            <w:r w:rsidR="00974DC9" w:rsidRPr="008D0FAD">
              <w:rPr>
                <w:rFonts w:ascii="GHEA Grapalat" w:hAnsi="GHEA Grapalat" w:cs="Arial"/>
                <w:b/>
                <w:bCs/>
                <w:lang w:val="hy-AM"/>
              </w:rPr>
              <w:t>Ֆ</w:t>
            </w:r>
            <w:r w:rsidR="00381045" w:rsidRPr="008D0FAD">
              <w:rPr>
                <w:rFonts w:ascii="GHEA Grapalat" w:hAnsi="GHEA Grapalat" w:cs="Arial"/>
                <w:b/>
                <w:bCs/>
                <w:lang w:val="hy-AM"/>
              </w:rPr>
              <w:t>ինանսների նախարարությ</w:t>
            </w:r>
            <w:r w:rsidR="00974DC9" w:rsidRPr="008D0FAD">
              <w:rPr>
                <w:rFonts w:ascii="GHEA Grapalat" w:hAnsi="GHEA Grapalat" w:cs="Arial"/>
                <w:b/>
                <w:bCs/>
                <w:lang w:val="hy-AM"/>
              </w:rPr>
              <w:t>ու</w:t>
            </w:r>
            <w:r w:rsidR="00381045" w:rsidRPr="008D0FAD">
              <w:rPr>
                <w:rFonts w:ascii="GHEA Grapalat" w:hAnsi="GHEA Grapalat" w:cs="Arial"/>
                <w:b/>
                <w:bCs/>
                <w:lang w:val="hy-AM"/>
              </w:rPr>
              <w:t>ն</w:t>
            </w:r>
          </w:p>
        </w:tc>
        <w:tc>
          <w:tcPr>
            <w:tcW w:w="2396" w:type="dxa"/>
            <w:shd w:val="clear" w:color="auto" w:fill="D0D0D0"/>
            <w:hideMark/>
          </w:tcPr>
          <w:p w:rsidR="00D61C84" w:rsidRPr="008D0FAD" w:rsidRDefault="00381045" w:rsidP="008D0FAD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  <w:r w:rsidRPr="008D0FAD">
              <w:rPr>
                <w:rFonts w:ascii="GHEA Grapalat" w:hAnsi="GHEA Grapalat"/>
                <w:b/>
                <w:color w:val="000000"/>
                <w:lang w:val="hy-AM" w:eastAsia="hy-AM"/>
              </w:rPr>
              <w:t>13.01.2021թ.</w:t>
            </w:r>
          </w:p>
        </w:tc>
      </w:tr>
      <w:tr w:rsidR="00D61C84" w:rsidRPr="008D0FAD" w:rsidTr="004825F6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D61C84" w:rsidRPr="008D0FAD" w:rsidRDefault="00D61C84" w:rsidP="008D0FAD">
            <w:pPr>
              <w:spacing w:line="360" w:lineRule="auto"/>
              <w:rPr>
                <w:rFonts w:ascii="GHEA Grapalat" w:hAnsi="GHEA Grapalat"/>
                <w:b/>
                <w:color w:val="000000"/>
                <w:lang w:eastAsia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D61C84" w:rsidRPr="008D0FAD" w:rsidRDefault="00D61C84" w:rsidP="008D0FAD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  <w:r w:rsidRPr="008D0FAD">
              <w:rPr>
                <w:rFonts w:ascii="GHEA Grapalat" w:hAnsi="GHEA Grapalat"/>
                <w:b/>
                <w:color w:val="000000"/>
                <w:lang w:eastAsia="hy-AM"/>
              </w:rPr>
              <w:t xml:space="preserve">N </w:t>
            </w:r>
            <w:r w:rsidR="00381045" w:rsidRPr="008D0FAD">
              <w:rPr>
                <w:rFonts w:ascii="GHEA Grapalat" w:hAnsi="GHEA Grapalat"/>
                <w:b/>
                <w:color w:val="000000"/>
                <w:lang w:eastAsia="hy-AM"/>
              </w:rPr>
              <w:t>01/2-4/142-2021</w:t>
            </w:r>
          </w:p>
        </w:tc>
      </w:tr>
      <w:tr w:rsidR="00782781" w:rsidRPr="008D0FAD" w:rsidTr="00381045">
        <w:trPr>
          <w:trHeight w:val="377"/>
          <w:tblCellSpacing w:w="0" w:type="dxa"/>
          <w:jc w:val="center"/>
        </w:trPr>
        <w:tc>
          <w:tcPr>
            <w:tcW w:w="7961" w:type="dxa"/>
            <w:shd w:val="clear" w:color="auto" w:fill="FFFFFF"/>
          </w:tcPr>
          <w:p w:rsidR="00782781" w:rsidRPr="008D0FAD" w:rsidRDefault="00974DC9" w:rsidP="008D0FAD">
            <w:pPr>
              <w:spacing w:line="360" w:lineRule="auto"/>
              <w:ind w:left="269" w:right="585"/>
              <w:rPr>
                <w:rFonts w:ascii="GHEA Grapalat" w:hAnsi="GHEA Grapalat" w:cs="Sylfaen"/>
                <w:lang w:val="hy-AM"/>
              </w:rPr>
            </w:pPr>
            <w:r w:rsidRPr="008D0FAD">
              <w:rPr>
                <w:rFonts w:ascii="GHEA Grapalat" w:hAnsi="GHEA Grapalat" w:cs="Sylfaen"/>
                <w:lang w:val="hy-AM"/>
              </w:rPr>
              <w:t>Դիտո</w:t>
            </w:r>
            <w:r w:rsidRPr="008D0FAD">
              <w:rPr>
                <w:rFonts w:ascii="GHEA Grapalat" w:hAnsi="GHEA Grapalat" w:cs="Sylfaen"/>
                <w:lang w:val="hy-AM"/>
              </w:rPr>
              <w:softHyphen/>
              <w:t>ղություններ և առա</w:t>
            </w:r>
            <w:r w:rsidRPr="008D0FAD">
              <w:rPr>
                <w:rFonts w:ascii="GHEA Grapalat" w:hAnsi="GHEA Grapalat" w:cs="Sylfaen"/>
                <w:lang w:val="hy-AM"/>
              </w:rPr>
              <w:softHyphen/>
              <w:t>ջար</w:t>
            </w:r>
            <w:r w:rsidRPr="008D0FAD">
              <w:rPr>
                <w:rFonts w:ascii="GHEA Grapalat" w:hAnsi="GHEA Grapalat" w:cs="Sylfaen"/>
                <w:lang w:val="hy-AM"/>
              </w:rPr>
              <w:softHyphen/>
              <w:t>կու</w:t>
            </w:r>
            <w:r w:rsidRPr="008D0FAD">
              <w:rPr>
                <w:rFonts w:ascii="GHEA Grapalat" w:hAnsi="GHEA Grapalat" w:cs="Sylfaen"/>
                <w:lang w:val="hy-AM"/>
              </w:rPr>
              <w:softHyphen/>
              <w:t>թյուն</w:t>
            </w:r>
            <w:r w:rsidRPr="008D0FAD">
              <w:rPr>
                <w:rFonts w:ascii="GHEA Grapalat" w:hAnsi="GHEA Grapalat" w:cs="Sylfaen"/>
                <w:lang w:val="hy-AM"/>
              </w:rPr>
              <w:softHyphen/>
              <w:t>ներ չկան</w:t>
            </w:r>
          </w:p>
          <w:p w:rsidR="00974DC9" w:rsidRPr="008D0FAD" w:rsidRDefault="00974DC9" w:rsidP="008D0FAD">
            <w:pPr>
              <w:spacing w:line="360" w:lineRule="auto"/>
              <w:ind w:left="269" w:right="585"/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6223" w:type="dxa"/>
            <w:gridSpan w:val="2"/>
            <w:shd w:val="clear" w:color="auto" w:fill="FFFFFF"/>
          </w:tcPr>
          <w:p w:rsidR="00782781" w:rsidRPr="008D0FAD" w:rsidRDefault="00974DC9" w:rsidP="008D0FAD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eastAsia="hy-AM"/>
              </w:rPr>
            </w:pPr>
            <w:r w:rsidRPr="008D0FAD">
              <w:rPr>
                <w:rFonts w:ascii="GHEA Grapalat" w:hAnsi="GHEA Grapalat" w:cs="Arial"/>
                <w:bCs/>
                <w:lang w:val="hy-AM"/>
              </w:rPr>
              <w:t>Ընդունվել է ի գիտություն:</w:t>
            </w:r>
          </w:p>
        </w:tc>
      </w:tr>
      <w:tr w:rsidR="00D61C84" w:rsidRPr="008D0FAD" w:rsidTr="004825F6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D61C84" w:rsidRPr="008D0FAD" w:rsidRDefault="00D61C84" w:rsidP="008D0FAD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  <w:r w:rsidRPr="008D0FAD">
              <w:rPr>
                <w:rFonts w:ascii="GHEA Grapalat" w:hAnsi="GHEA Grapalat"/>
                <w:b/>
                <w:color w:val="000000"/>
                <w:lang w:eastAsia="hy-AM"/>
              </w:rPr>
              <w:t xml:space="preserve">ՀՀ </w:t>
            </w:r>
            <w:proofErr w:type="spellStart"/>
            <w:r w:rsidR="00974DC9" w:rsidRPr="008D0FAD">
              <w:rPr>
                <w:rFonts w:ascii="GHEA Grapalat" w:hAnsi="GHEA Grapalat"/>
                <w:b/>
                <w:color w:val="000000"/>
                <w:lang w:eastAsia="hy-AM"/>
              </w:rPr>
              <w:t>էկոնոմիկայի</w:t>
            </w:r>
            <w:proofErr w:type="spellEnd"/>
            <w:r w:rsidR="00974DC9" w:rsidRPr="008D0FAD">
              <w:rPr>
                <w:rFonts w:ascii="GHEA Grapalat" w:hAnsi="GHEA Grapalat"/>
                <w:b/>
                <w:color w:val="000000"/>
                <w:lang w:eastAsia="hy-AM"/>
              </w:rPr>
              <w:t xml:space="preserve"> նախարարությ</w:t>
            </w:r>
            <w:r w:rsidR="00974DC9" w:rsidRPr="008D0FAD">
              <w:rPr>
                <w:rFonts w:ascii="GHEA Grapalat" w:hAnsi="GHEA Grapalat"/>
                <w:b/>
                <w:color w:val="000000"/>
                <w:lang w:val="hy-AM" w:eastAsia="hy-AM"/>
              </w:rPr>
              <w:t>ու</w:t>
            </w:r>
            <w:r w:rsidR="00974DC9" w:rsidRPr="008D0FAD">
              <w:rPr>
                <w:rFonts w:ascii="GHEA Grapalat" w:hAnsi="GHEA Grapalat"/>
                <w:b/>
                <w:color w:val="000000"/>
                <w:lang w:eastAsia="hy-AM"/>
              </w:rPr>
              <w:t>ն</w:t>
            </w:r>
          </w:p>
        </w:tc>
        <w:tc>
          <w:tcPr>
            <w:tcW w:w="2396" w:type="dxa"/>
            <w:shd w:val="clear" w:color="auto" w:fill="D0D0D0"/>
            <w:hideMark/>
          </w:tcPr>
          <w:p w:rsidR="00D61C84" w:rsidRPr="008D0FAD" w:rsidRDefault="00974DC9" w:rsidP="008D0FAD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  <w:r w:rsidRPr="008D0FAD">
              <w:rPr>
                <w:rFonts w:ascii="GHEA Grapalat" w:hAnsi="GHEA Grapalat" w:cs="Arial"/>
                <w:b/>
                <w:bCs/>
                <w:lang w:val="hy-AM"/>
              </w:rPr>
              <w:t>13.01.2021թ.</w:t>
            </w:r>
          </w:p>
        </w:tc>
      </w:tr>
      <w:tr w:rsidR="00D61C84" w:rsidRPr="008D0FAD" w:rsidTr="004825F6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D61C84" w:rsidRPr="008D0FAD" w:rsidRDefault="00D61C84" w:rsidP="008D0FAD">
            <w:pPr>
              <w:spacing w:line="360" w:lineRule="auto"/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D61C84" w:rsidRPr="008D0FAD" w:rsidRDefault="00D61C84" w:rsidP="008D0FAD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  <w:r w:rsidRPr="008D0FAD">
              <w:rPr>
                <w:rFonts w:ascii="GHEA Grapalat" w:hAnsi="GHEA Grapalat"/>
                <w:b/>
                <w:color w:val="000000"/>
                <w:lang w:eastAsia="hy-AM"/>
              </w:rPr>
              <w:t xml:space="preserve">N </w:t>
            </w:r>
            <w:r w:rsidR="00974DC9" w:rsidRPr="008D0FAD">
              <w:rPr>
                <w:rFonts w:ascii="GHEA Grapalat" w:hAnsi="GHEA Grapalat"/>
                <w:b/>
                <w:color w:val="000000"/>
                <w:lang w:eastAsia="hy-AM"/>
              </w:rPr>
              <w:t>07/200-2021</w:t>
            </w:r>
          </w:p>
        </w:tc>
      </w:tr>
      <w:tr w:rsidR="00525F10" w:rsidRPr="008D0FAD" w:rsidTr="00F41A0E">
        <w:trPr>
          <w:trHeight w:val="395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525F10" w:rsidRPr="008D0FAD" w:rsidRDefault="00974DC9" w:rsidP="008D0FAD">
            <w:pPr>
              <w:autoSpaceDE w:val="0"/>
              <w:autoSpaceDN w:val="0"/>
              <w:adjustRightInd w:val="0"/>
              <w:spacing w:line="360" w:lineRule="auto"/>
              <w:ind w:left="269" w:right="301"/>
              <w:jc w:val="both"/>
              <w:rPr>
                <w:rFonts w:ascii="GHEA Grapalat" w:hAnsi="GHEA Grapalat"/>
                <w:color w:val="000000"/>
                <w:lang w:eastAsia="hy-AM"/>
              </w:rPr>
            </w:pPr>
            <w:r w:rsidRPr="008D0FAD">
              <w:rPr>
                <w:rFonts w:ascii="GHEA Grapalat" w:hAnsi="GHEA Grapalat" w:cs="Sylfaen"/>
                <w:lang w:val="hy-AM"/>
              </w:rPr>
              <w:t>Առարկություններ և առաջարկություններ չունենք</w:t>
            </w: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EA5A40" w:rsidRPr="008D0FAD" w:rsidRDefault="00974DC9" w:rsidP="008D0FAD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eastAsia="hy-AM"/>
              </w:rPr>
            </w:pPr>
            <w:r w:rsidRPr="008D0FAD">
              <w:rPr>
                <w:rFonts w:ascii="GHEA Grapalat" w:hAnsi="GHEA Grapalat" w:cs="Arial"/>
                <w:bCs/>
                <w:lang w:val="hy-AM"/>
              </w:rPr>
              <w:t>Ընդունվել է ի գիտություն:</w:t>
            </w:r>
          </w:p>
          <w:p w:rsidR="00525F10" w:rsidRPr="008D0FAD" w:rsidRDefault="00525F10" w:rsidP="008D0FAD">
            <w:pPr>
              <w:spacing w:line="360" w:lineRule="auto"/>
              <w:rPr>
                <w:rFonts w:ascii="GHEA Grapalat" w:hAnsi="GHEA Grapalat"/>
                <w:color w:val="000000"/>
                <w:lang w:eastAsia="hy-AM"/>
              </w:rPr>
            </w:pPr>
            <w:r w:rsidRPr="008D0FAD">
              <w:rPr>
                <w:rFonts w:ascii="Calibri" w:hAnsi="Calibri" w:cs="Calibri"/>
                <w:color w:val="000000"/>
                <w:lang w:eastAsia="hy-AM"/>
              </w:rPr>
              <w:t> </w:t>
            </w:r>
          </w:p>
        </w:tc>
      </w:tr>
      <w:tr w:rsidR="00974DC9" w:rsidRPr="008D0FAD" w:rsidTr="00BE13D6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974DC9" w:rsidRPr="008D0FAD" w:rsidRDefault="00974DC9" w:rsidP="008D0FAD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  <w:r w:rsidRPr="008D0FAD">
              <w:rPr>
                <w:rFonts w:ascii="GHEA Grapalat" w:hAnsi="GHEA Grapalat"/>
                <w:b/>
                <w:color w:val="000000"/>
                <w:lang w:eastAsia="hy-AM"/>
              </w:rPr>
              <w:t xml:space="preserve">ՀՀ </w:t>
            </w:r>
            <w:r w:rsidRPr="008D0FAD">
              <w:rPr>
                <w:rFonts w:ascii="GHEA Grapalat" w:hAnsi="GHEA Grapalat" w:cs="Arial"/>
                <w:b/>
                <w:bCs/>
                <w:lang w:val="hy-AM"/>
              </w:rPr>
              <w:t>արդարադատության նախարարություն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974DC9" w:rsidRPr="008D0FAD" w:rsidRDefault="00974DC9" w:rsidP="008D0FAD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  <w:r w:rsidRPr="008D0FAD">
              <w:rPr>
                <w:rFonts w:ascii="GHEA Grapalat" w:hAnsi="GHEA Grapalat" w:cs="Arial"/>
                <w:b/>
                <w:bCs/>
                <w:lang w:val="hy-AM"/>
              </w:rPr>
              <w:t>11.03.2021թ.</w:t>
            </w:r>
          </w:p>
        </w:tc>
      </w:tr>
      <w:tr w:rsidR="00974DC9" w:rsidRPr="008D0FAD" w:rsidTr="00BE13D6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974DC9" w:rsidRPr="008D0FAD" w:rsidRDefault="00974DC9" w:rsidP="008D0FAD">
            <w:pPr>
              <w:spacing w:line="360" w:lineRule="auto"/>
              <w:rPr>
                <w:rFonts w:ascii="GHEA Grapalat" w:hAnsi="GHEA Grapalat"/>
                <w:b/>
                <w:color w:val="000000"/>
                <w:lang w:eastAsia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974DC9" w:rsidRPr="008D0FAD" w:rsidRDefault="00974DC9" w:rsidP="008D0FAD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  <w:r w:rsidRPr="008D0FAD">
              <w:rPr>
                <w:rFonts w:ascii="GHEA Grapalat" w:hAnsi="GHEA Grapalat"/>
                <w:b/>
                <w:color w:val="000000"/>
                <w:lang w:eastAsia="hy-AM"/>
              </w:rPr>
              <w:t>N 01/27.2/4928-2021</w:t>
            </w:r>
          </w:p>
        </w:tc>
      </w:tr>
      <w:tr w:rsidR="00974DC9" w:rsidRPr="008D0FAD" w:rsidTr="00CA35E8">
        <w:trPr>
          <w:trHeight w:val="395"/>
          <w:tblCellSpacing w:w="0" w:type="dxa"/>
          <w:jc w:val="center"/>
        </w:trPr>
        <w:tc>
          <w:tcPr>
            <w:tcW w:w="7961" w:type="dxa"/>
            <w:shd w:val="clear" w:color="auto" w:fill="FFFFFF"/>
          </w:tcPr>
          <w:p w:rsidR="00CA35E8" w:rsidRPr="008D0FAD" w:rsidRDefault="00CA35E8" w:rsidP="008D0FA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127" w:right="175" w:firstLine="19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0FAD">
              <w:rPr>
                <w:rFonts w:ascii="GHEA Grapalat" w:hAnsi="GHEA Grapalat"/>
                <w:bCs/>
                <w:lang w:val="hy-AM"/>
              </w:rPr>
              <w:t>«</w:t>
            </w:r>
            <w:r w:rsidRPr="008D0FA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 Հանրապետության կառավարության 2012 թվականի ապրիլի 19-ի N 496-Ն որոշման մեջ լրացումներ կատարելու մասին</w:t>
            </w: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Հայաստանի Հանրապետության կառավարության որոշման նախագծով առաջարկվում է կատարել լրացումներ:</w:t>
            </w:r>
          </w:p>
          <w:p w:rsidR="00CA35E8" w:rsidRPr="008D0FAD" w:rsidRDefault="00CA35E8" w:rsidP="008D0FAD">
            <w:pPr>
              <w:spacing w:line="360" w:lineRule="auto"/>
              <w:ind w:left="34" w:right="175" w:firstLine="28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0FAD">
              <w:rPr>
                <w:rFonts w:ascii="GHEA Grapalat" w:eastAsia="MS Gothic" w:hAnsi="GHEA Grapalat" w:cs="Arial"/>
                <w:lang w:val="hy-AM"/>
              </w:rPr>
              <w:t>Այս առումով հարկ ենք համարում անդրադառնալ</w:t>
            </w:r>
            <w:r w:rsidRPr="008D0FAD">
              <w:rPr>
                <w:rFonts w:ascii="GHEA Grapalat" w:hAnsi="GHEA Grapalat" w:cs="GHEA Grapalat"/>
                <w:b/>
                <w:bCs/>
                <w:color w:val="000000" w:themeColor="text1"/>
                <w:lang w:val="hy-AM"/>
              </w:rPr>
              <w:t xml:space="preserve"> </w:t>
            </w: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«Նորմատիվ իրավական ակտերի մասին» օրենքի 13-րդ հոդվածի 1-ին մասի դրույթներին, համաձայն որոնց՝ ենթաօրենսդրական նորմատիվ </w:t>
            </w:r>
            <w:r w:rsidRPr="008D0FAD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 xml:space="preserve">իրավական ակտը ունենում է նախաբան, որում նշվում է օրենսդրական իրավական ակտի հոդվածը կամ մասը, որը </w:t>
            </w:r>
            <w:r w:rsidRPr="008D0FAD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lastRenderedPageBreak/>
              <w:t>ներառում է Սահմանադրության 6-րդ հոդվածի 2-րդ մասով սահմանված լիազորող նորմեր:</w:t>
            </w:r>
          </w:p>
          <w:p w:rsidR="00CA35E8" w:rsidRPr="008D0FAD" w:rsidRDefault="00CA35E8" w:rsidP="008D0FAD">
            <w:pPr>
              <w:spacing w:line="360" w:lineRule="auto"/>
              <w:ind w:left="34" w:right="175" w:firstLine="28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Սահմանադրության 6-րդ հոդվածի 2-րդ մասի համաձայն</w:t>
            </w:r>
            <w:r w:rsidRPr="008D0FAD"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hy-AM"/>
              </w:rPr>
              <w:t>՝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</w:t>
            </w:r>
          </w:p>
          <w:p w:rsidR="00CA35E8" w:rsidRPr="008D0FAD" w:rsidRDefault="00CA35E8" w:rsidP="008D0FAD">
            <w:pPr>
              <w:spacing w:line="360" w:lineRule="auto"/>
              <w:ind w:left="34" w:right="175" w:firstLine="28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Տվյալ դեպքում </w:t>
            </w:r>
            <w:r w:rsidRPr="008D0FAD">
              <w:rPr>
                <w:rFonts w:ascii="GHEA Grapalat" w:hAnsi="GHEA Grapalat" w:cs="Sylfaen"/>
                <w:color w:val="000000" w:themeColor="text1"/>
                <w:shd w:val="clear" w:color="auto" w:fill="FFFFFF"/>
                <w:lang w:val="hy-AM"/>
              </w:rPr>
              <w:t>Հայաստանի Հանրապետության</w:t>
            </w:r>
            <w:r w:rsidRPr="008D0FAD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8D0FAD">
              <w:rPr>
                <w:rFonts w:ascii="GHEA Grapalat" w:hAnsi="GHEA Grapalat" w:cs="Sylfaen"/>
                <w:color w:val="000000" w:themeColor="text1"/>
                <w:shd w:val="clear" w:color="auto" w:fill="FFFFFF"/>
                <w:lang w:val="hy-AM"/>
              </w:rPr>
              <w:t>կառավարության</w:t>
            </w:r>
            <w:r w:rsidRPr="008D0FAD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8D0FA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2012 թվականի ապրիլի 19-ի N 496-Ն որոշման </w:t>
            </w: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նախաբանում</w:t>
            </w:r>
            <w:r w:rsidRPr="008D0FA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որևէ իրավական ակտի հղում կատարված չէ:</w:t>
            </w:r>
          </w:p>
          <w:p w:rsidR="00CA35E8" w:rsidRPr="008D0FAD" w:rsidRDefault="00CA35E8" w:rsidP="008D0FAD">
            <w:pPr>
              <w:spacing w:line="360" w:lineRule="auto"/>
              <w:ind w:left="34" w:right="175" w:firstLine="28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Ելնելով վերոգրյալից առաջարկում ենք որոշման նախաբանում հղում կատարել այն իրավական </w:t>
            </w:r>
            <w:proofErr w:type="spellStart"/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ակտին</w:t>
            </w:r>
            <w:proofErr w:type="spellEnd"/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որով ՀՀ կառավարությունը լիազորվել է ընդունելու հիշյալ որոշումը:</w:t>
            </w:r>
            <w:r w:rsidRPr="008D0FAD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</w:p>
          <w:p w:rsidR="00974DC9" w:rsidRPr="008D0FAD" w:rsidRDefault="00974DC9" w:rsidP="008D0FAD">
            <w:pPr>
              <w:autoSpaceDE w:val="0"/>
              <w:autoSpaceDN w:val="0"/>
              <w:adjustRightInd w:val="0"/>
              <w:spacing w:line="360" w:lineRule="auto"/>
              <w:ind w:left="269" w:right="301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  <w:tc>
          <w:tcPr>
            <w:tcW w:w="6223" w:type="dxa"/>
            <w:gridSpan w:val="2"/>
            <w:shd w:val="clear" w:color="auto" w:fill="FFFFFF"/>
          </w:tcPr>
          <w:p w:rsidR="00CA35E8" w:rsidRPr="008D0FAD" w:rsidRDefault="00CA35E8" w:rsidP="008D0FAD">
            <w:pPr>
              <w:pStyle w:val="ListParagraph"/>
              <w:numPr>
                <w:ilvl w:val="0"/>
                <w:numId w:val="13"/>
              </w:numPr>
              <w:tabs>
                <w:tab w:val="left" w:pos="368"/>
              </w:tabs>
              <w:spacing w:line="360" w:lineRule="auto"/>
              <w:jc w:val="center"/>
              <w:rPr>
                <w:rFonts w:ascii="GHEA Grapalat" w:hAnsi="GHEA Grapalat" w:cs="Arial"/>
                <w:bCs/>
              </w:rPr>
            </w:pPr>
            <w:r w:rsidRPr="008D0FAD">
              <w:rPr>
                <w:rFonts w:ascii="GHEA Grapalat" w:hAnsi="GHEA Grapalat" w:cs="Arial"/>
                <w:bCs/>
                <w:lang w:val="hy-AM"/>
              </w:rPr>
              <w:lastRenderedPageBreak/>
              <w:t>Ընդունվել է մասնակի:</w:t>
            </w:r>
          </w:p>
          <w:p w:rsidR="005B6D15" w:rsidRPr="008D0FAD" w:rsidRDefault="005B6D15" w:rsidP="008D0FAD">
            <w:pPr>
              <w:tabs>
                <w:tab w:val="left" w:pos="368"/>
              </w:tabs>
              <w:spacing w:line="360" w:lineRule="auto"/>
              <w:ind w:left="246" w:right="145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8D0FAD">
              <w:rPr>
                <w:rFonts w:ascii="GHEA Grapalat" w:hAnsi="GHEA Grapalat" w:cs="Sylfaen"/>
                <w:bCs/>
                <w:lang w:val="hy-AM"/>
              </w:rPr>
              <w:t xml:space="preserve">«Հայաստանի Հանրապետության կառավարության 2012 թվականի ապրիլի 19-ի N 496-Ն որոշման մեջ լրացումներ կատարելու մասին» Հայաստանի Հանրապետության կառավարության որոշման նախագծի նախաբանը </w:t>
            </w:r>
            <w:proofErr w:type="spellStart"/>
            <w:r w:rsidRPr="008D0FAD">
              <w:rPr>
                <w:rFonts w:ascii="GHEA Grapalat" w:hAnsi="GHEA Grapalat" w:cs="Sylfaen"/>
                <w:bCs/>
                <w:lang w:val="hy-AM"/>
              </w:rPr>
              <w:t>խմբագրվել</w:t>
            </w:r>
            <w:proofErr w:type="spellEnd"/>
            <w:r w:rsidRPr="008D0FAD">
              <w:rPr>
                <w:rFonts w:ascii="GHEA Grapalat" w:hAnsi="GHEA Grapalat" w:cs="Sylfaen"/>
                <w:bCs/>
                <w:lang w:val="hy-AM"/>
              </w:rPr>
              <w:t xml:space="preserve"> է, իսկ ինչ վերաբերում է ՀՀ կառավարության 2012 թվականի ապրիլի 19-ի թիվ 496-Ն որոշման նախաբանում փոփոխություն կատարելուն, ապա հայտնում ենք, որ </w:t>
            </w:r>
            <w:r w:rsidRPr="008D0FAD">
              <w:rPr>
                <w:rFonts w:ascii="GHEA Grapalat" w:hAnsi="GHEA Grapalat" w:cs="Sylfaen"/>
                <w:bCs/>
                <w:lang w:val="hy-AM"/>
              </w:rPr>
              <w:lastRenderedPageBreak/>
              <w:t>այն ընդունվել է մինչև գրությամբ նշված Սահմանադրության 6-րդ հոդվածի 2-րդ մասով սահմանված կարգավորումների և «Նորմատիվ իրավական ակտերի մասին» օրենքի ուժի մեջ մտնելը:</w:t>
            </w:r>
          </w:p>
          <w:p w:rsidR="00CA35E8" w:rsidRPr="008D0FAD" w:rsidRDefault="00CA35E8" w:rsidP="008D0FAD">
            <w:pPr>
              <w:pStyle w:val="ListParagraph"/>
              <w:tabs>
                <w:tab w:val="left" w:pos="368"/>
              </w:tabs>
              <w:spacing w:line="360" w:lineRule="auto"/>
              <w:ind w:left="176"/>
              <w:rPr>
                <w:rFonts w:ascii="GHEA Grapalat" w:hAnsi="GHEA Grapalat" w:cs="Arial"/>
                <w:bCs/>
              </w:rPr>
            </w:pPr>
          </w:p>
          <w:p w:rsidR="00974DC9" w:rsidRPr="008D0FAD" w:rsidRDefault="00974DC9" w:rsidP="008D0FAD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eastAsia="hy-AM"/>
              </w:rPr>
            </w:pPr>
          </w:p>
        </w:tc>
      </w:tr>
      <w:tr w:rsidR="00CA35E8" w:rsidRPr="008D0FAD" w:rsidTr="00CA35E8">
        <w:trPr>
          <w:trHeight w:val="395"/>
          <w:tblCellSpacing w:w="0" w:type="dxa"/>
          <w:jc w:val="center"/>
        </w:trPr>
        <w:tc>
          <w:tcPr>
            <w:tcW w:w="7961" w:type="dxa"/>
            <w:shd w:val="clear" w:color="auto" w:fill="FFFFFF"/>
          </w:tcPr>
          <w:p w:rsidR="00E635A5" w:rsidRPr="008D0FAD" w:rsidRDefault="00E635A5" w:rsidP="008D0FA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127" w:right="175" w:firstLine="19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0FAD">
              <w:rPr>
                <w:rFonts w:ascii="GHEA Grapalat" w:hAnsi="GHEA Grapalat"/>
                <w:bCs/>
                <w:lang w:val="hy-AM"/>
              </w:rPr>
              <w:lastRenderedPageBreak/>
              <w:t>Նախագծի 1-ին կետի 1-ին ենթակետով առաջարկվում է Հայաստանի Հանրապետության կառավարության 2012 թվականի ապրիլի 19-ի N 496-Ն որոշման մեջ լրացնել նոր 1.1-ին կետ, արդյունքում նախատեսելով, որ</w:t>
            </w:r>
            <w:r w:rsidRPr="008D0FAD">
              <w:rPr>
                <w:rFonts w:ascii="GHEA Grapalat" w:hAnsi="GHEA Grapalat" w:cs="Calibri"/>
                <w:lang w:val="hy-AM"/>
              </w:rPr>
              <w:t xml:space="preserve"> Եվրասիական տնտեսական միության մաքսային օրենսգրքի, ՀՀ հարկային օրենսգրքի,  </w:t>
            </w:r>
            <w:r w:rsidRPr="008D0FAD">
              <w:rPr>
                <w:rFonts w:ascii="GHEA Grapalat" w:hAnsi="GHEA Grapalat" w:cs="Calibri"/>
                <w:bCs/>
                <w:lang w:val="hy-AM" w:eastAsia="hy-AM"/>
              </w:rPr>
              <w:t>«Մաքսային կարգավորման մասին</w:t>
            </w:r>
            <w:r w:rsidRPr="008D0FAD">
              <w:rPr>
                <w:rFonts w:ascii="GHEA Grapalat" w:hAnsi="GHEA Grapalat" w:cs="Calibri"/>
                <w:lang w:val="hy-AM"/>
              </w:rPr>
              <w:t xml:space="preserve">» ՀՀ օրենքի և «Պետական տուրքի մասին» ՀՀ օրենքի համաձայն մաքսային մարմիններին վճարման </w:t>
            </w:r>
            <w:r w:rsidRPr="008D0FAD">
              <w:rPr>
                <w:rFonts w:ascii="GHEA Grapalat" w:hAnsi="GHEA Grapalat" w:cs="Calibri"/>
                <w:lang w:val="hy-AM"/>
              </w:rPr>
              <w:lastRenderedPageBreak/>
              <w:t xml:space="preserve">ենթակա մաքսատուրքի, ավելացված արժեքի հարկի, ակցիզային հարկի, </w:t>
            </w:r>
            <w:r w:rsidRPr="008D0FAD">
              <w:rPr>
                <w:rFonts w:ascii="GHEA Grapalat" w:hAnsi="GHEA Grapalat" w:cs="Calibri"/>
                <w:b/>
                <w:i/>
                <w:lang w:val="hy-AM"/>
              </w:rPr>
              <w:t>մաքսային գործառնությունների իրականացման համար գանձվող պետական տուրքի</w:t>
            </w:r>
            <w:r w:rsidRPr="008D0FAD">
              <w:rPr>
                <w:rFonts w:ascii="GHEA Grapalat" w:hAnsi="GHEA Grapalat" w:cs="Calibri"/>
                <w:lang w:val="hy-AM"/>
              </w:rPr>
              <w:t>, հատուկ, հակագնագցման ու փոխհատուցման տուրքերի, բնապահպանական հարկի և ճանապարհային հարկի, ինչպես նաև դրանց նկատմամբ հաշվարկված տոկոսների ու տույժերի, մաքսային կանոնների խախտումների համար առաջացած տուգանքների (այսուհետ՝ Վճարներ) իրավաբանական և ֆիզիկական անձանց վճարման պարտավորությունը համարվում է կատարված նաև այն դեպքում, երբ դրանց վճարումն իրականացվել է պետական վճարումների էլեկտրոնային համակարգով։</w:t>
            </w:r>
          </w:p>
          <w:p w:rsidR="00E635A5" w:rsidRPr="008D0FAD" w:rsidRDefault="00E635A5" w:rsidP="008D0FAD">
            <w:pPr>
              <w:spacing w:line="360" w:lineRule="auto"/>
              <w:ind w:left="34" w:right="175" w:firstLine="28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0FAD">
              <w:rPr>
                <w:rFonts w:ascii="GHEA Grapalat" w:hAnsi="GHEA Grapalat"/>
                <w:bCs/>
                <w:lang w:val="hy-AM"/>
              </w:rPr>
              <w:t>Տվյալ պարագայում հարկ ենք համարում նշել, որ Հայաստանի Հանրապետության կառավարության 2012 թվականի ապրիլի 19-ի N 496-Ն որոշման 1-ին կետն արդեն իսկ նախատեսում է, որ Հայաստանի Հանրապետության օրենսդրությամբ պետական տուրքի վճարման պարտավորությունը համարվում է կատարված նաև այն դեպքում, երբ դրա վճարումն իրականացվել է պետական վճարումների էլեկտրոնային համակարգով:</w:t>
            </w:r>
          </w:p>
          <w:p w:rsidR="00E635A5" w:rsidRPr="008D0FAD" w:rsidRDefault="00E635A5" w:rsidP="008D0FAD">
            <w:pPr>
              <w:spacing w:line="360" w:lineRule="auto"/>
              <w:ind w:left="34" w:right="175" w:firstLine="28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0FAD">
              <w:rPr>
                <w:rFonts w:ascii="GHEA Grapalat" w:hAnsi="GHEA Grapalat"/>
                <w:bCs/>
                <w:lang w:val="hy-AM"/>
              </w:rPr>
              <w:t xml:space="preserve">Ուստի նկատի վերոգրյալը՝ առաջարկում ենք Նախագծի 1-ին կետի 1-ին ենթակետով Հայաստանի Հանրապետության կառավարության 2012 թվականի ապրիլի 19-ի N 496-Ն որոշման (այսուհետ նաև՝ </w:t>
            </w:r>
            <w:r w:rsidRPr="008D0FAD">
              <w:rPr>
                <w:rFonts w:ascii="GHEA Grapalat" w:hAnsi="GHEA Grapalat"/>
                <w:bCs/>
                <w:lang w:val="hy-AM"/>
              </w:rPr>
              <w:lastRenderedPageBreak/>
              <w:t>Որոշում) մեջ լրացվող նոր 1.1-ին կետը վերանայել՝ դիտարկելով Որոշման 1-ին կետում ամրագրված կարգավորումների համատեքստում:</w:t>
            </w:r>
          </w:p>
          <w:p w:rsidR="00E635A5" w:rsidRPr="008D0FAD" w:rsidRDefault="00E635A5" w:rsidP="008D0FAD">
            <w:pPr>
              <w:spacing w:line="360" w:lineRule="auto"/>
              <w:ind w:left="34" w:right="175" w:firstLine="28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0FAD">
              <w:rPr>
                <w:rFonts w:ascii="GHEA Grapalat" w:hAnsi="GHEA Grapalat"/>
                <w:bCs/>
                <w:lang w:val="hy-AM"/>
              </w:rPr>
              <w:t>Բացի այդ, Նախագծի 1-ին կետի 1-ին ենթակետում «1.1-րդ կետով</w:t>
            </w: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Pr="008D0FAD">
              <w:rPr>
                <w:rFonts w:ascii="GHEA Grapalat" w:hAnsi="GHEA Grapalat"/>
                <w:bCs/>
                <w:lang w:val="hy-AM"/>
              </w:rPr>
              <w:t xml:space="preserve"> բառերն անհրաժեշտ է փոխարինել «1.1-ին կետ</w:t>
            </w: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Pr="008D0FAD">
              <w:rPr>
                <w:rFonts w:ascii="GHEA Grapalat" w:hAnsi="GHEA Grapalat"/>
                <w:bCs/>
                <w:lang w:val="hy-AM"/>
              </w:rPr>
              <w:t xml:space="preserve"> բառերով:</w:t>
            </w:r>
          </w:p>
          <w:p w:rsidR="00CA35E8" w:rsidRPr="008D0FAD" w:rsidRDefault="00CA35E8" w:rsidP="008D0FAD">
            <w:pPr>
              <w:spacing w:line="360" w:lineRule="auto"/>
              <w:ind w:left="34" w:right="175" w:firstLine="284"/>
              <w:jc w:val="both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6223" w:type="dxa"/>
            <w:gridSpan w:val="2"/>
            <w:shd w:val="clear" w:color="auto" w:fill="FFFFFF"/>
          </w:tcPr>
          <w:p w:rsidR="00E635A5" w:rsidRPr="008D0FAD" w:rsidRDefault="00E635A5" w:rsidP="008D0FAD">
            <w:pPr>
              <w:pStyle w:val="ListParagraph"/>
              <w:numPr>
                <w:ilvl w:val="0"/>
                <w:numId w:val="13"/>
              </w:numPr>
              <w:tabs>
                <w:tab w:val="left" w:pos="368"/>
              </w:tabs>
              <w:spacing w:line="360" w:lineRule="auto"/>
              <w:jc w:val="center"/>
              <w:rPr>
                <w:rFonts w:ascii="GHEA Grapalat" w:hAnsi="GHEA Grapalat" w:cs="Arial"/>
                <w:bCs/>
              </w:rPr>
            </w:pPr>
            <w:r w:rsidRPr="008D0FAD">
              <w:rPr>
                <w:rFonts w:ascii="GHEA Grapalat" w:hAnsi="GHEA Grapalat" w:cs="Arial"/>
                <w:bCs/>
                <w:lang w:val="hy-AM"/>
              </w:rPr>
              <w:lastRenderedPageBreak/>
              <w:t>Ընդունվել է:</w:t>
            </w:r>
          </w:p>
          <w:p w:rsidR="00E635A5" w:rsidRPr="008D0FAD" w:rsidRDefault="00DE629D" w:rsidP="008D0FAD">
            <w:pPr>
              <w:tabs>
                <w:tab w:val="left" w:pos="368"/>
              </w:tabs>
              <w:spacing w:line="360" w:lineRule="auto"/>
              <w:ind w:left="360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8D0FAD">
              <w:rPr>
                <w:rFonts w:ascii="GHEA Grapalat" w:hAnsi="GHEA Grapalat"/>
                <w:color w:val="000000"/>
                <w:lang w:val="hy-AM" w:eastAsia="hy-AM"/>
              </w:rPr>
              <w:t xml:space="preserve">Նախագծում 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>կ</w:t>
            </w:r>
            <w:r w:rsidRPr="008D0FAD">
              <w:rPr>
                <w:rFonts w:ascii="GHEA Grapalat" w:hAnsi="GHEA Grapalat"/>
                <w:color w:val="000000"/>
                <w:lang w:val="hy-AM" w:eastAsia="hy-AM"/>
              </w:rPr>
              <w:t>ատարվել են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 xml:space="preserve"> </w:t>
            </w:r>
            <w:r w:rsidR="00E635A5" w:rsidRPr="008D0FAD">
              <w:rPr>
                <w:rFonts w:ascii="GHEA Grapalat" w:hAnsi="GHEA Grapalat" w:cs="Sylfaen"/>
                <w:bCs/>
                <w:lang w:val="hy-AM"/>
              </w:rPr>
              <w:t>համապատասխան փոփոխություններ:</w:t>
            </w:r>
          </w:p>
          <w:p w:rsidR="00E635A5" w:rsidRPr="008D0FAD" w:rsidRDefault="00E635A5" w:rsidP="008D0FAD">
            <w:pPr>
              <w:pStyle w:val="ListParagraph"/>
              <w:tabs>
                <w:tab w:val="left" w:pos="368"/>
              </w:tabs>
              <w:spacing w:line="360" w:lineRule="auto"/>
              <w:rPr>
                <w:rFonts w:ascii="GHEA Grapalat" w:hAnsi="GHEA Grapalat" w:cs="Arial"/>
                <w:bCs/>
              </w:rPr>
            </w:pPr>
          </w:p>
          <w:p w:rsidR="00CA35E8" w:rsidRPr="008D0FAD" w:rsidRDefault="00CA35E8" w:rsidP="008D0FAD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eastAsia="hy-AM"/>
              </w:rPr>
            </w:pPr>
          </w:p>
        </w:tc>
      </w:tr>
      <w:tr w:rsidR="00CA35E8" w:rsidRPr="008D0FAD" w:rsidTr="00CA35E8">
        <w:trPr>
          <w:trHeight w:val="395"/>
          <w:tblCellSpacing w:w="0" w:type="dxa"/>
          <w:jc w:val="center"/>
        </w:trPr>
        <w:tc>
          <w:tcPr>
            <w:tcW w:w="7961" w:type="dxa"/>
            <w:shd w:val="clear" w:color="auto" w:fill="FFFFFF"/>
          </w:tcPr>
          <w:p w:rsidR="00FD7E46" w:rsidRPr="008D0FAD" w:rsidRDefault="00FD7E46" w:rsidP="008D0FA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127" w:right="175" w:firstLine="19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0FAD">
              <w:rPr>
                <w:rFonts w:ascii="GHEA Grapalat" w:hAnsi="GHEA Grapalat"/>
                <w:bCs/>
                <w:lang w:val="hy-AM"/>
              </w:rPr>
              <w:lastRenderedPageBreak/>
              <w:t>Նախագծի 1-ին կետի 1-ին ենթակետով Որոշման մեջ լրացվող նոր 1.1-ին կետում «ՀՀ հարկային օրենսգիրք</w:t>
            </w: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Pr="008D0FAD">
              <w:rPr>
                <w:rFonts w:ascii="GHEA Grapalat" w:hAnsi="GHEA Grapalat"/>
                <w:bCs/>
                <w:lang w:val="hy-AM"/>
              </w:rPr>
              <w:t xml:space="preserve"> բառերն անհրաժեշտ է փոխարինել «Հայաստանի Հանրապետության հարկային օրենսգիրք</w:t>
            </w: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Pr="008D0FAD">
              <w:rPr>
                <w:rFonts w:ascii="GHEA Grapalat" w:hAnsi="GHEA Grapalat"/>
                <w:bCs/>
                <w:lang w:val="hy-AM"/>
              </w:rPr>
              <w:t xml:space="preserve"> բառերով:</w:t>
            </w:r>
          </w:p>
          <w:p w:rsidR="00CA35E8" w:rsidRPr="008D0FAD" w:rsidRDefault="00FD7E46" w:rsidP="008D0FAD">
            <w:pPr>
              <w:spacing w:line="360" w:lineRule="auto"/>
              <w:ind w:left="34" w:right="175" w:firstLine="28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0FAD">
              <w:rPr>
                <w:rFonts w:ascii="GHEA Grapalat" w:hAnsi="GHEA Grapalat"/>
                <w:bCs/>
                <w:lang w:val="hy-AM"/>
              </w:rPr>
              <w:t>Բացի այդ, հիմք ընդունելով «Նորմատիվ իրավական ակտերի մասին</w:t>
            </w: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Pr="008D0FAD">
              <w:rPr>
                <w:rFonts w:ascii="GHEA Grapalat" w:hAnsi="GHEA Grapalat"/>
                <w:bCs/>
                <w:lang w:val="hy-AM"/>
              </w:rPr>
              <w:t xml:space="preserve"> օրենքի 18-րդ հոդվածի 3-րդ մասի պահանջները՝ Նախագծի 1-ին կետի 1-ին ենթակետով Որոշման մեջ լրացվող նոր 1.1-ին կետում «Մաքսային կարգավորման մասին</w:t>
            </w: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», </w:t>
            </w:r>
            <w:r w:rsidRPr="008D0FAD">
              <w:rPr>
                <w:rFonts w:ascii="GHEA Grapalat" w:hAnsi="GHEA Grapalat"/>
                <w:bCs/>
                <w:lang w:val="hy-AM"/>
              </w:rPr>
              <w:t>«</w:t>
            </w: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Պետական տուրքի մասին» բառերից հետո նշված </w:t>
            </w:r>
            <w:r w:rsidRPr="008D0FAD">
              <w:rPr>
                <w:rFonts w:ascii="GHEA Grapalat" w:hAnsi="GHEA Grapalat"/>
                <w:bCs/>
                <w:lang w:val="hy-AM"/>
              </w:rPr>
              <w:t>«</w:t>
            </w: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ՀՀ»  բառն անհրաժեշտ է հանել:</w:t>
            </w:r>
            <w:r w:rsidRPr="008D0FA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</w:p>
        </w:tc>
        <w:tc>
          <w:tcPr>
            <w:tcW w:w="6223" w:type="dxa"/>
            <w:gridSpan w:val="2"/>
            <w:shd w:val="clear" w:color="auto" w:fill="FFFFFF"/>
          </w:tcPr>
          <w:p w:rsidR="00FD7E46" w:rsidRPr="008D0FAD" w:rsidRDefault="00FD7E46" w:rsidP="008D0FAD">
            <w:pPr>
              <w:pStyle w:val="ListParagraph"/>
              <w:numPr>
                <w:ilvl w:val="0"/>
                <w:numId w:val="13"/>
              </w:numPr>
              <w:tabs>
                <w:tab w:val="left" w:pos="368"/>
              </w:tabs>
              <w:spacing w:line="360" w:lineRule="auto"/>
              <w:jc w:val="center"/>
              <w:rPr>
                <w:rFonts w:ascii="GHEA Grapalat" w:hAnsi="GHEA Grapalat" w:cs="Arial"/>
                <w:bCs/>
              </w:rPr>
            </w:pPr>
            <w:r w:rsidRPr="008D0FAD">
              <w:rPr>
                <w:rFonts w:ascii="GHEA Grapalat" w:hAnsi="GHEA Grapalat" w:cs="Arial"/>
                <w:bCs/>
                <w:lang w:val="hy-AM"/>
              </w:rPr>
              <w:t>Ընդունվել է:</w:t>
            </w:r>
          </w:p>
          <w:p w:rsidR="00FD7E46" w:rsidRPr="008D0FAD" w:rsidRDefault="006C375B" w:rsidP="008D0FAD">
            <w:pPr>
              <w:tabs>
                <w:tab w:val="left" w:pos="368"/>
              </w:tabs>
              <w:spacing w:line="360" w:lineRule="auto"/>
              <w:ind w:left="360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8D0FAD">
              <w:rPr>
                <w:rFonts w:ascii="GHEA Grapalat" w:hAnsi="GHEA Grapalat"/>
                <w:color w:val="000000"/>
                <w:lang w:val="hy-AM" w:eastAsia="hy-AM"/>
              </w:rPr>
              <w:t xml:space="preserve">Նախագծում 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>կ</w:t>
            </w:r>
            <w:r w:rsidRPr="008D0FAD">
              <w:rPr>
                <w:rFonts w:ascii="GHEA Grapalat" w:hAnsi="GHEA Grapalat"/>
                <w:color w:val="000000"/>
                <w:lang w:val="hy-AM" w:eastAsia="hy-AM"/>
              </w:rPr>
              <w:t>ատարվել են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 xml:space="preserve"> </w:t>
            </w:r>
            <w:r w:rsidR="00FD7E46" w:rsidRPr="008D0FAD">
              <w:rPr>
                <w:rFonts w:ascii="GHEA Grapalat" w:hAnsi="GHEA Grapalat" w:cs="Sylfaen"/>
                <w:bCs/>
                <w:lang w:val="hy-AM"/>
              </w:rPr>
              <w:t>համապատասխան փոփոխություններ:</w:t>
            </w:r>
          </w:p>
          <w:p w:rsidR="00CA35E8" w:rsidRPr="008D0FAD" w:rsidRDefault="00CA35E8" w:rsidP="008D0FAD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eastAsia="hy-AM"/>
              </w:rPr>
            </w:pPr>
          </w:p>
        </w:tc>
      </w:tr>
      <w:tr w:rsidR="00CA35E8" w:rsidRPr="008D0FAD" w:rsidTr="00CA35E8">
        <w:trPr>
          <w:trHeight w:val="395"/>
          <w:tblCellSpacing w:w="0" w:type="dxa"/>
          <w:jc w:val="center"/>
        </w:trPr>
        <w:tc>
          <w:tcPr>
            <w:tcW w:w="7961" w:type="dxa"/>
            <w:shd w:val="clear" w:color="auto" w:fill="FFFFFF"/>
          </w:tcPr>
          <w:p w:rsidR="00186CEC" w:rsidRPr="008D0FAD" w:rsidRDefault="00186CEC" w:rsidP="008D0FAD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127" w:right="175" w:firstLine="19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Նախագծի 2-րդ կետով առաջարկվում է նախատեսել, որ նույն որոշումն ուժի մեջ է մտնելու նույն որոշմամբ սահմանված գործառնությունների իրականացման համար անհրաժեշտ էլեկտրոնային համակարգի գործարկման օրվանից, բայց ոչ ուշ, քան 2021 թվականի մարտի 1-ը: </w:t>
            </w:r>
          </w:p>
          <w:p w:rsidR="00186CEC" w:rsidRPr="008D0FAD" w:rsidRDefault="00186CEC" w:rsidP="008D0FAD">
            <w:pPr>
              <w:spacing w:line="360" w:lineRule="auto"/>
              <w:ind w:left="34" w:right="175" w:firstLine="28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Այս առումով հարկ ենք համարում նշել, որ Նախագծի 2-րդ կետով նախատեսված որոշման ուժի մեջ մտնելու ժամկետն անհրաժեշտ է վերանայել:</w:t>
            </w:r>
          </w:p>
          <w:p w:rsidR="00186CEC" w:rsidRPr="008D0FAD" w:rsidRDefault="00186CEC" w:rsidP="008D0FAD">
            <w:pPr>
              <w:spacing w:line="360" w:lineRule="auto"/>
              <w:ind w:left="34" w:right="175" w:firstLine="284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Նույն դիտարկումը </w:t>
            </w:r>
            <w:proofErr w:type="spellStart"/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վերաբերելի</w:t>
            </w:r>
            <w:proofErr w:type="spellEnd"/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է նաև </w:t>
            </w:r>
            <w:r w:rsidRPr="008D0FAD">
              <w:rPr>
                <w:rFonts w:ascii="GHEA Grapalat" w:hAnsi="GHEA Grapalat"/>
                <w:bCs/>
                <w:lang w:val="hy-AM"/>
              </w:rPr>
              <w:t>«</w:t>
            </w:r>
            <w:r w:rsidRPr="008D0FA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Մաքսային մարմիններին վճարման ենթակա մաքսատուրքը, ավելացված արժեքի հարկը, ակցիզային հարկը, մաքսային գործառնությունների իրականացման համար գանձվող պետական տուրքը, հատուկ, հակագնագցման ու փոխհատուցման տուրքերը, բնապահպանական հարկը և ճանապարհային հարկը, ֆիզիկական անձանց կողմից անձնական օգտագործման ապրանքների համար մաքսային մարմիններին վճարվող միասնական դրույքաչափերով և միագումար մաքսային վճարի ձևով վճարվող մաքսատուրքը և հարկերը, ինչպես նաև դրանց նկատմամբ հաշվարկված տոկոսները ու տույժերը, մաքսային կանոնների խախտումների համար առաջացած տուգանքները վճարելու ձևերը ու միջոցները, ինչպես նաև դրանք վճարելու պարտավորությունը կատարելու պահը (վճարելու օրը) սահմանելու մասին» Հայաստանի</w:t>
            </w: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D0FA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D0FA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կառավարության</w:t>
            </w: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D0FA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որոշման</w:t>
            </w:r>
            <w:r w:rsidRPr="008D0F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նախագծի </w:t>
            </w:r>
            <w:r w:rsidRPr="008D0FA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5-րդ կետին:</w:t>
            </w:r>
          </w:p>
          <w:p w:rsidR="00CA35E8" w:rsidRDefault="00CA35E8" w:rsidP="008D0FAD">
            <w:pPr>
              <w:spacing w:line="360" w:lineRule="auto"/>
              <w:ind w:left="34" w:right="175" w:firstLine="284"/>
              <w:jc w:val="both"/>
              <w:rPr>
                <w:rFonts w:ascii="GHEA Grapalat" w:hAnsi="GHEA Grapalat"/>
                <w:bCs/>
                <w:lang w:val="hy-AM"/>
              </w:rPr>
            </w:pPr>
          </w:p>
          <w:p w:rsidR="00A03787" w:rsidRDefault="00A03787" w:rsidP="008D0FAD">
            <w:pPr>
              <w:spacing w:line="360" w:lineRule="auto"/>
              <w:ind w:left="34" w:right="175" w:firstLine="284"/>
              <w:jc w:val="both"/>
              <w:rPr>
                <w:rFonts w:ascii="GHEA Grapalat" w:hAnsi="GHEA Grapalat"/>
                <w:bCs/>
                <w:lang w:val="hy-AM"/>
              </w:rPr>
            </w:pPr>
          </w:p>
          <w:p w:rsidR="00A03787" w:rsidRPr="008D0FAD" w:rsidRDefault="00A03787" w:rsidP="008D0FAD">
            <w:pPr>
              <w:spacing w:line="360" w:lineRule="auto"/>
              <w:ind w:left="34" w:right="175" w:firstLine="284"/>
              <w:jc w:val="both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6223" w:type="dxa"/>
            <w:gridSpan w:val="2"/>
            <w:shd w:val="clear" w:color="auto" w:fill="FFFFFF"/>
          </w:tcPr>
          <w:p w:rsidR="00186CEC" w:rsidRPr="008D0FAD" w:rsidRDefault="00186CEC" w:rsidP="008D0FAD">
            <w:pPr>
              <w:pStyle w:val="ListParagraph"/>
              <w:numPr>
                <w:ilvl w:val="0"/>
                <w:numId w:val="13"/>
              </w:numPr>
              <w:tabs>
                <w:tab w:val="left" w:pos="368"/>
              </w:tabs>
              <w:spacing w:line="360" w:lineRule="auto"/>
              <w:jc w:val="center"/>
              <w:rPr>
                <w:rFonts w:ascii="GHEA Grapalat" w:hAnsi="GHEA Grapalat" w:cs="Arial"/>
                <w:bCs/>
              </w:rPr>
            </w:pPr>
            <w:r w:rsidRPr="008D0FAD">
              <w:rPr>
                <w:rFonts w:ascii="GHEA Grapalat" w:hAnsi="GHEA Grapalat" w:cs="Arial"/>
                <w:bCs/>
                <w:lang w:val="hy-AM"/>
              </w:rPr>
              <w:lastRenderedPageBreak/>
              <w:t>Ընդունվել է:</w:t>
            </w:r>
          </w:p>
          <w:p w:rsidR="00186CEC" w:rsidRPr="008D0FAD" w:rsidRDefault="00957998" w:rsidP="008D0FAD">
            <w:pPr>
              <w:tabs>
                <w:tab w:val="left" w:pos="368"/>
              </w:tabs>
              <w:spacing w:line="360" w:lineRule="auto"/>
              <w:ind w:left="360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8D0FAD">
              <w:rPr>
                <w:rFonts w:ascii="GHEA Grapalat" w:hAnsi="GHEA Grapalat"/>
                <w:color w:val="000000"/>
                <w:lang w:val="hy-AM" w:eastAsia="hy-AM"/>
              </w:rPr>
              <w:t xml:space="preserve">Նախագծում 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>կ</w:t>
            </w:r>
            <w:r w:rsidRPr="008D0FAD">
              <w:rPr>
                <w:rFonts w:ascii="GHEA Grapalat" w:hAnsi="GHEA Grapalat"/>
                <w:color w:val="000000"/>
                <w:lang w:val="hy-AM" w:eastAsia="hy-AM"/>
              </w:rPr>
              <w:t>ատարվել են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 xml:space="preserve"> </w:t>
            </w:r>
            <w:r w:rsidR="00186CEC" w:rsidRPr="008D0FAD">
              <w:rPr>
                <w:rFonts w:ascii="GHEA Grapalat" w:hAnsi="GHEA Grapalat" w:cs="Sylfaen"/>
                <w:bCs/>
                <w:lang w:val="hy-AM"/>
              </w:rPr>
              <w:t>համապատասխան փոփոխություններ:</w:t>
            </w:r>
          </w:p>
          <w:p w:rsidR="00CA35E8" w:rsidRPr="008D0FAD" w:rsidRDefault="00CA35E8" w:rsidP="008D0FAD">
            <w:pPr>
              <w:spacing w:line="360" w:lineRule="auto"/>
              <w:rPr>
                <w:rFonts w:ascii="GHEA Grapalat" w:hAnsi="GHEA Grapalat"/>
                <w:color w:val="000000"/>
                <w:lang w:eastAsia="hy-AM"/>
              </w:rPr>
            </w:pPr>
          </w:p>
        </w:tc>
      </w:tr>
      <w:tr w:rsidR="00412F04" w:rsidRPr="008D0FAD" w:rsidTr="006C75BB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412F04" w:rsidRPr="00D35AE0" w:rsidRDefault="00D35AE0" w:rsidP="00D35AE0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  <w:r w:rsidRPr="00D35AE0">
              <w:rPr>
                <w:rFonts w:ascii="GHEA Grapalat" w:hAnsi="GHEA Grapalat"/>
                <w:b/>
                <w:color w:val="000000"/>
                <w:lang w:eastAsia="hy-AM"/>
              </w:rPr>
              <w:lastRenderedPageBreak/>
              <w:t xml:space="preserve">ՀՀ Վարչապետի </w:t>
            </w:r>
            <w:proofErr w:type="spellStart"/>
            <w:r w:rsidRPr="00D35AE0">
              <w:rPr>
                <w:rFonts w:ascii="GHEA Grapalat" w:hAnsi="GHEA Grapalat"/>
                <w:b/>
                <w:color w:val="000000"/>
                <w:lang w:eastAsia="hy-AM"/>
              </w:rPr>
              <w:t>աշխատակազմի</w:t>
            </w:r>
            <w:proofErr w:type="spellEnd"/>
            <w:r>
              <w:rPr>
                <w:rFonts w:ascii="GHEA Grapalat" w:hAnsi="GHEA Grapalat"/>
                <w:b/>
                <w:color w:val="000000"/>
                <w:lang w:eastAsia="hy-AM"/>
              </w:rPr>
              <w:t xml:space="preserve"> </w:t>
            </w:r>
            <w:proofErr w:type="spellStart"/>
            <w:r w:rsidR="009F63B1">
              <w:rPr>
                <w:rFonts w:ascii="GHEA Grapalat" w:hAnsi="GHEA Grapalat"/>
                <w:b/>
                <w:color w:val="000000"/>
                <w:lang w:eastAsia="hy-AM"/>
              </w:rPr>
              <w:t>իրավաբանական</w:t>
            </w:r>
            <w:proofErr w:type="spellEnd"/>
            <w:r w:rsidR="009F63B1">
              <w:rPr>
                <w:rFonts w:ascii="GHEA Grapalat" w:hAnsi="GHEA Grapalat"/>
                <w:b/>
                <w:color w:val="000000"/>
                <w:lang w:eastAsia="hy-AM"/>
              </w:rPr>
              <w:t xml:space="preserve"> </w:t>
            </w:r>
            <w:proofErr w:type="spellStart"/>
            <w:r w:rsidR="009F63B1">
              <w:rPr>
                <w:rFonts w:ascii="GHEA Grapalat" w:hAnsi="GHEA Grapalat"/>
                <w:b/>
                <w:color w:val="000000"/>
                <w:lang w:eastAsia="hy-AM"/>
              </w:rPr>
              <w:t>վարչությ</w:t>
            </w:r>
            <w:proofErr w:type="spellEnd"/>
            <w:r w:rsidR="009F63B1">
              <w:rPr>
                <w:rFonts w:ascii="GHEA Grapalat" w:hAnsi="GHEA Grapalat"/>
                <w:b/>
                <w:color w:val="000000"/>
                <w:lang w:val="hy-AM" w:eastAsia="hy-AM"/>
              </w:rPr>
              <w:t>ան եզրակացություն</w:t>
            </w:r>
          </w:p>
        </w:tc>
        <w:tc>
          <w:tcPr>
            <w:tcW w:w="2396" w:type="dxa"/>
            <w:shd w:val="clear" w:color="auto" w:fill="D0D0D0"/>
            <w:hideMark/>
          </w:tcPr>
          <w:p w:rsidR="00412F04" w:rsidRPr="008D0FAD" w:rsidRDefault="00D35AE0" w:rsidP="00D35AE0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  <w:r>
              <w:rPr>
                <w:rFonts w:ascii="GHEA Grapalat" w:hAnsi="GHEA Grapalat" w:cs="Arial"/>
                <w:b/>
                <w:bCs/>
              </w:rPr>
              <w:t>22</w:t>
            </w:r>
            <w:r w:rsidR="00412F04" w:rsidRPr="008D0FAD">
              <w:rPr>
                <w:rFonts w:ascii="GHEA Grapalat" w:hAnsi="GHEA Grapalat" w:cs="Arial"/>
                <w:b/>
                <w:bCs/>
                <w:lang w:val="hy-AM"/>
              </w:rPr>
              <w:t>.0</w:t>
            </w:r>
            <w:r>
              <w:rPr>
                <w:rFonts w:ascii="GHEA Grapalat" w:hAnsi="GHEA Grapalat" w:cs="Arial"/>
                <w:b/>
                <w:bCs/>
              </w:rPr>
              <w:t>4</w:t>
            </w:r>
            <w:r w:rsidR="00412F04" w:rsidRPr="008D0FAD">
              <w:rPr>
                <w:rFonts w:ascii="GHEA Grapalat" w:hAnsi="GHEA Grapalat" w:cs="Arial"/>
                <w:b/>
                <w:bCs/>
                <w:lang w:val="hy-AM"/>
              </w:rPr>
              <w:t>.2021թ.</w:t>
            </w:r>
          </w:p>
        </w:tc>
      </w:tr>
      <w:tr w:rsidR="00412F04" w:rsidRPr="008D0FAD" w:rsidTr="006C75BB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412F04" w:rsidRPr="008D0FAD" w:rsidRDefault="00412F04" w:rsidP="006C75BB">
            <w:pPr>
              <w:spacing w:line="360" w:lineRule="auto"/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412F04" w:rsidRPr="008D0FAD" w:rsidRDefault="00412F04" w:rsidP="006C75BB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  <w:r w:rsidRPr="008D0FAD">
              <w:rPr>
                <w:rFonts w:ascii="GHEA Grapalat" w:hAnsi="GHEA Grapalat"/>
                <w:b/>
                <w:color w:val="000000"/>
                <w:lang w:eastAsia="hy-AM"/>
              </w:rPr>
              <w:t xml:space="preserve">N </w:t>
            </w:r>
            <w:r w:rsidR="00D35AE0" w:rsidRPr="00D35AE0">
              <w:rPr>
                <w:rFonts w:ascii="GHEA Grapalat" w:hAnsi="GHEA Grapalat"/>
                <w:b/>
                <w:color w:val="000000"/>
                <w:lang w:eastAsia="hy-AM"/>
              </w:rPr>
              <w:t>02/16.20/12560-2021</w:t>
            </w:r>
          </w:p>
        </w:tc>
      </w:tr>
      <w:tr w:rsidR="00412F04" w:rsidRPr="000B568C" w:rsidTr="006C75BB">
        <w:trPr>
          <w:trHeight w:val="395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412F04" w:rsidRPr="008D0FAD" w:rsidRDefault="00D35AE0" w:rsidP="006C75BB">
            <w:pPr>
              <w:autoSpaceDE w:val="0"/>
              <w:autoSpaceDN w:val="0"/>
              <w:adjustRightInd w:val="0"/>
              <w:spacing w:line="360" w:lineRule="auto"/>
              <w:ind w:left="269" w:right="301"/>
              <w:jc w:val="both"/>
              <w:rPr>
                <w:rFonts w:ascii="GHEA Grapalat" w:hAnsi="GHEA Grapalat"/>
                <w:color w:val="000000"/>
                <w:lang w:eastAsia="hy-AM"/>
              </w:rPr>
            </w:pPr>
            <w:r w:rsidRPr="00D35AE0">
              <w:rPr>
                <w:rFonts w:ascii="GHEA Grapalat" w:hAnsi="GHEA Grapalat" w:cs="Sylfaen"/>
                <w:lang w:val="hy-AM"/>
              </w:rPr>
              <w:t xml:space="preserve">Նախագծի նախաբանում նշված չէ Սահմանադրության կամ օրենքի այն դրույթը, որը կառավարությանը լիազորում է ընդունել սույն որոշման նախագիծը, ինչը հակասում է Սահմանադրության 6-րդ հոդվածի 2-րդ մասին, ըստ որի՝ 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</w:t>
            </w:r>
            <w:proofErr w:type="spellStart"/>
            <w:r w:rsidRPr="00D35AE0">
              <w:rPr>
                <w:rFonts w:ascii="GHEA Grapalat" w:hAnsi="GHEA Grapalat" w:cs="Sylfaen"/>
                <w:lang w:val="hy-AM"/>
              </w:rPr>
              <w:t>Միևնույն</w:t>
            </w:r>
            <w:proofErr w:type="spellEnd"/>
            <w:r w:rsidRPr="00D35AE0">
              <w:rPr>
                <w:rFonts w:ascii="GHEA Grapalat" w:hAnsi="GHEA Grapalat" w:cs="Sylfaen"/>
                <w:lang w:val="hy-AM"/>
              </w:rPr>
              <w:t xml:space="preserve"> ժամանակ, «Նորմատիվ իրավական ակտերի մասին» օրենքի 13-րդ հոդվածի 1-ին մասի համաձայն՝ ենթաօրենսդրական նորմատիվ 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նորմեր:</w:t>
            </w: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ED475E" w:rsidRDefault="00ED475E" w:rsidP="00ED475E">
            <w:pPr>
              <w:spacing w:line="276" w:lineRule="auto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Ընդունվել է ի գիտություն:</w:t>
            </w:r>
          </w:p>
          <w:p w:rsidR="00DE294B" w:rsidRDefault="00166482" w:rsidP="00220F84">
            <w:pPr>
              <w:spacing w:line="360" w:lineRule="auto"/>
              <w:ind w:left="104" w:right="287" w:firstLine="425"/>
              <w:jc w:val="both"/>
              <w:rPr>
                <w:rFonts w:ascii="GHEA Grapalat" w:hAnsi="GHEA Grapalat" w:cs="Calibri"/>
                <w:color w:val="000000"/>
                <w:lang w:val="hy-AM" w:eastAsia="hy-AM"/>
              </w:rPr>
            </w:pPr>
            <w:r w:rsidRPr="00166482">
              <w:rPr>
                <w:rFonts w:ascii="GHEA Grapalat" w:hAnsi="GHEA Grapalat" w:cs="Calibri"/>
                <w:color w:val="000000"/>
                <w:lang w:val="hy-AM" w:eastAsia="hy-AM"/>
              </w:rPr>
              <w:t>Նախագծով նախատեսվում է</w:t>
            </w:r>
            <w:r>
              <w:rPr>
                <w:rFonts w:ascii="GHEA Grapalat" w:hAnsi="GHEA Grapalat" w:cs="Calibri"/>
                <w:color w:val="000000"/>
                <w:lang w:val="hy-AM" w:eastAsia="hy-AM"/>
              </w:rPr>
              <w:t xml:space="preserve"> լ</w:t>
            </w:r>
            <w:r w:rsidR="00220F84">
              <w:rPr>
                <w:rFonts w:ascii="GHEA Grapalat" w:hAnsi="GHEA Grapalat" w:cs="Calibri"/>
                <w:color w:val="000000"/>
                <w:lang w:val="hy-AM" w:eastAsia="hy-AM"/>
              </w:rPr>
              <w:t>րացումներ կատարել արդեն իսկ գոր</w:t>
            </w:r>
            <w:r>
              <w:rPr>
                <w:rFonts w:ascii="GHEA Grapalat" w:hAnsi="GHEA Grapalat" w:cs="Calibri"/>
                <w:color w:val="000000"/>
                <w:lang w:val="hy-AM" w:eastAsia="hy-AM"/>
              </w:rPr>
              <w:t xml:space="preserve">ծող </w:t>
            </w:r>
            <w:r>
              <w:rPr>
                <w:rFonts w:ascii="Sylfaen" w:hAnsi="Sylfaen" w:cs="Calibri"/>
                <w:color w:val="000000"/>
                <w:lang w:val="hy-AM" w:eastAsia="hy-AM"/>
              </w:rPr>
              <w:t xml:space="preserve"> </w:t>
            </w:r>
            <w:r w:rsidRPr="00166482">
              <w:rPr>
                <w:rFonts w:ascii="GHEA Grapalat" w:hAnsi="GHEA Grapalat" w:cs="Calibri"/>
                <w:color w:val="000000"/>
                <w:lang w:val="hy-AM" w:eastAsia="hy-AM"/>
              </w:rPr>
              <w:t>Հայաստանի Հանրապետության կառավարության 2012 թվականի ապրիլի 19-ի N 496-Ն որոշման մեջ</w:t>
            </w:r>
            <w:r>
              <w:rPr>
                <w:rFonts w:ascii="GHEA Grapalat" w:hAnsi="GHEA Grapalat" w:cs="Calibri"/>
                <w:color w:val="000000"/>
                <w:lang w:val="hy-AM" w:eastAsia="hy-AM"/>
              </w:rPr>
              <w:t xml:space="preserve">, </w:t>
            </w:r>
            <w:r w:rsidR="00DE294B">
              <w:rPr>
                <w:rFonts w:ascii="GHEA Grapalat" w:hAnsi="GHEA Grapalat" w:cs="Calibri"/>
                <w:color w:val="000000"/>
                <w:lang w:val="hy-AM" w:eastAsia="hy-AM"/>
              </w:rPr>
              <w:t>քանի որ</w:t>
            </w:r>
            <w:r w:rsidR="00DE294B" w:rsidRPr="00DE294B">
              <w:rPr>
                <w:rFonts w:ascii="GHEA Grapalat" w:hAnsi="GHEA Grapalat" w:cs="Calibri"/>
                <w:color w:val="000000"/>
                <w:lang w:val="hy-AM" w:eastAsia="hy-AM"/>
              </w:rPr>
              <w:t xml:space="preserve">, </w:t>
            </w:r>
            <w:r w:rsidR="00DE294B">
              <w:rPr>
                <w:rFonts w:ascii="GHEA Grapalat" w:hAnsi="GHEA Grapalat" w:cs="Calibri"/>
                <w:color w:val="000000"/>
                <w:lang w:val="hy-AM" w:eastAsia="hy-AM"/>
              </w:rPr>
              <w:t xml:space="preserve">նշված </w:t>
            </w:r>
            <w:r w:rsidR="00DE294B" w:rsidRPr="00DE294B">
              <w:rPr>
                <w:rFonts w:ascii="GHEA Grapalat" w:hAnsi="GHEA Grapalat" w:cs="Calibri"/>
                <w:color w:val="000000"/>
                <w:lang w:val="hy-AM" w:eastAsia="hy-AM"/>
              </w:rPr>
              <w:t>որոշմա</w:t>
            </w:r>
            <w:r w:rsidR="00DE294B">
              <w:rPr>
                <w:rFonts w:ascii="GHEA Grapalat" w:hAnsi="GHEA Grapalat" w:cs="Calibri"/>
                <w:color w:val="000000"/>
                <w:lang w:val="hy-AM" w:eastAsia="hy-AM"/>
              </w:rPr>
              <w:t>ն համաձայն</w:t>
            </w:r>
            <w:r w:rsidR="00DE294B" w:rsidRPr="00DE294B">
              <w:rPr>
                <w:rFonts w:ascii="GHEA Grapalat" w:hAnsi="GHEA Grapalat" w:cs="Calibri"/>
                <w:color w:val="000000"/>
                <w:lang w:val="hy-AM" w:eastAsia="hy-AM"/>
              </w:rPr>
              <w:t xml:space="preserve"> է </w:t>
            </w:r>
            <w:proofErr w:type="spellStart"/>
            <w:r w:rsidR="00DE294B" w:rsidRPr="00DE294B">
              <w:rPr>
                <w:rFonts w:ascii="GHEA Grapalat" w:hAnsi="GHEA Grapalat" w:cs="Calibri"/>
                <w:color w:val="000000"/>
                <w:lang w:val="hy-AM" w:eastAsia="hy-AM"/>
              </w:rPr>
              <w:t>ներդրվել</w:t>
            </w:r>
            <w:proofErr w:type="spellEnd"/>
            <w:r w:rsidR="00DE294B" w:rsidRPr="00DE294B">
              <w:rPr>
                <w:rFonts w:ascii="GHEA Grapalat" w:hAnsi="GHEA Grapalat" w:cs="Calibri"/>
                <w:color w:val="000000"/>
                <w:lang w:val="hy-AM" w:eastAsia="hy-AM"/>
              </w:rPr>
              <w:t xml:space="preserve"> և գործարկվել պետական վճարումների էլեկտրոնային համակարգը, </w:t>
            </w:r>
            <w:r w:rsidR="000B5096">
              <w:rPr>
                <w:rFonts w:ascii="GHEA Grapalat" w:hAnsi="GHEA Grapalat" w:cs="Calibri"/>
                <w:color w:val="000000"/>
                <w:lang w:val="hy-AM" w:eastAsia="hy-AM"/>
              </w:rPr>
              <w:t>ուստի</w:t>
            </w:r>
            <w:r w:rsidR="00DE294B" w:rsidRPr="00DE294B">
              <w:rPr>
                <w:rFonts w:ascii="GHEA Grapalat" w:hAnsi="GHEA Grapalat" w:cs="Calibri"/>
                <w:color w:val="000000"/>
                <w:lang w:val="hy-AM" w:eastAsia="hy-AM"/>
              </w:rPr>
              <w:t xml:space="preserve"> նախագծով նախատեսվող` մաքսային վճարների էլեկտրոնային վճարումը պետական վճարումների էլեկտրոնային համակարգի միջոցով կազմակերպելու նպատակով անհրաժեշտություն է առաջացել </w:t>
            </w:r>
            <w:r w:rsidR="000B5096">
              <w:rPr>
                <w:rFonts w:ascii="GHEA Grapalat" w:hAnsi="GHEA Grapalat" w:cs="Calibri"/>
                <w:color w:val="000000"/>
                <w:lang w:val="hy-AM" w:eastAsia="hy-AM"/>
              </w:rPr>
              <w:t>լրացումներ</w:t>
            </w:r>
            <w:r w:rsidR="00DE294B" w:rsidRPr="00DE294B">
              <w:rPr>
                <w:rFonts w:ascii="GHEA Grapalat" w:hAnsi="GHEA Grapalat" w:cs="Calibri"/>
                <w:color w:val="000000"/>
                <w:lang w:val="hy-AM" w:eastAsia="hy-AM"/>
              </w:rPr>
              <w:t xml:space="preserve"> կատարել նշված որոշման մեջ</w:t>
            </w:r>
            <w:r w:rsidR="00306BDF">
              <w:rPr>
                <w:rFonts w:ascii="GHEA Grapalat" w:hAnsi="GHEA Grapalat" w:cs="Calibri"/>
                <w:color w:val="000000"/>
                <w:lang w:val="hy-AM" w:eastAsia="hy-AM"/>
              </w:rPr>
              <w:t>:</w:t>
            </w:r>
            <w:r w:rsidR="000B5096">
              <w:rPr>
                <w:rFonts w:ascii="GHEA Grapalat" w:hAnsi="GHEA Grapalat" w:cs="Calibri"/>
                <w:color w:val="000000"/>
                <w:lang w:val="hy-AM" w:eastAsia="hy-AM"/>
              </w:rPr>
              <w:t xml:space="preserve"> </w:t>
            </w:r>
          </w:p>
          <w:p w:rsidR="00412F04" w:rsidRPr="000B568C" w:rsidRDefault="00761B3D" w:rsidP="000B5096">
            <w:pPr>
              <w:spacing w:line="360" w:lineRule="auto"/>
              <w:ind w:left="104" w:right="287" w:firstLine="425"/>
              <w:jc w:val="both"/>
              <w:rPr>
                <w:rFonts w:ascii="Sylfaen" w:hAnsi="Sylfaen"/>
                <w:color w:val="000000"/>
                <w:lang w:val="hy-AM" w:eastAsia="hy-AM"/>
              </w:rPr>
            </w:pPr>
            <w:r>
              <w:rPr>
                <w:rFonts w:ascii="GHEA Grapalat" w:hAnsi="GHEA Grapalat" w:cs="Calibri"/>
                <w:color w:val="000000"/>
                <w:lang w:val="hy-AM" w:eastAsia="hy-AM"/>
              </w:rPr>
              <w:t>Մյուս կողմից,</w:t>
            </w:r>
            <w:r w:rsidR="000B5096">
              <w:rPr>
                <w:rFonts w:ascii="GHEA Grapalat" w:hAnsi="GHEA Grapalat" w:cs="Calibri"/>
                <w:color w:val="000000"/>
                <w:lang w:val="hy-AM" w:eastAsia="hy-AM"/>
              </w:rPr>
              <w:t xml:space="preserve"> հայտնում ենք, որ</w:t>
            </w:r>
            <w:r>
              <w:rPr>
                <w:rFonts w:ascii="GHEA Grapalat" w:hAnsi="GHEA Grapalat" w:cs="Calibri"/>
                <w:color w:val="000000"/>
                <w:lang w:val="hy-AM" w:eastAsia="hy-AM"/>
              </w:rPr>
              <w:t xml:space="preserve"> նշված որոշումը</w:t>
            </w:r>
            <w:r w:rsidR="00166482">
              <w:rPr>
                <w:rFonts w:ascii="GHEA Grapalat" w:hAnsi="GHEA Grapalat" w:cs="Calibri"/>
                <w:color w:val="000000"/>
                <w:lang w:val="hy-AM" w:eastAsia="hy-AM"/>
              </w:rPr>
              <w:t xml:space="preserve"> ընդունվել է </w:t>
            </w:r>
            <w:r w:rsidR="00220F84">
              <w:rPr>
                <w:rFonts w:ascii="GHEA Grapalat" w:hAnsi="GHEA Grapalat" w:cs="Calibri"/>
                <w:color w:val="000000"/>
                <w:lang w:val="hy-AM" w:eastAsia="hy-AM"/>
              </w:rPr>
              <w:t>մինչև ՀՀ Սահմանադրության ուժի մեջ մտնելը</w:t>
            </w:r>
            <w:r w:rsidR="00220F84" w:rsidRPr="000B568C">
              <w:rPr>
                <w:rFonts w:ascii="GHEA Grapalat" w:hAnsi="GHEA Grapalat" w:cs="Calibri"/>
                <w:color w:val="000000"/>
                <w:lang w:val="hy-AM" w:eastAsia="hy-AM"/>
              </w:rPr>
              <w:t xml:space="preserve"> (22.12.2015</w:t>
            </w:r>
            <w:r w:rsidR="00220F84">
              <w:rPr>
                <w:rFonts w:ascii="GHEA Grapalat" w:hAnsi="GHEA Grapalat" w:cs="Calibri"/>
                <w:color w:val="000000"/>
                <w:lang w:val="hy-AM" w:eastAsia="hy-AM"/>
              </w:rPr>
              <w:t>թ.</w:t>
            </w:r>
            <w:r w:rsidR="00220F84" w:rsidRPr="000B568C">
              <w:rPr>
                <w:rFonts w:ascii="GHEA Grapalat" w:hAnsi="GHEA Grapalat" w:cs="Calibri"/>
                <w:color w:val="000000"/>
                <w:lang w:val="hy-AM" w:eastAsia="hy-AM"/>
              </w:rPr>
              <w:t>)</w:t>
            </w:r>
            <w:r>
              <w:rPr>
                <w:rFonts w:ascii="GHEA Grapalat" w:hAnsi="GHEA Grapalat" w:cs="Calibri"/>
                <w:color w:val="000000"/>
                <w:lang w:val="hy-AM" w:eastAsia="hy-AM"/>
              </w:rPr>
              <w:t xml:space="preserve">, ինչպես նաև </w:t>
            </w:r>
            <w:r w:rsidR="00EF20DD">
              <w:rPr>
                <w:rFonts w:ascii="GHEA Grapalat" w:hAnsi="GHEA Grapalat" w:cs="Calibri"/>
                <w:color w:val="000000"/>
                <w:lang w:val="hy-AM" w:eastAsia="hy-AM"/>
              </w:rPr>
              <w:t xml:space="preserve">Նախագծի նախաբանում հղում է կատարվել ՀՀ </w:t>
            </w:r>
            <w:r w:rsidR="000B5096">
              <w:rPr>
                <w:rFonts w:ascii="GHEA Grapalat" w:hAnsi="GHEA Grapalat" w:cs="Calibri"/>
                <w:color w:val="000000"/>
                <w:lang w:val="hy-AM" w:eastAsia="hy-AM"/>
              </w:rPr>
              <w:t>Սահմանադրության 146-րդ հոդվածին</w:t>
            </w:r>
            <w:r w:rsidR="00AB1BAB">
              <w:rPr>
                <w:rFonts w:ascii="GHEA Grapalat" w:hAnsi="GHEA Grapalat" w:cs="Calibri"/>
                <w:color w:val="000000"/>
                <w:lang w:val="hy-AM" w:eastAsia="hy-AM"/>
              </w:rPr>
              <w:t>:</w:t>
            </w:r>
            <w:r w:rsidR="000B5096" w:rsidRPr="000B568C">
              <w:rPr>
                <w:rFonts w:ascii="Sylfaen" w:hAnsi="Sylfaen"/>
                <w:color w:val="000000"/>
                <w:lang w:val="hy-AM" w:eastAsia="hy-AM"/>
              </w:rPr>
              <w:t xml:space="preserve"> </w:t>
            </w:r>
          </w:p>
        </w:tc>
      </w:tr>
    </w:tbl>
    <w:p w:rsidR="00412F04" w:rsidRDefault="00412F04" w:rsidP="008D0FAD">
      <w:pPr>
        <w:spacing w:line="360" w:lineRule="auto"/>
        <w:rPr>
          <w:rFonts w:ascii="GHEA Grapalat" w:hAnsi="GHEA Grapalat"/>
          <w:lang w:val="hy-AM"/>
        </w:rPr>
      </w:pPr>
    </w:p>
    <w:tbl>
      <w:tblPr>
        <w:tblW w:w="1418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1"/>
        <w:gridCol w:w="3827"/>
        <w:gridCol w:w="2396"/>
      </w:tblGrid>
      <w:tr w:rsidR="000B568C" w:rsidRPr="008D0FAD" w:rsidTr="003362EB">
        <w:trPr>
          <w:trHeight w:val="413"/>
          <w:tblCellSpacing w:w="0" w:type="dxa"/>
          <w:jc w:val="center"/>
        </w:trPr>
        <w:tc>
          <w:tcPr>
            <w:tcW w:w="11788" w:type="dxa"/>
            <w:gridSpan w:val="2"/>
            <w:vMerge w:val="restart"/>
            <w:shd w:val="clear" w:color="auto" w:fill="D0D0D0"/>
            <w:hideMark/>
          </w:tcPr>
          <w:p w:rsidR="000B568C" w:rsidRPr="000B568C" w:rsidRDefault="000B568C" w:rsidP="000B568C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  <w:r w:rsidRPr="000B568C">
              <w:rPr>
                <w:rFonts w:ascii="GHEA Grapalat" w:hAnsi="GHEA Grapalat"/>
                <w:b/>
                <w:color w:val="000000"/>
                <w:lang w:eastAsia="hy-AM"/>
              </w:rPr>
              <w:lastRenderedPageBreak/>
              <w:t xml:space="preserve">ՀՀ </w:t>
            </w:r>
            <w:r w:rsidRPr="000B568C">
              <w:rPr>
                <w:rFonts w:ascii="GHEA Grapalat" w:hAnsi="GHEA Grapalat"/>
                <w:b/>
                <w:color w:val="000000"/>
                <w:lang w:val="hy-AM" w:eastAsia="hy-AM"/>
              </w:rPr>
              <w:t>Կենտրոնական բանկ</w:t>
            </w:r>
          </w:p>
        </w:tc>
        <w:tc>
          <w:tcPr>
            <w:tcW w:w="2396" w:type="dxa"/>
            <w:shd w:val="clear" w:color="auto" w:fill="D0D0D0"/>
            <w:hideMark/>
          </w:tcPr>
          <w:p w:rsidR="000B568C" w:rsidRPr="000B568C" w:rsidRDefault="000B568C" w:rsidP="003362EB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</w:p>
        </w:tc>
      </w:tr>
      <w:tr w:rsidR="000B568C" w:rsidRPr="008D0FAD" w:rsidTr="003362EB">
        <w:trPr>
          <w:trHeight w:val="395"/>
          <w:tblCellSpacing w:w="0" w:type="dxa"/>
          <w:jc w:val="center"/>
        </w:trPr>
        <w:tc>
          <w:tcPr>
            <w:tcW w:w="11788" w:type="dxa"/>
            <w:gridSpan w:val="2"/>
            <w:vMerge/>
            <w:shd w:val="clear" w:color="auto" w:fill="FFFFFF"/>
            <w:vAlign w:val="center"/>
            <w:hideMark/>
          </w:tcPr>
          <w:p w:rsidR="000B568C" w:rsidRPr="000B568C" w:rsidRDefault="000B568C" w:rsidP="003362EB">
            <w:pPr>
              <w:spacing w:line="360" w:lineRule="auto"/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2396" w:type="dxa"/>
            <w:shd w:val="clear" w:color="auto" w:fill="D0D0D0"/>
            <w:hideMark/>
          </w:tcPr>
          <w:p w:rsidR="000B568C" w:rsidRPr="000B568C" w:rsidRDefault="000B568C" w:rsidP="003362EB">
            <w:pPr>
              <w:spacing w:line="360" w:lineRule="auto"/>
              <w:jc w:val="center"/>
              <w:rPr>
                <w:rFonts w:ascii="GHEA Grapalat" w:hAnsi="GHEA Grapalat"/>
                <w:b/>
                <w:color w:val="000000"/>
                <w:lang w:eastAsia="hy-AM"/>
              </w:rPr>
            </w:pPr>
          </w:p>
        </w:tc>
      </w:tr>
      <w:tr w:rsidR="000B568C" w:rsidRPr="000B568C" w:rsidTr="003362EB">
        <w:trPr>
          <w:trHeight w:val="395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0B568C" w:rsidRPr="000B568C" w:rsidRDefault="000B568C" w:rsidP="003362EB">
            <w:pPr>
              <w:autoSpaceDE w:val="0"/>
              <w:autoSpaceDN w:val="0"/>
              <w:adjustRightInd w:val="0"/>
              <w:spacing w:line="360" w:lineRule="auto"/>
              <w:ind w:left="269" w:right="301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 w:rsidRPr="000B568C">
              <w:rPr>
                <w:rFonts w:ascii="GHEA Grapalat" w:hAnsi="GHEA Grapalat"/>
                <w:color w:val="000000"/>
                <w:lang w:val="hy-AM" w:eastAsia="hy-AM"/>
              </w:rPr>
              <w:t>Առաջարկություններ չունեն:</w:t>
            </w: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0B568C" w:rsidRPr="000B568C" w:rsidRDefault="000B568C" w:rsidP="000B568C">
            <w:pPr>
              <w:spacing w:line="360" w:lineRule="auto"/>
              <w:ind w:left="104" w:right="287" w:firstLine="425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 w:rsidRPr="000B568C">
              <w:rPr>
                <w:rFonts w:ascii="GHEA Grapalat" w:hAnsi="GHEA Grapalat"/>
                <w:color w:val="000000"/>
                <w:lang w:val="hy-AM" w:eastAsia="hy-AM"/>
              </w:rPr>
              <w:t>Ընդունվել է ի գիտություն</w:t>
            </w:r>
          </w:p>
        </w:tc>
      </w:tr>
    </w:tbl>
    <w:p w:rsidR="000B568C" w:rsidRPr="000B568C" w:rsidRDefault="000B568C" w:rsidP="008D0FAD">
      <w:pPr>
        <w:spacing w:line="360" w:lineRule="auto"/>
        <w:rPr>
          <w:rFonts w:ascii="GHEA Grapalat" w:hAnsi="GHEA Grapalat"/>
          <w:lang w:val="hy-AM"/>
        </w:rPr>
      </w:pPr>
      <w:bookmarkStart w:id="0" w:name="_GoBack"/>
      <w:bookmarkEnd w:id="0"/>
    </w:p>
    <w:sectPr w:rsidR="000B568C" w:rsidRPr="000B568C" w:rsidSect="00BB4ADB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5056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" w15:restartNumberingAfterBreak="0">
    <w:nsid w:val="0A836BEC"/>
    <w:multiLevelType w:val="hybridMultilevel"/>
    <w:tmpl w:val="C87A97DE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6047"/>
    <w:multiLevelType w:val="hybridMultilevel"/>
    <w:tmpl w:val="C87A97DE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2F6A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4" w15:restartNumberingAfterBreak="0">
    <w:nsid w:val="217B1AF4"/>
    <w:multiLevelType w:val="hybridMultilevel"/>
    <w:tmpl w:val="D1229DD8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97DE7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6" w15:restartNumberingAfterBreak="0">
    <w:nsid w:val="33C835A1"/>
    <w:multiLevelType w:val="hybridMultilevel"/>
    <w:tmpl w:val="C87A97DE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02EB7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8" w15:restartNumberingAfterBreak="0">
    <w:nsid w:val="39C9115B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9" w15:restartNumberingAfterBreak="0">
    <w:nsid w:val="3C500384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0" w15:restartNumberingAfterBreak="0">
    <w:nsid w:val="3F15405F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1" w15:restartNumberingAfterBreak="0">
    <w:nsid w:val="45BE40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2" w15:restartNumberingAfterBreak="0">
    <w:nsid w:val="47F83A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3" w15:restartNumberingAfterBreak="0">
    <w:nsid w:val="4FAE04D4"/>
    <w:multiLevelType w:val="hybridMultilevel"/>
    <w:tmpl w:val="DE12E91E"/>
    <w:lvl w:ilvl="0" w:tplc="A8426D84">
      <w:start w:val="1"/>
      <w:numFmt w:val="decimal"/>
      <w:lvlText w:val="%1."/>
      <w:lvlJc w:val="left"/>
      <w:pPr>
        <w:ind w:left="678" w:hanging="360"/>
      </w:pPr>
      <w:rPr>
        <w:rFonts w:hint="default"/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1398" w:hanging="360"/>
      </w:pPr>
    </w:lvl>
    <w:lvl w:ilvl="2" w:tplc="042B001B" w:tentative="1">
      <w:start w:val="1"/>
      <w:numFmt w:val="lowerRoman"/>
      <w:lvlText w:val="%3."/>
      <w:lvlJc w:val="right"/>
      <w:pPr>
        <w:ind w:left="2118" w:hanging="180"/>
      </w:pPr>
    </w:lvl>
    <w:lvl w:ilvl="3" w:tplc="042B000F" w:tentative="1">
      <w:start w:val="1"/>
      <w:numFmt w:val="decimal"/>
      <w:lvlText w:val="%4."/>
      <w:lvlJc w:val="left"/>
      <w:pPr>
        <w:ind w:left="2838" w:hanging="360"/>
      </w:pPr>
    </w:lvl>
    <w:lvl w:ilvl="4" w:tplc="042B0019" w:tentative="1">
      <w:start w:val="1"/>
      <w:numFmt w:val="lowerLetter"/>
      <w:lvlText w:val="%5."/>
      <w:lvlJc w:val="left"/>
      <w:pPr>
        <w:ind w:left="3558" w:hanging="360"/>
      </w:pPr>
    </w:lvl>
    <w:lvl w:ilvl="5" w:tplc="042B001B" w:tentative="1">
      <w:start w:val="1"/>
      <w:numFmt w:val="lowerRoman"/>
      <w:lvlText w:val="%6."/>
      <w:lvlJc w:val="right"/>
      <w:pPr>
        <w:ind w:left="4278" w:hanging="180"/>
      </w:pPr>
    </w:lvl>
    <w:lvl w:ilvl="6" w:tplc="042B000F" w:tentative="1">
      <w:start w:val="1"/>
      <w:numFmt w:val="decimal"/>
      <w:lvlText w:val="%7."/>
      <w:lvlJc w:val="left"/>
      <w:pPr>
        <w:ind w:left="4998" w:hanging="360"/>
      </w:pPr>
    </w:lvl>
    <w:lvl w:ilvl="7" w:tplc="042B0019" w:tentative="1">
      <w:start w:val="1"/>
      <w:numFmt w:val="lowerLetter"/>
      <w:lvlText w:val="%8."/>
      <w:lvlJc w:val="left"/>
      <w:pPr>
        <w:ind w:left="5718" w:hanging="360"/>
      </w:pPr>
    </w:lvl>
    <w:lvl w:ilvl="8" w:tplc="042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501F6B5D"/>
    <w:multiLevelType w:val="hybridMultilevel"/>
    <w:tmpl w:val="2766E23A"/>
    <w:lvl w:ilvl="0" w:tplc="512A0E84">
      <w:start w:val="1"/>
      <w:numFmt w:val="decimal"/>
      <w:lvlText w:val="%1."/>
      <w:lvlJc w:val="left"/>
      <w:pPr>
        <w:ind w:left="678" w:hanging="360"/>
      </w:pPr>
      <w:rPr>
        <w:rFonts w:hint="default"/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1398" w:hanging="360"/>
      </w:pPr>
    </w:lvl>
    <w:lvl w:ilvl="2" w:tplc="042B001B" w:tentative="1">
      <w:start w:val="1"/>
      <w:numFmt w:val="lowerRoman"/>
      <w:lvlText w:val="%3."/>
      <w:lvlJc w:val="right"/>
      <w:pPr>
        <w:ind w:left="2118" w:hanging="180"/>
      </w:pPr>
    </w:lvl>
    <w:lvl w:ilvl="3" w:tplc="042B000F" w:tentative="1">
      <w:start w:val="1"/>
      <w:numFmt w:val="decimal"/>
      <w:lvlText w:val="%4."/>
      <w:lvlJc w:val="left"/>
      <w:pPr>
        <w:ind w:left="2838" w:hanging="360"/>
      </w:pPr>
    </w:lvl>
    <w:lvl w:ilvl="4" w:tplc="042B0019" w:tentative="1">
      <w:start w:val="1"/>
      <w:numFmt w:val="lowerLetter"/>
      <w:lvlText w:val="%5."/>
      <w:lvlJc w:val="left"/>
      <w:pPr>
        <w:ind w:left="3558" w:hanging="360"/>
      </w:pPr>
    </w:lvl>
    <w:lvl w:ilvl="5" w:tplc="042B001B" w:tentative="1">
      <w:start w:val="1"/>
      <w:numFmt w:val="lowerRoman"/>
      <w:lvlText w:val="%6."/>
      <w:lvlJc w:val="right"/>
      <w:pPr>
        <w:ind w:left="4278" w:hanging="180"/>
      </w:pPr>
    </w:lvl>
    <w:lvl w:ilvl="6" w:tplc="042B000F" w:tentative="1">
      <w:start w:val="1"/>
      <w:numFmt w:val="decimal"/>
      <w:lvlText w:val="%7."/>
      <w:lvlJc w:val="left"/>
      <w:pPr>
        <w:ind w:left="4998" w:hanging="360"/>
      </w:pPr>
    </w:lvl>
    <w:lvl w:ilvl="7" w:tplc="042B0019" w:tentative="1">
      <w:start w:val="1"/>
      <w:numFmt w:val="lowerLetter"/>
      <w:lvlText w:val="%8."/>
      <w:lvlJc w:val="left"/>
      <w:pPr>
        <w:ind w:left="5718" w:hanging="360"/>
      </w:pPr>
    </w:lvl>
    <w:lvl w:ilvl="8" w:tplc="042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647C25AA"/>
    <w:multiLevelType w:val="hybridMultilevel"/>
    <w:tmpl w:val="3DFC6390"/>
    <w:lvl w:ilvl="0" w:tplc="75081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A1B63B1"/>
    <w:multiLevelType w:val="hybridMultilevel"/>
    <w:tmpl w:val="C87A97DE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85351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8" w15:restartNumberingAfterBreak="0">
    <w:nsid w:val="6B461D74"/>
    <w:multiLevelType w:val="hybridMultilevel"/>
    <w:tmpl w:val="2828FCFC"/>
    <w:lvl w:ilvl="0" w:tplc="E0FA8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EC18ED"/>
    <w:multiLevelType w:val="hybridMultilevel"/>
    <w:tmpl w:val="EC46DA9A"/>
    <w:lvl w:ilvl="0" w:tplc="0409000F">
      <w:start w:val="1"/>
      <w:numFmt w:val="decimal"/>
      <w:lvlText w:val="%1."/>
      <w:lvlJc w:val="left"/>
      <w:pPr>
        <w:ind w:left="4151" w:hanging="360"/>
      </w:pPr>
    </w:lvl>
    <w:lvl w:ilvl="1" w:tplc="042B0019" w:tentative="1">
      <w:start w:val="1"/>
      <w:numFmt w:val="lowerLetter"/>
      <w:lvlText w:val="%2."/>
      <w:lvlJc w:val="left"/>
      <w:pPr>
        <w:ind w:left="4871" w:hanging="360"/>
      </w:pPr>
    </w:lvl>
    <w:lvl w:ilvl="2" w:tplc="042B001B" w:tentative="1">
      <w:start w:val="1"/>
      <w:numFmt w:val="lowerRoman"/>
      <w:lvlText w:val="%3."/>
      <w:lvlJc w:val="right"/>
      <w:pPr>
        <w:ind w:left="5591" w:hanging="180"/>
      </w:pPr>
    </w:lvl>
    <w:lvl w:ilvl="3" w:tplc="042B000F" w:tentative="1">
      <w:start w:val="1"/>
      <w:numFmt w:val="decimal"/>
      <w:lvlText w:val="%4."/>
      <w:lvlJc w:val="left"/>
      <w:pPr>
        <w:ind w:left="6311" w:hanging="360"/>
      </w:pPr>
    </w:lvl>
    <w:lvl w:ilvl="4" w:tplc="042B0019" w:tentative="1">
      <w:start w:val="1"/>
      <w:numFmt w:val="lowerLetter"/>
      <w:lvlText w:val="%5."/>
      <w:lvlJc w:val="left"/>
      <w:pPr>
        <w:ind w:left="7031" w:hanging="360"/>
      </w:pPr>
    </w:lvl>
    <w:lvl w:ilvl="5" w:tplc="042B001B" w:tentative="1">
      <w:start w:val="1"/>
      <w:numFmt w:val="lowerRoman"/>
      <w:lvlText w:val="%6."/>
      <w:lvlJc w:val="right"/>
      <w:pPr>
        <w:ind w:left="7751" w:hanging="180"/>
      </w:pPr>
    </w:lvl>
    <w:lvl w:ilvl="6" w:tplc="042B000F" w:tentative="1">
      <w:start w:val="1"/>
      <w:numFmt w:val="decimal"/>
      <w:lvlText w:val="%7."/>
      <w:lvlJc w:val="left"/>
      <w:pPr>
        <w:ind w:left="8471" w:hanging="360"/>
      </w:pPr>
    </w:lvl>
    <w:lvl w:ilvl="7" w:tplc="042B0019" w:tentative="1">
      <w:start w:val="1"/>
      <w:numFmt w:val="lowerLetter"/>
      <w:lvlText w:val="%8."/>
      <w:lvlJc w:val="left"/>
      <w:pPr>
        <w:ind w:left="9191" w:hanging="360"/>
      </w:pPr>
    </w:lvl>
    <w:lvl w:ilvl="8" w:tplc="042B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20" w15:restartNumberingAfterBreak="0">
    <w:nsid w:val="6C710AB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1" w15:restartNumberingAfterBreak="0">
    <w:nsid w:val="727251D3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1"/>
  </w:num>
  <w:num w:numId="5">
    <w:abstractNumId w:val="21"/>
  </w:num>
  <w:num w:numId="6">
    <w:abstractNumId w:val="10"/>
  </w:num>
  <w:num w:numId="7">
    <w:abstractNumId w:val="7"/>
  </w:num>
  <w:num w:numId="8">
    <w:abstractNumId w:val="17"/>
  </w:num>
  <w:num w:numId="9">
    <w:abstractNumId w:val="0"/>
  </w:num>
  <w:num w:numId="10">
    <w:abstractNumId w:val="12"/>
  </w:num>
  <w:num w:numId="11">
    <w:abstractNumId w:val="9"/>
  </w:num>
  <w:num w:numId="12">
    <w:abstractNumId w:val="20"/>
  </w:num>
  <w:num w:numId="13">
    <w:abstractNumId w:val="6"/>
  </w:num>
  <w:num w:numId="14">
    <w:abstractNumId w:val="4"/>
  </w:num>
  <w:num w:numId="15">
    <w:abstractNumId w:val="14"/>
  </w:num>
  <w:num w:numId="16">
    <w:abstractNumId w:val="13"/>
  </w:num>
  <w:num w:numId="17">
    <w:abstractNumId w:val="16"/>
  </w:num>
  <w:num w:numId="18">
    <w:abstractNumId w:val="2"/>
  </w:num>
  <w:num w:numId="19">
    <w:abstractNumId w:val="1"/>
  </w:num>
  <w:num w:numId="20">
    <w:abstractNumId w:val="3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0318D"/>
    <w:rsid w:val="00053126"/>
    <w:rsid w:val="00070C86"/>
    <w:rsid w:val="000A0CCB"/>
    <w:rsid w:val="000B5096"/>
    <w:rsid w:val="000B568C"/>
    <w:rsid w:val="000B7B68"/>
    <w:rsid w:val="000E0DAD"/>
    <w:rsid w:val="00105BBD"/>
    <w:rsid w:val="00105D7B"/>
    <w:rsid w:val="00115450"/>
    <w:rsid w:val="0012313E"/>
    <w:rsid w:val="001524A4"/>
    <w:rsid w:val="00166482"/>
    <w:rsid w:val="001726D9"/>
    <w:rsid w:val="00186CEC"/>
    <w:rsid w:val="001B5B31"/>
    <w:rsid w:val="001B7892"/>
    <w:rsid w:val="0021233D"/>
    <w:rsid w:val="00220F84"/>
    <w:rsid w:val="00231C1D"/>
    <w:rsid w:val="00261E31"/>
    <w:rsid w:val="00272861"/>
    <w:rsid w:val="00276EC6"/>
    <w:rsid w:val="00290F3F"/>
    <w:rsid w:val="002A14D6"/>
    <w:rsid w:val="002C0C47"/>
    <w:rsid w:val="002C141A"/>
    <w:rsid w:val="002E35F0"/>
    <w:rsid w:val="00306BDF"/>
    <w:rsid w:val="00311C25"/>
    <w:rsid w:val="00330E5F"/>
    <w:rsid w:val="00333325"/>
    <w:rsid w:val="00335CDE"/>
    <w:rsid w:val="00345B6F"/>
    <w:rsid w:val="00381045"/>
    <w:rsid w:val="00412F04"/>
    <w:rsid w:val="0045210B"/>
    <w:rsid w:val="00453192"/>
    <w:rsid w:val="004538E8"/>
    <w:rsid w:val="004825F6"/>
    <w:rsid w:val="004A0488"/>
    <w:rsid w:val="004D6A1F"/>
    <w:rsid w:val="0050383B"/>
    <w:rsid w:val="00525F10"/>
    <w:rsid w:val="005276AA"/>
    <w:rsid w:val="00565379"/>
    <w:rsid w:val="0059254C"/>
    <w:rsid w:val="005B6D15"/>
    <w:rsid w:val="005E720F"/>
    <w:rsid w:val="00623F0A"/>
    <w:rsid w:val="00625120"/>
    <w:rsid w:val="00631A17"/>
    <w:rsid w:val="006359C3"/>
    <w:rsid w:val="006401F8"/>
    <w:rsid w:val="006618B0"/>
    <w:rsid w:val="00663C19"/>
    <w:rsid w:val="00673A22"/>
    <w:rsid w:val="006758AA"/>
    <w:rsid w:val="006C375B"/>
    <w:rsid w:val="006D5CFF"/>
    <w:rsid w:val="006D6A2D"/>
    <w:rsid w:val="00710EA1"/>
    <w:rsid w:val="00716610"/>
    <w:rsid w:val="00717ECC"/>
    <w:rsid w:val="00754666"/>
    <w:rsid w:val="00760B07"/>
    <w:rsid w:val="00761B3D"/>
    <w:rsid w:val="00782781"/>
    <w:rsid w:val="007D09DF"/>
    <w:rsid w:val="007E1C81"/>
    <w:rsid w:val="008261E2"/>
    <w:rsid w:val="00841922"/>
    <w:rsid w:val="00846045"/>
    <w:rsid w:val="00850362"/>
    <w:rsid w:val="0089669C"/>
    <w:rsid w:val="008A2510"/>
    <w:rsid w:val="008B7FBC"/>
    <w:rsid w:val="008C7C84"/>
    <w:rsid w:val="008D0FAD"/>
    <w:rsid w:val="008D27D7"/>
    <w:rsid w:val="008E1AC7"/>
    <w:rsid w:val="00916C54"/>
    <w:rsid w:val="0095151D"/>
    <w:rsid w:val="00957998"/>
    <w:rsid w:val="00974DC9"/>
    <w:rsid w:val="009C4C80"/>
    <w:rsid w:val="009D685B"/>
    <w:rsid w:val="009E3813"/>
    <w:rsid w:val="009F63B1"/>
    <w:rsid w:val="00A00B42"/>
    <w:rsid w:val="00A03787"/>
    <w:rsid w:val="00A255BA"/>
    <w:rsid w:val="00A26F9F"/>
    <w:rsid w:val="00A27CED"/>
    <w:rsid w:val="00A33CD1"/>
    <w:rsid w:val="00A3416E"/>
    <w:rsid w:val="00A526D7"/>
    <w:rsid w:val="00A818B3"/>
    <w:rsid w:val="00A87FED"/>
    <w:rsid w:val="00A9344C"/>
    <w:rsid w:val="00AB0F1E"/>
    <w:rsid w:val="00AB1BAB"/>
    <w:rsid w:val="00B20482"/>
    <w:rsid w:val="00B57349"/>
    <w:rsid w:val="00B63B57"/>
    <w:rsid w:val="00BA2879"/>
    <w:rsid w:val="00BB1718"/>
    <w:rsid w:val="00BB4ADB"/>
    <w:rsid w:val="00BB517D"/>
    <w:rsid w:val="00BD6BFA"/>
    <w:rsid w:val="00C01F1A"/>
    <w:rsid w:val="00C066EB"/>
    <w:rsid w:val="00C14AA0"/>
    <w:rsid w:val="00C160D6"/>
    <w:rsid w:val="00C212E2"/>
    <w:rsid w:val="00C2149B"/>
    <w:rsid w:val="00C240B2"/>
    <w:rsid w:val="00C31EC3"/>
    <w:rsid w:val="00C36721"/>
    <w:rsid w:val="00C56CD6"/>
    <w:rsid w:val="00C916CC"/>
    <w:rsid w:val="00C95992"/>
    <w:rsid w:val="00CA35E8"/>
    <w:rsid w:val="00CA7EC1"/>
    <w:rsid w:val="00CB6F11"/>
    <w:rsid w:val="00CC4922"/>
    <w:rsid w:val="00CD4483"/>
    <w:rsid w:val="00CD6FE0"/>
    <w:rsid w:val="00CD7EB6"/>
    <w:rsid w:val="00CF277E"/>
    <w:rsid w:val="00CF6790"/>
    <w:rsid w:val="00D31629"/>
    <w:rsid w:val="00D35AE0"/>
    <w:rsid w:val="00D61C84"/>
    <w:rsid w:val="00D72CF5"/>
    <w:rsid w:val="00DB3E60"/>
    <w:rsid w:val="00DE294B"/>
    <w:rsid w:val="00DE29BA"/>
    <w:rsid w:val="00DE629D"/>
    <w:rsid w:val="00E14B39"/>
    <w:rsid w:val="00E45849"/>
    <w:rsid w:val="00E635A5"/>
    <w:rsid w:val="00E92261"/>
    <w:rsid w:val="00EA1619"/>
    <w:rsid w:val="00EA5A40"/>
    <w:rsid w:val="00EB6274"/>
    <w:rsid w:val="00EC04F1"/>
    <w:rsid w:val="00ED475E"/>
    <w:rsid w:val="00EE316C"/>
    <w:rsid w:val="00EF20DD"/>
    <w:rsid w:val="00F30581"/>
    <w:rsid w:val="00F41A0E"/>
    <w:rsid w:val="00F44728"/>
    <w:rsid w:val="00F7464E"/>
    <w:rsid w:val="00F76E25"/>
    <w:rsid w:val="00F92483"/>
    <w:rsid w:val="00FA3EF7"/>
    <w:rsid w:val="00FA7D21"/>
    <w:rsid w:val="00FD7E46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9326A-2BDC-4E6E-8C9E-2B8409B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FA7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892"/>
    <w:pPr>
      <w:spacing w:before="100" w:beforeAutospacing="1" w:after="100" w:afterAutospacing="1"/>
    </w:pPr>
    <w:rPr>
      <w:lang w:val="ru-RU" w:eastAsia="ru-RU"/>
    </w:rPr>
  </w:style>
  <w:style w:type="character" w:customStyle="1" w:styleId="a">
    <w:name w:val="Основной текст_"/>
    <w:basedOn w:val="DefaultParagraphFont"/>
    <w:link w:val="1"/>
    <w:uiPriority w:val="99"/>
    <w:rsid w:val="00EA5A4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A5A40"/>
    <w:pPr>
      <w:shd w:val="clear" w:color="auto" w:fill="FFFFFF"/>
      <w:spacing w:after="2220" w:line="240" w:lineRule="exact"/>
      <w:jc w:val="center"/>
    </w:pPr>
    <w:rPr>
      <w:rFonts w:ascii="Calibri" w:eastAsia="Calibri" w:hAnsi="Calibri"/>
      <w:sz w:val="27"/>
      <w:szCs w:val="27"/>
    </w:rPr>
  </w:style>
  <w:style w:type="character" w:styleId="Strong">
    <w:name w:val="Strong"/>
    <w:qFormat/>
    <w:rsid w:val="00A87F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7816-05C8-40C1-A6AC-0BE25046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86</TotalTime>
  <Pages>9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https://mul2.gov.am/tasks/437149/oneclick/3_ardir_ampopatert_e_payments_26_04.docx?token=329211e85bab981db7b8b78ac17a861c</cp:keywords>
  <dc:description/>
  <cp:lastModifiedBy>Mariam Titizyan</cp:lastModifiedBy>
  <cp:revision>57</cp:revision>
  <cp:lastPrinted>2021-04-26T11:25:00Z</cp:lastPrinted>
  <dcterms:created xsi:type="dcterms:W3CDTF">2021-04-07T15:33:00Z</dcterms:created>
  <dcterms:modified xsi:type="dcterms:W3CDTF">2021-05-19T15:30:00Z</dcterms:modified>
</cp:coreProperties>
</file>