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55FA" w14:textId="77777777" w:rsidR="00043803" w:rsidRPr="00502DE5" w:rsidRDefault="00043803" w:rsidP="0004380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C300D3E" w14:textId="77777777" w:rsidR="00043803" w:rsidRPr="00502DE5" w:rsidRDefault="00043803" w:rsidP="0004380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2DE5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14:paraId="3A78F0EB" w14:textId="77777777" w:rsidR="00043803" w:rsidRPr="00502DE5" w:rsidRDefault="00043803" w:rsidP="0004380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CBF48B4" w14:textId="3FE29B08" w:rsidR="00043803" w:rsidRPr="003C0A63" w:rsidRDefault="00153D73" w:rsidP="00043803">
      <w:pPr>
        <w:tabs>
          <w:tab w:val="left" w:pos="567"/>
        </w:tabs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C0A63">
        <w:rPr>
          <w:rFonts w:ascii="GHEA Grapalat" w:hAnsi="GHEA Grapalat" w:cs="Sylfaen"/>
          <w:sz w:val="24"/>
          <w:szCs w:val="24"/>
          <w:lang w:val="hy-AM"/>
        </w:rPr>
        <w:t>«</w:t>
      </w:r>
      <w:r w:rsidRPr="003C0A6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2008 թվականի </w:t>
      </w:r>
      <w:proofErr w:type="spellStart"/>
      <w:r w:rsidRPr="003C0A63">
        <w:rPr>
          <w:rFonts w:ascii="GHEA Grapalat" w:hAnsi="GHEA Grapalat"/>
          <w:sz w:val="24"/>
          <w:szCs w:val="24"/>
          <w:lang w:val="hy-AM"/>
        </w:rPr>
        <w:t>դեկտեմբրի</w:t>
      </w:r>
      <w:proofErr w:type="spellEnd"/>
      <w:r w:rsidRPr="003C0A63">
        <w:rPr>
          <w:rFonts w:ascii="GHEA Grapalat" w:hAnsi="GHEA Grapalat"/>
          <w:sz w:val="24"/>
          <w:szCs w:val="24"/>
          <w:lang w:val="hy-AM"/>
        </w:rPr>
        <w:t xml:space="preserve"> 18-ի թիվ 1575-Ն որոշման մեջ փոփոխություն</w:t>
      </w:r>
      <w:r w:rsidR="002D1994">
        <w:rPr>
          <w:rFonts w:ascii="GHEA Grapalat" w:hAnsi="GHEA Grapalat"/>
          <w:sz w:val="24"/>
          <w:szCs w:val="24"/>
          <w:lang w:val="hy-AM"/>
        </w:rPr>
        <w:t>ներ</w:t>
      </w:r>
      <w:r w:rsidRPr="003C0A63">
        <w:rPr>
          <w:rFonts w:ascii="GHEA Grapalat" w:hAnsi="GHEA Grapalat"/>
          <w:sz w:val="24"/>
          <w:szCs w:val="24"/>
          <w:lang w:val="hy-AM"/>
        </w:rPr>
        <w:t xml:space="preserve"> և լրացումներ կատարելու </w:t>
      </w:r>
      <w:r w:rsidRPr="003C0A63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մասին</w:t>
      </w:r>
      <w:r w:rsidR="00043803" w:rsidRPr="003C0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043803" w:rsidRPr="003C0A63">
        <w:rPr>
          <w:rFonts w:ascii="GHEA Grapalat" w:hAnsi="GHEA Grapalat"/>
          <w:sz w:val="24"/>
          <w:szCs w:val="24"/>
          <w:lang w:val="hy-AM"/>
        </w:rPr>
        <w:t xml:space="preserve"> </w:t>
      </w:r>
      <w:r w:rsidR="00043803" w:rsidRPr="003C0A63">
        <w:rPr>
          <w:rFonts w:ascii="GHEA Grapalat" w:hAnsi="GHEA Grapalat" w:cs="Sylfaen"/>
          <w:sz w:val="24"/>
          <w:szCs w:val="24"/>
          <w:lang w:val="hy-AM"/>
        </w:rPr>
        <w:t>ՀՀ</w:t>
      </w:r>
      <w:r w:rsidR="00043803" w:rsidRPr="003C0A6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3803" w:rsidRPr="003C0A63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043803" w:rsidRPr="003C0A6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3803" w:rsidRPr="003C0A63">
        <w:rPr>
          <w:rFonts w:ascii="GHEA Grapalat" w:hAnsi="GHEA Grapalat" w:cs="Sylfaen"/>
          <w:sz w:val="24"/>
          <w:szCs w:val="24"/>
          <w:lang w:val="hy-AM"/>
        </w:rPr>
        <w:t>որոշման նախագծի</w:t>
      </w:r>
      <w:r w:rsidR="00043803" w:rsidRPr="003C0A6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E8A77A7" w14:textId="77777777" w:rsidR="00BC0C18" w:rsidRPr="00502DE5" w:rsidRDefault="00BC0C18" w:rsidP="00BC0C18">
      <w:pPr>
        <w:shd w:val="clear" w:color="auto" w:fill="FFFFFF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02DE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    </w:t>
      </w:r>
      <w:r w:rsidRPr="00502DE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502DE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tbl>
      <w:tblPr>
        <w:tblW w:w="101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1604"/>
        <w:gridCol w:w="3348"/>
      </w:tblGrid>
      <w:tr w:rsidR="00BC0C18" w:rsidRPr="00502DE5" w14:paraId="3B27CC4C" w14:textId="77777777" w:rsidTr="003B6AB7">
        <w:trPr>
          <w:tblCellSpacing w:w="0" w:type="dxa"/>
          <w:jc w:val="center"/>
        </w:trPr>
        <w:tc>
          <w:tcPr>
            <w:tcW w:w="6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F1A82D1" w14:textId="10ACDB9B" w:rsidR="006773E6" w:rsidRPr="00502DE5" w:rsidRDefault="004E410C" w:rsidP="004A199B">
            <w:pP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 w:rsidRPr="00502DE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     </w:t>
            </w:r>
            <w:r w:rsidRPr="00502DE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 xml:space="preserve">1. </w:t>
            </w:r>
            <w:r w:rsidR="006773E6" w:rsidRPr="00502DE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ՀՀ ֆինանսների նախարարություն</w:t>
            </w:r>
          </w:p>
          <w:p w14:paraId="411CF226" w14:textId="51E66D92" w:rsidR="00BC0C18" w:rsidRPr="00502DE5" w:rsidRDefault="00BC0C18" w:rsidP="00BC0C1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eastAsia="en-GB"/>
              </w:rPr>
            </w:pP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E82634A" w14:textId="4CA482CE" w:rsidR="00BC0C18" w:rsidRPr="003C0A63" w:rsidRDefault="00A677BE" w:rsidP="003B6AB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 w:rsidRPr="003C0A6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18.02.2021</w:t>
            </w:r>
            <w:r w:rsidRPr="003C0A6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թ.</w:t>
            </w:r>
          </w:p>
        </w:tc>
      </w:tr>
      <w:tr w:rsidR="00BC0C18" w:rsidRPr="00502DE5" w14:paraId="1D5DA001" w14:textId="77777777" w:rsidTr="003B6AB7">
        <w:trPr>
          <w:tblCellSpacing w:w="0" w:type="dxa"/>
          <w:jc w:val="center"/>
        </w:trPr>
        <w:tc>
          <w:tcPr>
            <w:tcW w:w="68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56537" w14:textId="77777777" w:rsidR="00BC0C18" w:rsidRPr="00502DE5" w:rsidRDefault="00BC0C18" w:rsidP="00BC0C18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49A8277" w14:textId="77777777" w:rsidR="00751C16" w:rsidRPr="003C0A63" w:rsidRDefault="00BC0C18" w:rsidP="00751C16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3C0A6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  <w:t xml:space="preserve">N </w:t>
            </w:r>
            <w:r w:rsidR="00751C16" w:rsidRPr="003C0A6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01/26/2334-2021</w:t>
            </w:r>
          </w:p>
          <w:p w14:paraId="1EA97A6C" w14:textId="268BED44" w:rsidR="00B64ADE" w:rsidRPr="003C0A63" w:rsidRDefault="00B64ADE" w:rsidP="00B64AD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</w:p>
          <w:p w14:paraId="7C6127D6" w14:textId="66CA4EC8" w:rsidR="006773E6" w:rsidRPr="003C0A63" w:rsidRDefault="006773E6" w:rsidP="006773E6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</w:p>
          <w:p w14:paraId="1598AE26" w14:textId="36422FC2" w:rsidR="00BC0C18" w:rsidRPr="003C0A63" w:rsidRDefault="00BC0C18" w:rsidP="00BC0C18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A45300" w:rsidRPr="004C1943" w14:paraId="6C1123E3" w14:textId="77777777" w:rsidTr="002508C6">
        <w:trPr>
          <w:trHeight w:val="3600"/>
          <w:tblCellSpacing w:w="0" w:type="dxa"/>
          <w:jc w:val="center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E432FE" w14:textId="77777777" w:rsidR="003B6AB7" w:rsidRPr="0087788B" w:rsidRDefault="003B6AB7" w:rsidP="003A35B0">
            <w:pPr>
              <w:pStyle w:val="mechtex"/>
              <w:spacing w:line="360" w:lineRule="auto"/>
              <w:ind w:firstLine="5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Ուսումնասիրելով </w:t>
            </w:r>
            <w:r w:rsidRPr="0087788B">
              <w:rPr>
                <w:rFonts w:ascii="GHEA Grapalat" w:hAnsi="GHEA Grapalat"/>
                <w:sz w:val="24"/>
                <w:szCs w:val="24"/>
                <w:lang w:val="af-ZA"/>
              </w:rPr>
              <w:t>11/02/2021</w:t>
            </w:r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87788B">
              <w:rPr>
                <w:rFonts w:ascii="GHEA Grapalat" w:hAnsi="GHEA Grapalat"/>
                <w:sz w:val="24"/>
                <w:szCs w:val="24"/>
                <w:lang w:val="af-ZA"/>
              </w:rPr>
              <w:t xml:space="preserve">. թիվ ՍՊ/34627-2020 գրությամբ </w:t>
            </w:r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ներկայացված 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ՀՀ կառավարության որոշման նախագիծը՝ հայտնում ենք հետևյալը.</w:t>
            </w:r>
          </w:p>
          <w:p w14:paraId="2F85219A" w14:textId="77777777" w:rsidR="003B6AB7" w:rsidRPr="0087788B" w:rsidRDefault="003B6AB7" w:rsidP="003A35B0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>հրատապության հիմքով պայմանավորված մեկ անձից գնումների կատարման պայմանները սահմանված են «Գնումների մասին» ՀՀ օրենքի 23-րդ հոդվածի 1-ին մասի 2</w:t>
            </w:r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noBreakHyphen/>
              <w:t xml:space="preserve">րդ կետով, համաձայն որի գնումը կարող է կատարվել մեկ անձից, եթե արտակարգ կամ չնախատեսված այլ իրավիճակի առաջացման </w:t>
            </w:r>
            <w:proofErr w:type="spellStart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>հետևանքով</w:t>
            </w:r>
            <w:proofErr w:type="spellEnd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 ծագել է գնման անհետաձգելի պահանջ և </w:t>
            </w:r>
            <w:proofErr w:type="spellStart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proofErr w:type="spellEnd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արտակարգ կամ չնախատեսված այլ իրավիճակի առաջացման իրավիճակից ելնելով, գնման այլ </w:t>
            </w:r>
            <w:proofErr w:type="spellStart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>ձևերի</w:t>
            </w:r>
            <w:proofErr w:type="spellEnd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կիրառումը ժամկետի առումով անհնար է, պայմանով, որ նման պահանջը հնարավոր չէր օբյեկտիվորեն կանխատեսել:  </w:t>
            </w:r>
          </w:p>
          <w:p w14:paraId="2166D6EE" w14:textId="77777777" w:rsidR="003B6AB7" w:rsidRPr="0087788B" w:rsidRDefault="003B6AB7" w:rsidP="003A35B0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ընդունումը հիմնավորող տեղեկանքի համաձայն՝ յուրաքանչյուր տարի առաջանում է նախագծով սահմանված աշխատանքների ձեռքբերման </w:t>
            </w:r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անհրաժեշտությունը, պայմանով, որ հնարավոր չէ որոշել դրանց կատարման ժամկետները: Այսինքն՝ աշխատանքների ձեռքբերումն օբյեկտիվորեն կանխատեսելի է:</w:t>
            </w:r>
          </w:p>
          <w:p w14:paraId="015034F8" w14:textId="77777777" w:rsidR="003B6AB7" w:rsidRPr="0087788B" w:rsidRDefault="003B6AB7" w:rsidP="003A35B0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Այս կապակցությամբ գտնում ենք, որ միայն ժամկետի որոշման անհնարինության հանգամանքը չի կարող հիմք հանդիսանալ գնման գործընթացը հրատապության հիմքով պայմանավորված մեկ անձից գնման </w:t>
            </w:r>
            <w:proofErr w:type="spellStart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>ձևով</w:t>
            </w:r>
            <w:proofErr w:type="spellEnd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իրականացնելու համար, նկատի ունենալով, որ հնարավոր է գնման մրցակցային </w:t>
            </w:r>
            <w:proofErr w:type="spellStart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>ձևով</w:t>
            </w:r>
            <w:proofErr w:type="spellEnd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կնքել պայմանագիր, նախատեսելով, որ աշխատանքները կապալառուի կողմից կկատարվեն նման անհրաժեշտությունն առաջանալու պարագայում՝ պայմանագրով սահմանված ժամկետներում:</w:t>
            </w:r>
          </w:p>
          <w:p w14:paraId="2BD00E2F" w14:textId="21E24848" w:rsidR="00A45300" w:rsidRPr="0087788B" w:rsidRDefault="00A45300" w:rsidP="003A35B0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48D574" w14:textId="02C212B2" w:rsidR="0001578B" w:rsidRDefault="0001578B" w:rsidP="003A35B0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7788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Չի ընդունվել:</w:t>
            </w:r>
          </w:p>
          <w:p w14:paraId="6A53EB7C" w14:textId="77777777" w:rsidR="00957C5E" w:rsidRPr="0087788B" w:rsidRDefault="00957C5E" w:rsidP="003A35B0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6317F9B" w14:textId="77777777" w:rsidR="0001578B" w:rsidRPr="0087788B" w:rsidRDefault="0001578B" w:rsidP="003A35B0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7788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կառավարության 04.05.2017թ. թիվ 526-Ն որոշման հավելվածի 3-րդ կետի համաձայն՝</w:t>
            </w:r>
          </w:p>
          <w:p w14:paraId="63F94D8D" w14:textId="77777777" w:rsidR="0001578B" w:rsidRPr="0087788B" w:rsidRDefault="0001578B" w:rsidP="003A35B0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նման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գործընթացի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bookmarkStart w:id="0" w:name="_GoBack"/>
            <w:bookmarkEnd w:id="0"/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առանձնահատկություններով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պայմանավորված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որոշումներով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կարող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սահմանվել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ույն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կարգով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չնախատեսված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նորմեր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6E20F7F5" w14:textId="77777777" w:rsidR="0001578B" w:rsidRPr="0087788B" w:rsidRDefault="0001578B" w:rsidP="003A35B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88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Տվյալ դեպքում՝ գնման առարկա է հանդիսանում  </w:t>
            </w:r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Հ3, </w:t>
            </w:r>
            <w:proofErr w:type="spellStart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proofErr w:type="spellEnd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-Գառնի-Գեղարդ ավտոմոբիլային ճանապարհի  </w:t>
            </w:r>
            <w:proofErr w:type="spellStart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>սողանքային</w:t>
            </w:r>
            <w:proofErr w:type="spellEnd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կմ15+000-կմ16+800 հատվածը:</w:t>
            </w:r>
          </w:p>
          <w:p w14:paraId="01D554C3" w14:textId="0E4122BB" w:rsidR="0001578B" w:rsidRPr="0087788B" w:rsidRDefault="0001578B" w:rsidP="003A35B0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>Սողանքային</w:t>
            </w:r>
            <w:proofErr w:type="spellEnd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հատվածի պահպանման, անցանելիության ապահովման աշխատանքների իրականացման  տարիների փորձը ցույց է տվել, որ աշխատանքներն առավել արդյունավետ են իրականացվում, եթե տվյալ </w:t>
            </w:r>
            <w:proofErr w:type="spellStart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>սողամանքային</w:t>
            </w:r>
            <w:proofErr w:type="spellEnd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հատվածի անցանելիության սպասարկման աշխատանքներն իրականացնում է  տվյալ տարածաշրջանի 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ավտոմոբիլային 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ճանապարհների ընթացիկ ամառային և ընթացիկ ձմեռային պահպանման աշխատանքներն իրականացնող կապալառու կազմակերպությունը, որն ամենօրյա ռեժիմով գտնվում է տարածքում և  հնարավորություն ունի արագ արձագանքել,  կանխել ցանկացած խնդիր, որը առաջանում է </w:t>
            </w:r>
            <w:proofErr w:type="spellStart"/>
            <w:r w:rsidRPr="0087788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սողանքային</w:t>
            </w:r>
            <w:proofErr w:type="spellEnd"/>
            <w:r w:rsidRPr="0087788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հատվածի վրա: </w:t>
            </w:r>
            <w:proofErr w:type="spellStart"/>
            <w:r w:rsidRPr="0087788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Նշվածով</w:t>
            </w:r>
            <w:proofErr w:type="spellEnd"/>
            <w:r w:rsidRPr="0087788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պայմանավորվա</w:t>
            </w:r>
            <w:r w:rsidR="006F479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ծ՝ </w:t>
            </w:r>
            <w:proofErr w:type="spellStart"/>
            <w:r w:rsidR="006F479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սողանքային</w:t>
            </w:r>
            <w:proofErr w:type="spellEnd"/>
            <w:r w:rsidR="006F479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հատվածի շուրջօրյա անվտանգ </w:t>
            </w:r>
            <w:proofErr w:type="spellStart"/>
            <w:r w:rsidR="006F479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երթևեկությունն</w:t>
            </w:r>
            <w:proofErr w:type="spellEnd"/>
            <w:r w:rsidR="006F479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776BB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</w:t>
            </w:r>
            <w:r w:rsidR="00A051C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</w:t>
            </w:r>
            <w:r w:rsidR="00776BB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վելու </w:t>
            </w:r>
            <w:r w:rsidR="00A051C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նպատակով</w:t>
            </w:r>
            <w:r w:rsidR="006F479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նախագծով առաջարկվում է թույլ տալ նախարարությանը՝ </w:t>
            </w:r>
            <w:proofErr w:type="spellStart"/>
            <w:r w:rsidRPr="0087788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սողանքային</w:t>
            </w:r>
            <w:proofErr w:type="spellEnd"/>
            <w:r w:rsidRPr="0087788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հատվածի անցանելիության իրականացման աշխատանքները ձեռքբերել </w:t>
            </w:r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>Աբովյանի տարածաշրջանի ընթացիկ ամառային և ընթացիկ ձմեռային պահպանման աշխատանքներն իրականացնող կապալառու կազմակերպությունից:</w:t>
            </w:r>
          </w:p>
          <w:p w14:paraId="55A9BEFF" w14:textId="66F5AC91" w:rsidR="00A45300" w:rsidRPr="0087788B" w:rsidRDefault="00A45300" w:rsidP="003A35B0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</w:p>
        </w:tc>
      </w:tr>
      <w:tr w:rsidR="002508C6" w:rsidRPr="004C1943" w14:paraId="20F1CC41" w14:textId="77777777" w:rsidTr="002508C6">
        <w:trPr>
          <w:trHeight w:val="915"/>
          <w:tblCellSpacing w:w="0" w:type="dxa"/>
          <w:jc w:val="center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2247B6" w14:textId="77777777" w:rsidR="002508C6" w:rsidRPr="0087788B" w:rsidRDefault="002508C6" w:rsidP="002508C6">
            <w:pPr>
              <w:pStyle w:val="mechtex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Միաժամանակ հայտնում ենք, որ ՀՀ կառավարության 18/11/2010թ. թիվ 1419-Ն որոշմամբ հաստատված կարգի 55-րդ կետով նախատեսված է, որ «Արտակարգ իրավիճակներում բնակչության պաշտպանության մասին» ՀՀ օրենքով նախատեսված արտակարգ իրավիճակների կամ բնական աղետների </w:t>
            </w:r>
            <w:proofErr w:type="spellStart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>հետևանքով</w:t>
            </w:r>
            <w:proofErr w:type="spellEnd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առաջացած կամ չնախատեսված իրավիճակների դեպքում ընթացիկ ամառային և ընթացիկ ձմեռային պահպանման աշխատանքներն իրականացվում են նույն որոշման համաձայն մրցույթի </w:t>
            </w:r>
            <w:proofErr w:type="spellStart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>ձևով</w:t>
            </w:r>
            <w:proofErr w:type="spellEnd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ընտրված կապալառու կազմակերպության կողմից, իսկ 56-րդ կետով սահմանվում են նշված </w:t>
            </w:r>
            <w:proofErr w:type="spellStart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հետևանքների</w:t>
            </w:r>
            <w:proofErr w:type="spellEnd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արդյունքում առաջացած և հրատապ համարվող աշխատանքները:</w:t>
            </w:r>
          </w:p>
          <w:p w14:paraId="3A25E809" w14:textId="77777777" w:rsidR="002508C6" w:rsidRPr="0087788B" w:rsidRDefault="002508C6" w:rsidP="002508C6">
            <w:pPr>
              <w:pStyle w:val="mechtex"/>
              <w:ind w:firstLine="5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Ելնելով </w:t>
            </w:r>
            <w:proofErr w:type="spellStart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>վերոգրյալից</w:t>
            </w:r>
            <w:proofErr w:type="spellEnd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գտնում ենք, որ եթե հիշյալ նորմերով սահմանված </w:t>
            </w:r>
            <w:proofErr w:type="spellStart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>կարգավորումները</w:t>
            </w:r>
            <w:proofErr w:type="spellEnd"/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վերաբերում են նաև նախագծով սահմանված աշխատանքներին, ապա բացակայում է նախագծի հաստատման անհրաժեշտությունը:</w:t>
            </w:r>
          </w:p>
          <w:p w14:paraId="17C4D955" w14:textId="77777777" w:rsidR="002508C6" w:rsidRPr="0087788B" w:rsidRDefault="002508C6" w:rsidP="003B6AB7">
            <w:pPr>
              <w:pStyle w:val="mechtex"/>
              <w:ind w:firstLine="5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913320" w14:textId="3D2184B0" w:rsidR="00C82970" w:rsidRDefault="00C82970" w:rsidP="003A35B0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Չի ընդունվել: </w:t>
            </w:r>
          </w:p>
          <w:p w14:paraId="49EC2130" w14:textId="77777777" w:rsidR="00957C5E" w:rsidRPr="0087788B" w:rsidRDefault="00957C5E" w:rsidP="003A35B0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29632FFD" w14:textId="77777777" w:rsidR="00C82970" w:rsidRPr="0087788B" w:rsidRDefault="00C82970" w:rsidP="003A35B0">
            <w:pPr>
              <w:spacing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7788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18.11.2010թ. թիվ 1419-Ն որոշմամբ հաստատված կարգի 55-րդ կետը 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վերաբերում է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արտակարգ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իրավիճակների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բնական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աղետների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հետևանքով</w:t>
            </w:r>
            <w:proofErr w:type="spellEnd"/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առաջացած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չնախատեսված</w:t>
            </w:r>
            <w:r w:rsidRPr="008778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88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իրավիճակներին և սույն որոշմամբ կարգավորվող հարաբերությունների նկատմամբ կիրառելի չէ:</w:t>
            </w:r>
          </w:p>
          <w:p w14:paraId="75D2541D" w14:textId="77777777" w:rsidR="002508C6" w:rsidRPr="0087788B" w:rsidRDefault="002508C6" w:rsidP="003A35B0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DA63F8" w:rsidRPr="00DA63F8" w14:paraId="5AFA95CA" w14:textId="77777777" w:rsidTr="003D7FE4">
        <w:trPr>
          <w:trHeight w:val="405"/>
          <w:tblCellSpacing w:w="0" w:type="dxa"/>
          <w:jc w:val="center"/>
        </w:trPr>
        <w:tc>
          <w:tcPr>
            <w:tcW w:w="52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21F8541" w14:textId="4E3F0DBE" w:rsidR="003D7FE4" w:rsidRPr="00DA63F8" w:rsidRDefault="003D7FE4" w:rsidP="00DE6B50">
            <w:pPr>
              <w:pStyle w:val="mechtex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DA63F8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4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47FE7B" w14:textId="44783161" w:rsidR="003D7FE4" w:rsidRPr="00DA63F8" w:rsidRDefault="0029719A" w:rsidP="00DE6B50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DA63F8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01/27.1/8775-2021</w:t>
            </w:r>
          </w:p>
        </w:tc>
      </w:tr>
      <w:tr w:rsidR="00DA63F8" w:rsidRPr="00DA63F8" w14:paraId="33058C88" w14:textId="77777777" w:rsidTr="003D7FE4">
        <w:trPr>
          <w:trHeight w:val="495"/>
          <w:tblCellSpacing w:w="0" w:type="dxa"/>
          <w:jc w:val="center"/>
        </w:trPr>
        <w:tc>
          <w:tcPr>
            <w:tcW w:w="52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403CFFB" w14:textId="77777777" w:rsidR="003D7FE4" w:rsidRPr="00DA63F8" w:rsidRDefault="003D7FE4" w:rsidP="00DE6B50">
            <w:pPr>
              <w:pStyle w:val="mechtex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4EB1BE" w14:textId="18BA0FD9" w:rsidR="003D7FE4" w:rsidRPr="00DA63F8" w:rsidRDefault="0029719A" w:rsidP="00DE6B50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DA63F8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13.04.2021թ.</w:t>
            </w:r>
          </w:p>
        </w:tc>
      </w:tr>
      <w:tr w:rsidR="007F031A" w:rsidRPr="004C1943" w14:paraId="4D56B697" w14:textId="77777777" w:rsidTr="003D7FE4">
        <w:trPr>
          <w:trHeight w:val="495"/>
          <w:tblCellSpacing w:w="0" w:type="dxa"/>
          <w:jc w:val="center"/>
        </w:trPr>
        <w:tc>
          <w:tcPr>
            <w:tcW w:w="5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A89C167" w14:textId="77777777" w:rsidR="007F031A" w:rsidRPr="008162C3" w:rsidRDefault="007F031A" w:rsidP="005B58BC">
            <w:pPr>
              <w:shd w:val="clear" w:color="auto" w:fill="FFFFFF"/>
              <w:tabs>
                <w:tab w:val="left" w:pos="567"/>
              </w:tabs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Նախագծի 1-ին կետի 1-ին ենթակետով «Հայաստանի Հանրապետության կառավարության 2008 թվականի </w:t>
            </w:r>
            <w:proofErr w:type="spellStart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դեկտեմբրի</w:t>
            </w:r>
            <w:proofErr w:type="spellEnd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18-ի թիվ 1575-Ն որոշման նախաբանը լրացվում է</w:t>
            </w:r>
            <w:r w:rsidRPr="008162C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«Հայաստանի Հանրապետության կառավարության 2017 թվականի մայիսի 4-ի N 526-Ն որոշմամբ հաստատված՝ Գնումների գործընթացի կազմակերպման կարգի (այսուհետ՝ Կարգ) 3-րդ, 23-րդ կետի 5-րդ ենթակետի «բ» պարբերության» բառերով, Բացի այդ, հիշյալ որոշումը լրացվում է նոր 5.1-րդ կետով  </w:t>
            </w:r>
            <w:proofErr w:type="spellStart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հետևյալ</w:t>
            </w:r>
            <w:proofErr w:type="spellEnd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բավանդակությամբ</w:t>
            </w:r>
            <w:proofErr w:type="spellEnd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. «5.1 Թույլատրել Հայաստանի Հանրապետության տարածքային կառավարման և ենթակառուցվածքների նախարարությանը Հ3, </w:t>
            </w:r>
            <w:proofErr w:type="spellStart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Երևան</w:t>
            </w:r>
            <w:proofErr w:type="spellEnd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-Գառնի-Գեղարդ ավտոմոբիլային ճանապարհի  </w:t>
            </w:r>
            <w:proofErr w:type="spellStart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սողանքային</w:t>
            </w:r>
            <w:proofErr w:type="spellEnd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կմ15+000-կմ16+800 հատվածի անցանելիության ապահովման ամենամյա աշխատանքները </w:t>
            </w:r>
            <w:r w:rsidRPr="008162C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յուրաքանչյուր տարի  մեկ անձից գնման ընթացակարգով </w:t>
            </w:r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ձեռք բերել Աբովյանի տարածաշրջանի ընթացիկ ամառային և </w:t>
            </w:r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ընթացիկ ձմեռային պահպանման աշխատանքներն իրականացնող կապալառու կազմակերպությունից՝ չկիրառելով Կարգի 21-րդ կետի 1-ին ենթակետի «դ» պարբերության, 71-րդ կետի 1-ին ենթակետի «ա», «բ», «գ», «դ» պարբերությունների և Հայաստանի Հանրապետության կառավարության 2017 թվականի ապրիլի 6-ի N 386-Ն որոշման 2-րդ կետի 1-ին ենթակետի պահանջները:»</w:t>
            </w:r>
          </w:p>
          <w:p w14:paraId="61CD54B9" w14:textId="77777777" w:rsidR="007F031A" w:rsidRPr="008162C3" w:rsidRDefault="007F031A" w:rsidP="005B58BC">
            <w:pPr>
              <w:shd w:val="clear" w:color="auto" w:fill="FFFFFF"/>
              <w:tabs>
                <w:tab w:val="left" w:pos="567"/>
              </w:tabs>
              <w:spacing w:line="360" w:lineRule="auto"/>
              <w:jc w:val="both"/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</w:pPr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       Հարկ  է նշել, որ նախագծին կից  հիմնավորման համաձայն նախագծի ընդունման անհրաժեշտությունը պայմանավորված է այն հանգամանքով, որ  </w:t>
            </w:r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Յուրաքանչյուր տարի անհրաժեշտ է լինում </w:t>
            </w:r>
            <w:proofErr w:type="spellStart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սողանքային</w:t>
            </w:r>
            <w:proofErr w:type="spellEnd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տեղամասերում 2-4 անգամ կատարել հողային պաստառի </w:t>
            </w:r>
            <w:proofErr w:type="spellStart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վերականգում</w:t>
            </w:r>
            <w:proofErr w:type="spellEnd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և շուրջ 8000մ</w:t>
            </w:r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vertAlign w:val="superscript"/>
                <w:lang w:val="hy-AM"/>
              </w:rPr>
              <w:t>2</w:t>
            </w:r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ասֆալտապատման աշխատանքներ, </w:t>
            </w:r>
            <w:proofErr w:type="spellStart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հետևաբար</w:t>
            </w:r>
            <w:proofErr w:type="spellEnd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, տվյալ </w:t>
            </w:r>
            <w:proofErr w:type="spellStart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ճանապարհահատվածն</w:t>
            </w:r>
            <w:proofErr w:type="spellEnd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անցանելի պահելու, ինչպես նաև անխափան և անվտանգ </w:t>
            </w:r>
            <w:proofErr w:type="spellStart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երթևեկություն</w:t>
            </w:r>
            <w:proofErr w:type="spellEnd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ապահովելու նպատակով յուրաքանչյուր տարի անհրաժեշտ է շուրջ 40.0 մլն դրամ, որը յուրաքանչյուր տարվա պետական բյուջեով նախատեսվում է:</w:t>
            </w:r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ab/>
            </w:r>
          </w:p>
          <w:p w14:paraId="1D3821EA" w14:textId="77777777" w:rsidR="007F031A" w:rsidRPr="008162C3" w:rsidRDefault="007F031A" w:rsidP="005B58BC">
            <w:pPr>
              <w:shd w:val="clear" w:color="auto" w:fill="FFFFFF"/>
              <w:tabs>
                <w:tab w:val="left" w:pos="567"/>
              </w:tabs>
              <w:spacing w:line="360" w:lineRule="auto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</w:pPr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ab/>
              <w:t xml:space="preserve">  Հ-3, </w:t>
            </w:r>
            <w:proofErr w:type="spellStart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Երևան</w:t>
            </w:r>
            <w:proofErr w:type="spellEnd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– Գառնի – Գեղարդ հանրապետական նշանակության ավտոմոբիլային ճանապարհի կմ15+000- կմ16+800 հատվածի անցանելիության ապահովման միջոցառման իրականացման տարիների փորձը ցույց է տվել, որ աշխատանքներն առավել արդյունավետ են  իրականացվում, եթե դրանք իրականացվում են </w:t>
            </w:r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lastRenderedPageBreak/>
              <w:t xml:space="preserve">տվյալ տարածաշրջանի (Աբովյանի տարածաշրջանի) ավտոմոբիլային ճանապարհների ընթացիկ ամառային և ընթացիկ ձմեռային պահպանման աշխատանքներն իրականացնող կապալառու կազմակերպության կողմից, որն ամենօրյա ռեժիմով գտնվում է տարածքում և  իրականացնում է տվյալ ճանապարհահատվածի ձմեռային սպասարկումը ու հնարավորություն ունի արագ արձագանքել,  կանխել ցանկացած խնդիր, որն առաջանում է </w:t>
            </w:r>
            <w:proofErr w:type="spellStart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սողանքային</w:t>
            </w:r>
            <w:proofErr w:type="spellEnd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հատվածի վրա: </w:t>
            </w:r>
            <w:proofErr w:type="spellStart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Նշվածով</w:t>
            </w:r>
            <w:proofErr w:type="spellEnd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պայմանավորված՝ </w:t>
            </w:r>
            <w:proofErr w:type="spellStart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սողանքային</w:t>
            </w:r>
            <w:proofErr w:type="spellEnd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հատվածի շուրջօրյա անվտանգությունն ապահովելու նպատակով նախագծով առաջարկվում է փոփոխություն և լրացում կատարել Հայաստանի Հանրապետության կառավարության 2008 թվականի </w:t>
            </w:r>
            <w:proofErr w:type="spellStart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դեկտեմբրի</w:t>
            </w:r>
            <w:proofErr w:type="spellEnd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18-ի թիվ 1575-Ն որոշման մեջ, </w:t>
            </w:r>
            <w:r w:rsidRPr="008162C3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 xml:space="preserve">սահմանելով, որ </w:t>
            </w:r>
            <w:proofErr w:type="spellStart"/>
            <w:r w:rsidRPr="008162C3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սողանքային</w:t>
            </w:r>
            <w:proofErr w:type="spellEnd"/>
            <w:r w:rsidRPr="008162C3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 xml:space="preserve"> հատվածի անցանելիության ապահովման աշխատանքներն իրականացվում են Աբովյանի տարածաշրջանի ընթացիկ ամառային և ընթացիկ ձմեռային պահպանման աշխատանքներն իրականացնող կապալառու կազմակերպության կողմից և թույլատրել ՀՀ </w:t>
            </w:r>
            <w:proofErr w:type="spellStart"/>
            <w:r w:rsidRPr="008162C3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տարածային</w:t>
            </w:r>
            <w:proofErr w:type="spellEnd"/>
            <w:r w:rsidRPr="008162C3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 xml:space="preserve"> կառավարման և ենթակառուցվածքների նախարարությանը յուրաքանչյուր տարի նշված աշխատանքները ձեռք բերել մեկ անձից գնման ընթացակարգով՝ Աբովյանի տարածաշրջանի ընթացիկ ամառային և ընթացիկ ձմեռային </w:t>
            </w:r>
            <w:r w:rsidRPr="008162C3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lastRenderedPageBreak/>
              <w:t>պահպանման աշխատանքներն իրականացնող կապալառու կազմակերպությունից:</w:t>
            </w:r>
          </w:p>
          <w:p w14:paraId="0D79C648" w14:textId="77777777" w:rsidR="007F031A" w:rsidRPr="008162C3" w:rsidRDefault="007F031A" w:rsidP="005B58BC">
            <w:pPr>
              <w:shd w:val="clear" w:color="auto" w:fill="FFFFFF"/>
              <w:tabs>
                <w:tab w:val="left" w:pos="567"/>
              </w:tabs>
              <w:spacing w:line="360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     Այս առումով հարկ է անդրադառնալ </w:t>
            </w:r>
            <w:proofErr w:type="spellStart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հետևյալ</w:t>
            </w:r>
            <w:proofErr w:type="spellEnd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իրավական կարգավորմանը՝  </w:t>
            </w:r>
            <w:r w:rsidRPr="008162C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«Գնումների մասին» օրենքի 23-րդ հոդվածի 1-ին մասի 2-րդ կետի համաձայն՝ գնումը կարող է կատարվել մեկ անձից, եթե` </w:t>
            </w:r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արտակարգ կամ չնախատեսված այլ իրավիճակի առաջացման </w:t>
            </w:r>
            <w:proofErr w:type="spellStart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հետևանքով</w:t>
            </w:r>
            <w:proofErr w:type="spellEnd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ծագել է գնման անհետաձգելի պահանջ և, արտակարգ կամ չնախատեսված այլ իրավիճակից ելնելով, գնման այլ </w:t>
            </w:r>
            <w:proofErr w:type="spellStart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ձևերի</w:t>
            </w:r>
            <w:proofErr w:type="spellEnd"/>
            <w:r w:rsidRPr="008162C3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կիրառումը ժամկետի առումով անհնար է, պայմանով, որ նման պահանջը հնարավոր չէր օբյեկտիվորեն կանխատեսել:</w:t>
            </w:r>
          </w:p>
          <w:p w14:paraId="13B87B72" w14:textId="77777777" w:rsidR="007F031A" w:rsidRPr="00667535" w:rsidRDefault="007F031A" w:rsidP="005B58BC">
            <w:pPr>
              <w:shd w:val="clear" w:color="auto" w:fill="FFFFFF"/>
              <w:tabs>
                <w:tab w:val="left" w:pos="567"/>
              </w:tabs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      Վերոգրյալ իրավական նորմի բովանդակային </w:t>
            </w:r>
            <w:proofErr w:type="spellStart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վերլուծությունից</w:t>
            </w:r>
            <w:proofErr w:type="spellEnd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բխում է, որ     Օրենքում հստակ նախատեսված են այն բացառիկ դեպքերը, որոնց առկայության պարագայում է միայն թույլատրվում գնումն իրականացնել մեկ անձից, մասնավորապես՝ գնումների գործընթացը կարգավորող և նախագծի ընդունման հիմք հանդիսացող հիշյալ դրույթների </w:t>
            </w:r>
            <w:proofErr w:type="spellStart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վերլուծությունից</w:t>
            </w:r>
            <w:proofErr w:type="spellEnd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պարզ է դառնում, որ </w:t>
            </w:r>
            <w:proofErr w:type="spellStart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վկայակոչված</w:t>
            </w:r>
            <w:proofErr w:type="spellEnd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հիմքով մեկ անձից գնում կարող է կատարվել՝ եթե արտակարգ կամ չնախատեսված այլ իրավիճակի առաջացման </w:t>
            </w:r>
            <w:proofErr w:type="spellStart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հետևանքով</w:t>
            </w:r>
            <w:proofErr w:type="spellEnd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ծագել է գնման անհետաձգելի պահանջ և, արտակարգ կամ չնախատեսված այլ իրավիճակից ելնելով, գնման այլ </w:t>
            </w:r>
            <w:proofErr w:type="spellStart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ձևերի</w:t>
            </w:r>
            <w:proofErr w:type="spellEnd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կիրառումը ժամկետի </w:t>
            </w:r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առումով անհնար է, պայմանով, որ նման պահանջը հնարավոր չէր օբյեկտիվորեն կանխատեսել: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Այս առումով հարկ է նշել, որ նախագծին կից ներկայացված հիմնավորումից ակնհայտ է դառնում, որ ըստ էության </w:t>
            </w:r>
            <w:r w:rsidRPr="00F42C08">
              <w:rPr>
                <w:rFonts w:ascii="GHEA Grapalat" w:hAnsi="GHEA Grapalat"/>
                <w:sz w:val="24"/>
                <w:szCs w:val="24"/>
                <w:lang w:val="hy-AM"/>
              </w:rPr>
              <w:t xml:space="preserve">Հ3, </w:t>
            </w:r>
            <w:proofErr w:type="spellStart"/>
            <w:r w:rsidRPr="00F42C08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proofErr w:type="spellEnd"/>
            <w:r w:rsidRPr="00F42C08">
              <w:rPr>
                <w:rFonts w:ascii="GHEA Grapalat" w:hAnsi="GHEA Grapalat"/>
                <w:sz w:val="24"/>
                <w:szCs w:val="24"/>
                <w:lang w:val="hy-AM"/>
              </w:rPr>
              <w:t xml:space="preserve">-Գառնի-Գեղարդ ավտոմոբիլային ճանապարհի  </w:t>
            </w:r>
            <w:proofErr w:type="spellStart"/>
            <w:r w:rsidRPr="00F42C08">
              <w:rPr>
                <w:rFonts w:ascii="GHEA Grapalat" w:hAnsi="GHEA Grapalat"/>
                <w:sz w:val="24"/>
                <w:szCs w:val="24"/>
                <w:lang w:val="hy-AM"/>
              </w:rPr>
              <w:t>սողանքային</w:t>
            </w:r>
            <w:proofErr w:type="spellEnd"/>
            <w:r w:rsidRPr="00F42C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կմ15+000-կմ16+800 հատվածի անցանելիության ապահովման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աշխատանքներն իրենցից չնախատեսված այլ իրավիճակի առաջացման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հետևանքով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գնման անհետաձգելի պահանջ չեն ներկայացնում, քանի որ ըստ ներկայացված հիմնավորման այդ աշխատանքների իրականացման համար նախկինում գումար նախատեսված է եղել յուրաքանչյուր տարվա պետական բյուջեով։ Հաշվի առնելով վերոգրյալը՝ լրացուցիչ հիմնավորման կարիք ունի նաև գնման այլ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ձևերի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կիրառման ժամկետի անհնարինության հանգամանքը՝ հաշվի առնելով նաև այն հանգամանքը, որ հիշյալ ճանապարհի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սողանքային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հատվածի անցանելիության ապահովման աշխատանքների իրականացումն օբյեկտիվորեն կանխատեսելի է։</w:t>
            </w:r>
          </w:p>
          <w:p w14:paraId="27647C3D" w14:textId="77777777" w:rsidR="007F031A" w:rsidRPr="00E25C8A" w:rsidRDefault="007F031A" w:rsidP="005B58BC">
            <w:pPr>
              <w:shd w:val="clear" w:color="auto" w:fill="FFFFFF"/>
              <w:tabs>
                <w:tab w:val="left" w:pos="567"/>
              </w:tabs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ab/>
            </w:r>
            <w:proofErr w:type="spellStart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Վերոգրյալի</w:t>
            </w:r>
            <w:proofErr w:type="spellEnd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հիման վրա՝ </w:t>
            </w:r>
            <w:proofErr w:type="spellStart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կարևորելով</w:t>
            </w:r>
            <w:proofErr w:type="spellEnd"/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բացառապես օրենքով նախատեսված դեպքերում և հիմքերով մեկ անձից գնումների ընթացակարգի իրականացումը և հաշվի առնելով գնումների կազմակերպման գործընթացում հնարավոր չարաշահումների վտանգը,  գտնում ենք, որ լրացուցիչ հիմնավորման կարիք ունի նախագծով </w:t>
            </w:r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նախատեսված աշխատանքների գնման գործընթացները մեկ անձից գնումներ կատարելու ընթացակարգով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(</w:t>
            </w:r>
            <w:r w:rsidRPr="005443B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«Գնումների մասին» ՀՀ օրենքի 23-րդ հոդվածի 1-ին մասի 2-րդ կետի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հիման վրա)</w:t>
            </w:r>
            <w:r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իրականացնելը:</w:t>
            </w:r>
          </w:p>
          <w:p w14:paraId="66BAEAD2" w14:textId="77777777" w:rsidR="007F031A" w:rsidRPr="00DA63F8" w:rsidRDefault="007F031A" w:rsidP="00DE6B50">
            <w:pPr>
              <w:pStyle w:val="mechtex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AC2234" w14:textId="77777777" w:rsidR="00A8099D" w:rsidRDefault="00A8099D" w:rsidP="008A0F45">
            <w:pPr>
              <w:jc w:val="both"/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  <w:p w14:paraId="65A3873F" w14:textId="1E1D886C" w:rsidR="00A8099D" w:rsidRPr="008A0F45" w:rsidRDefault="00A8099D" w:rsidP="008A0F45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A0F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Չի ընդունվել</w:t>
            </w:r>
            <w:r w:rsidR="002B290E" w:rsidRPr="008A0F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14:paraId="05A06BF7" w14:textId="77777777" w:rsidR="00A8099D" w:rsidRPr="008A0F45" w:rsidRDefault="00A8099D" w:rsidP="008A0F45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362F4C60" w14:textId="3BFB670F" w:rsidR="007F031A" w:rsidRDefault="003536C2" w:rsidP="006A74E1">
            <w:pPr>
              <w:spacing w:line="360" w:lineRule="auto"/>
              <w:jc w:val="both"/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8A0F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կառավարության </w:t>
            </w:r>
            <w:r w:rsidR="00D34BC7" w:rsidRPr="008A0F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2017 թվականի մայիսի 4-ի N 526-Ն</w:t>
            </w:r>
            <w:r w:rsidR="00B525CE" w:rsidRPr="008A0F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525CE" w:rsidRPr="008A0F45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որոշմամբ</w:t>
            </w:r>
            <w:r w:rsidR="00E03A61" w:rsidRPr="008A0F4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հաստատված </w:t>
            </w:r>
            <w:r w:rsidR="000725C0" w:rsidRPr="008A0F4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կարգի </w:t>
            </w:r>
            <w:r w:rsidR="0009759C" w:rsidRPr="008A0F4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23-րդ կետի 5-րդ ենթակետի «բ» պարբերության</w:t>
            </w:r>
            <w:r w:rsidR="0009759C" w:rsidRPr="008A0F4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համաձայն</w:t>
            </w:r>
            <w:r w:rsidR="00646502" w:rsidRPr="008A0F4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646502" w:rsidRPr="008A0F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թիվս այլ դեպքերի, </w:t>
            </w:r>
            <w:r w:rsidR="00B86F86" w:rsidRPr="008A0F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գնումները կարող են կատարվել </w:t>
            </w:r>
            <w:r w:rsidR="00475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«Գնումների մասին» ՀՀ </w:t>
            </w:r>
            <w:r w:rsidR="00B86F86" w:rsidRPr="008A0F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օրենքի 23-րդ հոդվածի 1-ին մասի 2-րդ կետի հիման վրա</w:t>
            </w:r>
            <w:r w:rsidR="00646502" w:rsidRPr="008A0F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՝ </w:t>
            </w:r>
            <w:r w:rsidR="008742FE" w:rsidRPr="008A0F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պետության կարիքների համար գնումների դեպքում համապատասխանաբար </w:t>
            </w:r>
            <w:r w:rsidR="00F106C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</w:t>
            </w:r>
            <w:r w:rsidR="008742FE" w:rsidRPr="008A0F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 որոշմամբ անհետաձգելի համարված այլ դեպքերում</w:t>
            </w:r>
            <w:r w:rsidR="00EA0838" w:rsidRPr="008A0F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="00EA0838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</w:p>
          <w:p w14:paraId="2CB05100" w14:textId="190A840D" w:rsidR="00EE4427" w:rsidRDefault="00625602" w:rsidP="006A74E1">
            <w:p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Վերոգրյալ նորմի ուժով</w:t>
            </w:r>
            <w:r w:rsidR="00BE5777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՝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6D275C"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Հ3, </w:t>
            </w:r>
            <w:proofErr w:type="spellStart"/>
            <w:r w:rsidR="006D275C"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Երևան</w:t>
            </w:r>
            <w:proofErr w:type="spellEnd"/>
            <w:r w:rsidR="006D275C" w:rsidRPr="008162C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-Գառնի-Գեղարդ ավտոմոբիլային ճանապարհի  կմ15+000-կմ16+800</w:t>
            </w:r>
            <w:r w:rsidR="006D27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հատվածի</w:t>
            </w:r>
            <w:r w:rsidR="00B174C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35B2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սողանքային</w:t>
            </w:r>
            <w:proofErr w:type="spellEnd"/>
            <w:r w:rsidR="00C35B2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35B2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երևույթները</w:t>
            </w:r>
            <w:proofErr w:type="spellEnd"/>
            <w:r w:rsidR="00C35B2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ժամանակին կանխարգելելու</w:t>
            </w:r>
            <w:r w:rsidR="00E75B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, անվտանգ </w:t>
            </w:r>
            <w:proofErr w:type="spellStart"/>
            <w:r w:rsidR="00E75B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երթևեկությունն</w:t>
            </w:r>
            <w:proofErr w:type="spellEnd"/>
            <w:r w:rsidR="00E75B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ապահովելու նպատակով</w:t>
            </w:r>
            <w:r w:rsidR="00EE442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33AA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անհրաժեշտ է</w:t>
            </w:r>
            <w:r w:rsidR="00EE442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 որպեսզի</w:t>
            </w:r>
            <w:r w:rsidR="00433AA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EE442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տվյալ հատվածում </w:t>
            </w:r>
            <w:r w:rsidR="00C35B2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C565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շուրջօրյա</w:t>
            </w:r>
            <w:r w:rsidR="00EE442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ռեժիմով</w:t>
            </w:r>
            <w:r w:rsidR="00C565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EE442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իրականացվեն անցանելիության ապահովման աշխատանքներ: </w:t>
            </w:r>
          </w:p>
          <w:p w14:paraId="5AC98A6E" w14:textId="0E904811" w:rsidR="00C5659B" w:rsidRDefault="00086A56" w:rsidP="006A74E1">
            <w:p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Մինչդեռ </w:t>
            </w:r>
            <w:r w:rsidR="00C84D0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մրցութային կարգով գնման գործընթացը</w:t>
            </w:r>
            <w:r w:rsidR="00790FC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պահանջում  է բավական երկար ժամանակ</w:t>
            </w:r>
            <w:r w:rsidR="0007564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, իսկ նշված ժամանակահատվածում հնարավոր </w:t>
            </w:r>
            <w:r w:rsidR="00F95CD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են</w:t>
            </w:r>
            <w:r w:rsidR="0007564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7564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սողանքային</w:t>
            </w:r>
            <w:proofErr w:type="spellEnd"/>
            <w:r w:rsidR="0007564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7564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երևույթներ</w:t>
            </w:r>
            <w:proofErr w:type="spellEnd"/>
            <w:r w:rsidR="0007564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 որոնք անհրաժեշտ է անհապա</w:t>
            </w:r>
            <w:r w:rsidR="000D798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ղ</w:t>
            </w:r>
            <w:r w:rsidR="0007564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վերացնել</w:t>
            </w:r>
            <w:r w:rsidR="00EC5B7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, իսկ </w:t>
            </w:r>
            <w:r w:rsidR="00F536E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տվյալ ժամանակահատվածում </w:t>
            </w:r>
            <w:r w:rsidR="00EC5B7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կապալառու</w:t>
            </w:r>
            <w:r w:rsidR="00140DC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</w:t>
            </w:r>
            <w:r w:rsidR="00EC5B7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բացակայությունը կարող է հանգեցնել անդառնալի </w:t>
            </w:r>
            <w:proofErr w:type="spellStart"/>
            <w:r w:rsidR="00EC5B7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հետևանք</w:t>
            </w:r>
            <w:r w:rsidR="007B253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</w:t>
            </w:r>
            <w:r w:rsidR="00EC5B7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երի</w:t>
            </w:r>
            <w:proofErr w:type="spellEnd"/>
            <w:r w:rsidR="001F74E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: </w:t>
            </w:r>
            <w:proofErr w:type="spellStart"/>
            <w:r w:rsidR="001F74E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Նշվածով</w:t>
            </w:r>
            <w:proofErr w:type="spellEnd"/>
            <w:r w:rsidR="001F74E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պայմանավորված</w:t>
            </w:r>
            <w:r w:rsidR="00A90A17" w:rsidRPr="004C194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`</w:t>
            </w:r>
            <w:r w:rsidR="001F74E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F74E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սողանքային</w:t>
            </w:r>
            <w:proofErr w:type="spellEnd"/>
            <w:r w:rsidR="001F74E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հատվածի շուրջօրյա անվտանգությունն ապահովելու նպատակով առաջարկվում է </w:t>
            </w:r>
            <w:proofErr w:type="spellStart"/>
            <w:r w:rsidR="0002015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սողանքային</w:t>
            </w:r>
            <w:proofErr w:type="spellEnd"/>
            <w:r w:rsidR="0002015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հատվածի անցանելիության ապահովման աշխատանքները ձեռք բերել մեկ անձից գնման ընթացակարգով</w:t>
            </w:r>
            <w:r w:rsidR="0021226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:</w:t>
            </w:r>
          </w:p>
          <w:p w14:paraId="2BCF5E05" w14:textId="7216C681" w:rsidR="00427D5F" w:rsidRPr="00DA63F8" w:rsidRDefault="00427D5F" w:rsidP="008A0F45">
            <w:pPr>
              <w:jc w:val="both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14:paraId="6C76B732" w14:textId="77777777" w:rsidR="007B1240" w:rsidRPr="00502DE5" w:rsidRDefault="007B1240" w:rsidP="00C02498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/>
        </w:rPr>
      </w:pPr>
    </w:p>
    <w:sectPr w:rsidR="007B1240" w:rsidRPr="00502DE5" w:rsidSect="0055340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D0"/>
    <w:rsid w:val="00012EFF"/>
    <w:rsid w:val="0001578B"/>
    <w:rsid w:val="00020154"/>
    <w:rsid w:val="00030487"/>
    <w:rsid w:val="00043803"/>
    <w:rsid w:val="00062CF8"/>
    <w:rsid w:val="000725C0"/>
    <w:rsid w:val="0007564B"/>
    <w:rsid w:val="00086A56"/>
    <w:rsid w:val="00090426"/>
    <w:rsid w:val="0009759C"/>
    <w:rsid w:val="000D70FA"/>
    <w:rsid w:val="000D7986"/>
    <w:rsid w:val="00140DC2"/>
    <w:rsid w:val="00153D73"/>
    <w:rsid w:val="0016284B"/>
    <w:rsid w:val="00170FD0"/>
    <w:rsid w:val="00182926"/>
    <w:rsid w:val="0018561C"/>
    <w:rsid w:val="00187C0D"/>
    <w:rsid w:val="001926D8"/>
    <w:rsid w:val="001F74E4"/>
    <w:rsid w:val="00212261"/>
    <w:rsid w:val="00217FDE"/>
    <w:rsid w:val="002508C6"/>
    <w:rsid w:val="00251091"/>
    <w:rsid w:val="00262B24"/>
    <w:rsid w:val="00295D07"/>
    <w:rsid w:val="0029719A"/>
    <w:rsid w:val="002B05EA"/>
    <w:rsid w:val="002B290E"/>
    <w:rsid w:val="002D1994"/>
    <w:rsid w:val="00334883"/>
    <w:rsid w:val="003536C2"/>
    <w:rsid w:val="00360CC3"/>
    <w:rsid w:val="003A35B0"/>
    <w:rsid w:val="003B4767"/>
    <w:rsid w:val="003B6AB7"/>
    <w:rsid w:val="003C0A63"/>
    <w:rsid w:val="003D7FE4"/>
    <w:rsid w:val="003E67DC"/>
    <w:rsid w:val="004210DC"/>
    <w:rsid w:val="00427D5F"/>
    <w:rsid w:val="00433AA1"/>
    <w:rsid w:val="00433F9A"/>
    <w:rsid w:val="004572AE"/>
    <w:rsid w:val="00475C52"/>
    <w:rsid w:val="00492EF4"/>
    <w:rsid w:val="004A199B"/>
    <w:rsid w:val="004A72D4"/>
    <w:rsid w:val="004C1943"/>
    <w:rsid w:val="004E410C"/>
    <w:rsid w:val="005024DF"/>
    <w:rsid w:val="00502DE5"/>
    <w:rsid w:val="00551D76"/>
    <w:rsid w:val="00553401"/>
    <w:rsid w:val="005577FC"/>
    <w:rsid w:val="005A35F8"/>
    <w:rsid w:val="005B58BC"/>
    <w:rsid w:val="005D101B"/>
    <w:rsid w:val="005D70ED"/>
    <w:rsid w:val="005E51D0"/>
    <w:rsid w:val="005E749D"/>
    <w:rsid w:val="00625602"/>
    <w:rsid w:val="00641DB0"/>
    <w:rsid w:val="00642D9A"/>
    <w:rsid w:val="00646502"/>
    <w:rsid w:val="0065032F"/>
    <w:rsid w:val="00667361"/>
    <w:rsid w:val="006773E6"/>
    <w:rsid w:val="00682591"/>
    <w:rsid w:val="006873A1"/>
    <w:rsid w:val="00697389"/>
    <w:rsid w:val="006A02A4"/>
    <w:rsid w:val="006A74E1"/>
    <w:rsid w:val="006D275C"/>
    <w:rsid w:val="006F4117"/>
    <w:rsid w:val="006F4796"/>
    <w:rsid w:val="00732F0E"/>
    <w:rsid w:val="00751C16"/>
    <w:rsid w:val="00776BB4"/>
    <w:rsid w:val="00790FCE"/>
    <w:rsid w:val="007967F5"/>
    <w:rsid w:val="00796F1F"/>
    <w:rsid w:val="007B1240"/>
    <w:rsid w:val="007B2533"/>
    <w:rsid w:val="007B7A72"/>
    <w:rsid w:val="007C7620"/>
    <w:rsid w:val="007D7667"/>
    <w:rsid w:val="007E1E97"/>
    <w:rsid w:val="007E426C"/>
    <w:rsid w:val="007E60C4"/>
    <w:rsid w:val="007F031A"/>
    <w:rsid w:val="007F4C06"/>
    <w:rsid w:val="00817092"/>
    <w:rsid w:val="00874033"/>
    <w:rsid w:val="008742FE"/>
    <w:rsid w:val="0087788B"/>
    <w:rsid w:val="00877EED"/>
    <w:rsid w:val="00892CB7"/>
    <w:rsid w:val="008A0F45"/>
    <w:rsid w:val="008D00EA"/>
    <w:rsid w:val="008F5B68"/>
    <w:rsid w:val="0091058E"/>
    <w:rsid w:val="00921E60"/>
    <w:rsid w:val="00927C1F"/>
    <w:rsid w:val="00934DA4"/>
    <w:rsid w:val="009408E4"/>
    <w:rsid w:val="00957C5E"/>
    <w:rsid w:val="00997B1D"/>
    <w:rsid w:val="009A6F36"/>
    <w:rsid w:val="009E2867"/>
    <w:rsid w:val="009F1694"/>
    <w:rsid w:val="009F7368"/>
    <w:rsid w:val="00A01DF5"/>
    <w:rsid w:val="00A04CD3"/>
    <w:rsid w:val="00A051CB"/>
    <w:rsid w:val="00A26218"/>
    <w:rsid w:val="00A27728"/>
    <w:rsid w:val="00A30D04"/>
    <w:rsid w:val="00A40D11"/>
    <w:rsid w:val="00A45300"/>
    <w:rsid w:val="00A4786B"/>
    <w:rsid w:val="00A542BB"/>
    <w:rsid w:val="00A5600B"/>
    <w:rsid w:val="00A636CC"/>
    <w:rsid w:val="00A677BE"/>
    <w:rsid w:val="00A8099D"/>
    <w:rsid w:val="00A90A17"/>
    <w:rsid w:val="00B174C1"/>
    <w:rsid w:val="00B525CE"/>
    <w:rsid w:val="00B64ADE"/>
    <w:rsid w:val="00B84AE2"/>
    <w:rsid w:val="00B86F86"/>
    <w:rsid w:val="00B93E65"/>
    <w:rsid w:val="00BA0714"/>
    <w:rsid w:val="00BC0C18"/>
    <w:rsid w:val="00BE5777"/>
    <w:rsid w:val="00BF58EA"/>
    <w:rsid w:val="00C02498"/>
    <w:rsid w:val="00C1409D"/>
    <w:rsid w:val="00C35B22"/>
    <w:rsid w:val="00C5659B"/>
    <w:rsid w:val="00C82970"/>
    <w:rsid w:val="00C84D04"/>
    <w:rsid w:val="00C91D27"/>
    <w:rsid w:val="00CB3AC9"/>
    <w:rsid w:val="00CF1EF1"/>
    <w:rsid w:val="00CF4DC3"/>
    <w:rsid w:val="00D34BC7"/>
    <w:rsid w:val="00D40F59"/>
    <w:rsid w:val="00D86704"/>
    <w:rsid w:val="00D96960"/>
    <w:rsid w:val="00DA63F8"/>
    <w:rsid w:val="00DD5EC4"/>
    <w:rsid w:val="00DE6B50"/>
    <w:rsid w:val="00E03A61"/>
    <w:rsid w:val="00E2192F"/>
    <w:rsid w:val="00E60188"/>
    <w:rsid w:val="00E75B24"/>
    <w:rsid w:val="00EA0838"/>
    <w:rsid w:val="00EA0CF1"/>
    <w:rsid w:val="00EC5B79"/>
    <w:rsid w:val="00ED2AA1"/>
    <w:rsid w:val="00EE4427"/>
    <w:rsid w:val="00F06B72"/>
    <w:rsid w:val="00F106CC"/>
    <w:rsid w:val="00F12518"/>
    <w:rsid w:val="00F21313"/>
    <w:rsid w:val="00F536E5"/>
    <w:rsid w:val="00F95CDA"/>
    <w:rsid w:val="00FA247C"/>
    <w:rsid w:val="00FA5E94"/>
    <w:rsid w:val="00FD05E1"/>
    <w:rsid w:val="00FD7EA0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C399"/>
  <w15:chartTrackingRefBased/>
  <w15:docId w15:val="{86EE13EA-F06A-44AF-BF56-1B183BC6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C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0C18"/>
    <w:rPr>
      <w:b/>
      <w:bCs/>
    </w:rPr>
  </w:style>
  <w:style w:type="paragraph" w:customStyle="1" w:styleId="mechtex">
    <w:name w:val="mechtex"/>
    <w:basedOn w:val="Normal"/>
    <w:link w:val="mechtexChar"/>
    <w:qFormat/>
    <w:rsid w:val="007B7A72"/>
    <w:pPr>
      <w:suppressAutoHyphens/>
      <w:spacing w:after="200" w:line="276" w:lineRule="auto"/>
      <w:jc w:val="center"/>
    </w:pPr>
    <w:rPr>
      <w:rFonts w:ascii="Arial Armenian" w:eastAsia="Times New Roman" w:hAnsi="Arial Armenian" w:cs="Arial Armenian"/>
      <w:lang w:val="en-US" w:eastAsia="ar-SA"/>
    </w:rPr>
  </w:style>
  <w:style w:type="character" w:customStyle="1" w:styleId="mechtexChar">
    <w:name w:val="mechtex Char"/>
    <w:link w:val="mechtex"/>
    <w:rsid w:val="007B7A72"/>
    <w:rPr>
      <w:rFonts w:ascii="Arial Armenian" w:eastAsia="Times New Roman" w:hAnsi="Arial Armenian" w:cs="Arial Armenian"/>
      <w:lang w:val="en-US" w:eastAsia="ar-SA"/>
    </w:rPr>
  </w:style>
  <w:style w:type="character" w:customStyle="1" w:styleId="normChar">
    <w:name w:val="norm Char"/>
    <w:link w:val="norm"/>
    <w:locked/>
    <w:rsid w:val="007B7A72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7B7A72"/>
    <w:pPr>
      <w:spacing w:line="480" w:lineRule="auto"/>
      <w:ind w:firstLine="709"/>
      <w:jc w:val="both"/>
    </w:pPr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BC2F-A47D-49DB-A4B2-25D1B2EB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>https://mul2-armroad.gov.am//tasks/15114/oneclick/ampopatert1575.docx?token=1a13ed8dbbe72bd21a7bb669787c58ef</cp:keywords>
  <dc:description/>
  <cp:lastModifiedBy>Nelli</cp:lastModifiedBy>
  <cp:revision>236</cp:revision>
  <dcterms:created xsi:type="dcterms:W3CDTF">2021-03-13T16:40:00Z</dcterms:created>
  <dcterms:modified xsi:type="dcterms:W3CDTF">2021-04-19T13:27:00Z</dcterms:modified>
</cp:coreProperties>
</file>