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21" w:rsidRPr="00E27113" w:rsidRDefault="00DA1D21" w:rsidP="00986E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DA1D21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</w:t>
      </w:r>
    </w:p>
    <w:p w:rsidR="00DA1D21" w:rsidRPr="009D6A9C" w:rsidRDefault="00DA1D21" w:rsidP="009D6A9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6A9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ԱՄՓՈՓԱԹԵՐԹ</w:t>
      </w:r>
    </w:p>
    <w:p w:rsidR="00DA1D21" w:rsidRPr="009D6A9C" w:rsidRDefault="00DA1D21" w:rsidP="009D6A9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D6A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  <w:r w:rsidR="00E27113" w:rsidRPr="009D6A9C">
        <w:rPr>
          <w:rFonts w:ascii="GHEA Grapalat" w:hAnsi="GHEA Grapalat"/>
          <w:b/>
          <w:bCs/>
          <w:color w:val="000000"/>
          <w:sz w:val="24"/>
          <w:szCs w:val="24"/>
        </w:rPr>
        <w:t></w:t>
      </w:r>
      <w:r w:rsidR="00E27113" w:rsidRPr="009D6A9C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ԲՆԱԿԵԼԻ</w:t>
      </w:r>
      <w:r w:rsidR="00E27113" w:rsidRPr="009D6A9C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E27113" w:rsidRPr="009D6A9C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ՏԱՐԱԾՔՆԵՐ</w:t>
      </w:r>
      <w:r w:rsidR="00E27113" w:rsidRPr="009D6A9C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E27113" w:rsidRPr="009D6A9C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ՆՎԻՐԵԼՈՒ</w:t>
      </w:r>
      <w:r w:rsidR="00E27113" w:rsidRPr="009D6A9C">
        <w:rPr>
          <w:rFonts w:ascii="GHEA Grapalat" w:hAnsi="GHEA Grapalat"/>
          <w:b/>
          <w:bCs/>
          <w:color w:val="000000"/>
          <w:sz w:val="24"/>
          <w:szCs w:val="24"/>
        </w:rPr>
        <w:t xml:space="preserve"> ՄԱՍԻՆ ՀՀ ԿԱՌԱՎԱՐՈՒԹՅԱՆ ՈՐՈՇՄԱՆ </w:t>
      </w:r>
      <w:r w:rsidRPr="009D6A9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ՆԱԽԱԳԾԻ</w:t>
      </w:r>
    </w:p>
    <w:p w:rsidR="009A21ED" w:rsidRPr="009D6A9C" w:rsidRDefault="009A21ED" w:rsidP="009D6A9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8004"/>
        <w:gridCol w:w="7872"/>
      </w:tblGrid>
      <w:tr w:rsidR="009A21ED" w:rsidRPr="009D6A9C" w:rsidTr="00622B1D">
        <w:tc>
          <w:tcPr>
            <w:tcW w:w="8004" w:type="dxa"/>
            <w:vMerge w:val="restart"/>
          </w:tcPr>
          <w:p w:rsidR="009A21ED" w:rsidRPr="009D6A9C" w:rsidRDefault="008F5644" w:rsidP="009D6A9C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ա) </w:t>
            </w:r>
            <w:proofErr w:type="spellStart"/>
            <w:r w:rsidR="0059082A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Ֆինանսների</w:t>
            </w:r>
            <w:proofErr w:type="spellEnd"/>
            <w:r w:rsidR="0059082A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 </w:t>
            </w:r>
            <w:proofErr w:type="spellStart"/>
            <w:r w:rsidR="0059082A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նախարարություն</w:t>
            </w:r>
            <w:proofErr w:type="spellEnd"/>
          </w:p>
        </w:tc>
        <w:tc>
          <w:tcPr>
            <w:tcW w:w="7872" w:type="dxa"/>
          </w:tcPr>
          <w:p w:rsidR="009A21ED" w:rsidRPr="009D6A9C" w:rsidRDefault="00051DAE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23.02.</w:t>
            </w:r>
            <w:r w:rsidR="0059082A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2020թ.</w:t>
            </w:r>
          </w:p>
        </w:tc>
      </w:tr>
      <w:tr w:rsidR="009A21ED" w:rsidRPr="009D6A9C" w:rsidTr="00622B1D">
        <w:tc>
          <w:tcPr>
            <w:tcW w:w="8004" w:type="dxa"/>
            <w:vMerge/>
          </w:tcPr>
          <w:p w:rsidR="009A21ED" w:rsidRPr="009D6A9C" w:rsidRDefault="009A21ED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7872" w:type="dxa"/>
          </w:tcPr>
          <w:p w:rsidR="009A21ED" w:rsidRPr="009D6A9C" w:rsidRDefault="00651907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N</w:t>
            </w:r>
            <w:r w:rsidR="00051DAE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01/8-2/2551-2021</w:t>
            </w:r>
          </w:p>
        </w:tc>
      </w:tr>
      <w:tr w:rsidR="00622B1D" w:rsidRPr="009D6A9C" w:rsidTr="00622B1D">
        <w:tc>
          <w:tcPr>
            <w:tcW w:w="8004" w:type="dxa"/>
          </w:tcPr>
          <w:p w:rsidR="009F6632" w:rsidRPr="009D6A9C" w:rsidRDefault="009F6632" w:rsidP="009D6A9C">
            <w:pPr>
              <w:spacing w:line="360" w:lineRule="auto"/>
              <w:ind w:firstLine="32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Նախագծին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կից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ներկայացված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հիմնավորման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3-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րդ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բաժնի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համաձայն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Նախագծի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ընդունման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տվյալ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բնագավառում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իրականացվող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քաղաքականությունը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կենցաղային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խնդիրների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լուծումն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Այդ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կապակցությամբ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հայտնում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ենք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Կառավարության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կառուցվածքի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գործունեության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մասին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»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օրենքի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2-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րդ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հոդվածի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3-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րդ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մասով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հաստատված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հավելվածի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1-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կետի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համաձայն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աշխատանքի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հարցերի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նախարարությունը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մշակում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իրականացնում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աշխատանքի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պաշտպանության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բնակչության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զբաղվածության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ժամանակավոր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անաշխատունակության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դեպքում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ապահովության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կենսաթոշակային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ապահովության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աջակցության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ինտեգրված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տրամադրման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բնակարանային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ֆոնդի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ձևավորման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ժողովրդագրական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քաղաքականության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ընտանիքի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կանանց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երեխաների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lastRenderedPageBreak/>
              <w:t>պաշտպանության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հաշմանդամություն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ունեցող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անձանց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տարեցների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պաշտպանության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ոլորտներում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Կառավարության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քաղաքականությունը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622B1D" w:rsidRPr="009D6A9C" w:rsidRDefault="009F6632" w:rsidP="009D6A9C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Ուստի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կարծում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ենք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նշված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կենցաղային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խնդիրների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լուծման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բնագավառում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նախաձեռնությամբ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պետք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հանդես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գա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լիազոր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մարմինը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դեմս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Աշխատանքի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հարցերի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նախարարության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D836B6" w:rsidRPr="009D6A9C" w:rsidRDefault="00D836B6" w:rsidP="009D6A9C">
            <w:pPr>
              <w:spacing w:line="360" w:lineRule="auto"/>
              <w:ind w:left="-31" w:firstLine="25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lastRenderedPageBreak/>
              <w:t>Չի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ընդունվել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9F6632" w:rsidRPr="009D6A9C" w:rsidRDefault="009F6632" w:rsidP="009D6A9C">
            <w:pPr>
              <w:spacing w:line="360" w:lineRule="auto"/>
              <w:ind w:left="-31" w:firstLine="25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տարածքային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կառավարման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ենթակառուցվածքների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նախարարի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2020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թվականի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ապրիլի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27-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թիվ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30-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հրամանով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հաստատված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գույքի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կառավարման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այսուհետ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կանոնադրության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մեջ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վերապահված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գործառույթների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31-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րդ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կետով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սահմանված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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բնակչության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խնդիրների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լուծման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նպատակով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իրականացնում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հանդիսացող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հանրակացարանային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տարածքների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սեփականաշնորհման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գործընթացն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կնքում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պայմանագիր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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մինչդեռ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վարչապետի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2018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թվականի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հունիսի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11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թիվ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700-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Լ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որոշմամբ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հաստատված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աշխատանքի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հարցերի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նախարարության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կանոնադրության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19-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րդ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կետով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սահմանված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ՀՀ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աշխատանքի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հարցերի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նախարարությունը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մշակում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որոշակի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վայր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չունեցող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անօթևան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lastRenderedPageBreak/>
              <w:t>սոցիալապես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անապահով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հատուկ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խմբերին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դասված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անձանց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կացարանով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ապահովելու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այդ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թվում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ժամանակավոր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ծրագրեր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ապահովում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այդ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ծրագրերի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իրականացումը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՝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հետևաբար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նույնպես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հանդիսանում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բնակչության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խնդիրների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լուծման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բնագավառում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նախաձեռնությամբ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հանդես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գալու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լիազոր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մարմին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622B1D" w:rsidRPr="009D6A9C" w:rsidRDefault="009F6632" w:rsidP="009D6A9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-31" w:firstLine="253"/>
              <w:jc w:val="both"/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</w:pP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Միաժամանակ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հայտնում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ենք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որ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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Պետական</w:t>
            </w:r>
            <w:proofErr w:type="spellEnd"/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գույքի</w:t>
            </w:r>
            <w:proofErr w:type="spellEnd"/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կառավարման</w:t>
            </w:r>
            <w:proofErr w:type="spellEnd"/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մասին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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ՀՀ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օրենքի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25-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րդ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հոդվածի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համաձայն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նվիրատվության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կամ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նվիրաբերության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սուբյեկտներ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հանդիսացող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քաղաքացիների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խմբերը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սահմանում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է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ՀՀ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կառավարությունը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>,</w:t>
            </w:r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պետական</w:t>
            </w:r>
            <w:proofErr w:type="spellEnd"/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գույքի</w:t>
            </w:r>
            <w:proofErr w:type="spellEnd"/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նվիրատվության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կամ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նվիրաբերության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պայմանագիրը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կնքում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է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ՀՀ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կառավարության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որոշմամբ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սահմանված</w:t>
            </w:r>
            <w:proofErr w:type="spellEnd"/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պետական</w:t>
            </w:r>
            <w:proofErr w:type="spellEnd"/>
            <w:r w:rsidRPr="009D6A9C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 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կառավարման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մարմինը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իսկ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վերոնշյալն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ամրագրված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է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val="en-US" w:eastAsia="en-US"/>
              </w:rPr>
              <w:t>ՀՀ</w:t>
            </w:r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val="en-US" w:eastAsia="en-US"/>
              </w:rPr>
              <w:t>կառավարության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eastAsia="en-US"/>
              </w:rPr>
              <w:t xml:space="preserve"> 2011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val="en-US" w:eastAsia="en-US"/>
              </w:rPr>
              <w:t>թվականի</w:t>
            </w:r>
            <w:proofErr w:type="spellEnd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val="en-US" w:eastAsia="en-US"/>
              </w:rPr>
              <w:t>մարտի</w:t>
            </w:r>
            <w:proofErr w:type="spellEnd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eastAsia="en-US"/>
              </w:rPr>
              <w:t xml:space="preserve"> 24-</w:t>
            </w:r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val="en-US" w:eastAsia="en-US"/>
              </w:rPr>
              <w:t>ի</w:t>
            </w:r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val="en-US" w:eastAsia="en-US"/>
              </w:rPr>
              <w:t>թիվ</w:t>
            </w:r>
            <w:proofErr w:type="spellEnd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eastAsia="en-US"/>
              </w:rPr>
              <w:t xml:space="preserve"> 305-</w:t>
            </w:r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val="en-US" w:eastAsia="en-US"/>
              </w:rPr>
              <w:t>Ն</w:t>
            </w:r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b/>
                <w:color w:val="000000" w:themeColor="text1"/>
                <w:lang w:val="en-US" w:eastAsia="en-US"/>
              </w:rPr>
              <w:t>որոշմամբ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(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այսուհետ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՝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Որոշում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):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Որոշմամբ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է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ամրագրված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նաև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որ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Կոմիտեն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է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ՀՀ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օրենսդրությամբ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սահմանված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կարգով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մշակում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և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շրջանառության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մեջ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դնում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համապատասխան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տարածքները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բնակիչներին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նվիրելու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մասին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ՀՀ</w:t>
            </w:r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կառավարության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որոշման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  <w:t>նախագծերը</w:t>
            </w:r>
            <w:proofErr w:type="spellEnd"/>
            <w:r w:rsidRPr="009D6A9C">
              <w:rPr>
                <w:rFonts w:ascii="GHEA Grapalat" w:eastAsiaTheme="minorHAnsi" w:hAnsi="GHEA Grapalat" w:cstheme="minorBidi"/>
                <w:color w:val="000000" w:themeColor="text1"/>
                <w:lang w:eastAsia="en-US"/>
              </w:rPr>
              <w:t>:</w:t>
            </w:r>
          </w:p>
        </w:tc>
      </w:tr>
      <w:tr w:rsidR="008A29FD" w:rsidRPr="009D6A9C" w:rsidTr="00622B1D">
        <w:tc>
          <w:tcPr>
            <w:tcW w:w="8004" w:type="dxa"/>
            <w:vMerge w:val="restart"/>
          </w:tcPr>
          <w:p w:rsidR="008A29FD" w:rsidRPr="009D6A9C" w:rsidRDefault="008A29FD" w:rsidP="009D6A9C">
            <w:pPr>
              <w:pStyle w:val="a6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lastRenderedPageBreak/>
              <w:t xml:space="preserve">բ)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Ֆինանսների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նախարարություն</w:t>
            </w:r>
            <w:proofErr w:type="spellEnd"/>
          </w:p>
        </w:tc>
        <w:tc>
          <w:tcPr>
            <w:tcW w:w="7872" w:type="dxa"/>
          </w:tcPr>
          <w:p w:rsidR="008A29FD" w:rsidRPr="009D6A9C" w:rsidRDefault="00497973" w:rsidP="009D6A9C">
            <w:pPr>
              <w:pStyle w:val="a6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16</w:t>
            </w:r>
            <w:r w:rsidR="008A29FD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.</w:t>
            </w: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03.2021</w:t>
            </w:r>
            <w:r w:rsidR="008A29FD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թ.</w:t>
            </w:r>
          </w:p>
        </w:tc>
      </w:tr>
      <w:tr w:rsidR="008A29FD" w:rsidRPr="009D6A9C" w:rsidTr="00622B1D">
        <w:tc>
          <w:tcPr>
            <w:tcW w:w="8004" w:type="dxa"/>
            <w:vMerge/>
          </w:tcPr>
          <w:p w:rsidR="008A29FD" w:rsidRPr="009D6A9C" w:rsidRDefault="008A29FD" w:rsidP="009D6A9C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7872" w:type="dxa"/>
          </w:tcPr>
          <w:p w:rsidR="008A29FD" w:rsidRPr="009D6A9C" w:rsidRDefault="008A29FD" w:rsidP="009D6A9C">
            <w:pPr>
              <w:pStyle w:val="a6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N01/8-2/</w:t>
            </w:r>
            <w:r w:rsidR="00497973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3639-2021</w:t>
            </w:r>
          </w:p>
        </w:tc>
      </w:tr>
      <w:tr w:rsidR="00497973" w:rsidRPr="009D6A9C" w:rsidTr="0071002E">
        <w:tc>
          <w:tcPr>
            <w:tcW w:w="8004" w:type="dxa"/>
          </w:tcPr>
          <w:p w:rsidR="00497973" w:rsidRPr="009D6A9C" w:rsidRDefault="00497973" w:rsidP="009D6A9C">
            <w:pPr>
              <w:spacing w:line="360" w:lineRule="auto"/>
              <w:ind w:firstLine="32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lastRenderedPageBreak/>
              <w:t>Սահմանադրության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6-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րդ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հոդվածի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1-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մասի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համաձայն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տեղական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ինքնակառավարման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մարմիններն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պաշտոնատար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անձինք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իրավասու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կատարելու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միայն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այնպիսի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գործողություններ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որոնց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լիազորված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Սահմանադրությամբ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օրենքներով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Հետևաբար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գույքի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կառավարման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կանոնադրական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գործառույթների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վկայակոչմամբ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ֆինանսների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նախարարության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գրությամբ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ներկայացրած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պատճառաբանությունները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չեն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հերքվում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Ավելին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նշված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իսկ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գործառույթներով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լիազորված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իրականացնելու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բնակչության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խնդիրների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լուծման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նպատակով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հանդիսացող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հանրակացարանային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տարածքների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սեփականաշնորհման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գործընթացն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կնքելու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պայմանագիր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մինչդեռ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խնդրո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առարկա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ոլորտում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քաղաքականությունը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մշակող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օրենքով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լիազորված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մարմինը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աշխատանքի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հարցերի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նախարարությունն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ուստի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վերջինս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էլ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պետք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նախաձեռնի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առաջնորդի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ոլորտում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իրականացվող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բոլոր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ծրագրերը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ինչը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սակայն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բացառում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ծրագրերի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իրականացման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շրջանակներում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ըստ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անհրաժեշտության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Պետական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գույքի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կառավարման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ներգրավումը</w:t>
            </w:r>
            <w:proofErr w:type="spellEnd"/>
            <w:r w:rsidR="00A018F7"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497973" w:rsidRPr="009D6A9C" w:rsidRDefault="00497973" w:rsidP="009D6A9C">
            <w:pPr>
              <w:pStyle w:val="a6"/>
              <w:spacing w:line="360" w:lineRule="auto"/>
              <w:ind w:left="17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ընդունվել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C9132B" w:rsidRPr="009D6A9C" w:rsidRDefault="00497973" w:rsidP="009D6A9C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Տես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վերոնշյալ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պարզաբանումները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  <w:r w:rsidR="00C9132B"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  <w:p w:rsidR="00FB267B" w:rsidRPr="009D6A9C" w:rsidRDefault="00B91DE2" w:rsidP="009D6A9C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Միաժամանակ</w:t>
            </w:r>
            <w:proofErr w:type="spellEnd"/>
            <w:r w:rsidR="00FB267B"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,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Կոմիտեն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գործընթացը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կազմակերպում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շրջանակներում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իսկ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ինչպես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նաև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մեջ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փոփոխություններ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լրացումներ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կատարելու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մասին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»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կառավարության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նախագծի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վերաբերյալ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ֆինանսների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նախարարությունը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դիտողություններ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ներկայացրել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:</w:t>
            </w:r>
            <w:r w:rsidR="00F007DC"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97973" w:rsidRPr="009D6A9C" w:rsidRDefault="00F007DC" w:rsidP="009D6A9C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հիմքով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կողմից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2011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թվականից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նախապատրաստվել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կառավարության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կողմից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ընդունվել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են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երեք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տասնյակից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ավելի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որոշումներ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նվիրատվությամբ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267B"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տրամադր</w:t>
            </w:r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ելով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չորս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հարյուրից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ավելի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բնակելի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տարածքներ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երեք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հարյուրից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ավելի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ընտանիքներին</w:t>
            </w:r>
            <w:proofErr w:type="spellEnd"/>
            <w:r w:rsidRPr="009D6A9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497973" w:rsidRPr="009D6A9C" w:rsidTr="00622B1D">
        <w:tc>
          <w:tcPr>
            <w:tcW w:w="8004" w:type="dxa"/>
            <w:vMerge w:val="restart"/>
          </w:tcPr>
          <w:p w:rsidR="00497973" w:rsidRPr="009D6A9C" w:rsidRDefault="00497973" w:rsidP="009D6A9C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9D6A9C">
              <w:rPr>
                <w:rFonts w:ascii="GHEA Grapalat" w:hAnsi="GHEA Grapalat"/>
                <w:sz w:val="24"/>
                <w:szCs w:val="24"/>
                <w:highlight w:val="lightGray"/>
                <w:lang w:val="en-US"/>
              </w:rPr>
              <w:t>Կադաստրի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highlight w:val="lightGray"/>
                <w:lang w:val="en-US"/>
              </w:rPr>
              <w:t>կոմիտե</w:t>
            </w:r>
            <w:proofErr w:type="spellEnd"/>
          </w:p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7872" w:type="dxa"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  <w:r w:rsidRPr="009D6A9C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24.10.2020թ.</w:t>
            </w:r>
          </w:p>
        </w:tc>
      </w:tr>
      <w:tr w:rsidR="00497973" w:rsidRPr="009D6A9C" w:rsidTr="00622B1D">
        <w:tc>
          <w:tcPr>
            <w:tcW w:w="8004" w:type="dxa"/>
            <w:vMerge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7872" w:type="dxa"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lightGray"/>
                <w:lang w:val="en-US"/>
              </w:rPr>
            </w:pPr>
            <w:r w:rsidRPr="009D6A9C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NՍԹ/6487-2020</w:t>
            </w:r>
          </w:p>
        </w:tc>
      </w:tr>
      <w:tr w:rsidR="00497973" w:rsidRPr="009D6A9C" w:rsidTr="0071002E">
        <w:tc>
          <w:tcPr>
            <w:tcW w:w="8004" w:type="dxa"/>
          </w:tcPr>
          <w:p w:rsidR="00497973" w:rsidRPr="009D6A9C" w:rsidRDefault="00497973" w:rsidP="009D6A9C">
            <w:pPr>
              <w:pStyle w:val="a6"/>
              <w:tabs>
                <w:tab w:val="left" w:pos="166"/>
              </w:tabs>
              <w:spacing w:line="360" w:lineRule="auto"/>
              <w:ind w:left="0" w:right="165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Նախագծում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ընդգրկված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gramStart"/>
            <w:r w:rsidRPr="009D6A9C">
              <w:rPr>
                <w:rFonts w:ascii="GHEA Grapalat" w:hAnsi="GHEA Grapalat"/>
                <w:sz w:val="24"/>
                <w:szCs w:val="24"/>
              </w:rPr>
              <w:t>24  (</w:t>
            </w:r>
            <w:proofErr w:type="spellStart"/>
            <w:proofErr w:type="gramEnd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Կադաստրի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ներկայացնելիս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Նախագիծը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բաղկացած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էր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24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տարածքներից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տարածքների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բնակիչների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վերաբերյալ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տրամադրվել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տեղեկատվություն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497973" w:rsidRPr="009D6A9C" w:rsidRDefault="00497973" w:rsidP="009D6A9C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D6A9C">
              <w:rPr>
                <w:rFonts w:ascii="GHEA Grapalat" w:hAnsi="GHEA Grapalat"/>
                <w:sz w:val="24"/>
                <w:szCs w:val="24"/>
              </w:rPr>
              <w:t xml:space="preserve">18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տարածքների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բնակիչները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չունեն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իրենց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անվամբ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sz w:val="24"/>
                <w:szCs w:val="24"/>
              </w:rPr>
              <w:t>-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ում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գրանցված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միանձնյա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սեփականության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իրավունքով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անշարժ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գույք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9D6A9C" w:rsidRDefault="009D6A9C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A9C" w:rsidRDefault="009D6A9C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A9C" w:rsidRDefault="009D6A9C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A9C" w:rsidRDefault="009D6A9C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97973" w:rsidRPr="009D6A9C" w:rsidRDefault="00497973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 xml:space="preserve"> է:</w:t>
            </w:r>
          </w:p>
          <w:p w:rsidR="00497973" w:rsidRPr="009D6A9C" w:rsidRDefault="00497973" w:rsidP="009D6A9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97973" w:rsidRPr="009D6A9C" w:rsidTr="0071002E">
        <w:tc>
          <w:tcPr>
            <w:tcW w:w="8004" w:type="dxa"/>
          </w:tcPr>
          <w:p w:rsidR="00497973" w:rsidRPr="009D6A9C" w:rsidRDefault="009D6A9C" w:rsidP="009D6A9C">
            <w:pPr>
              <w:pStyle w:val="a6"/>
              <w:numPr>
                <w:ilvl w:val="0"/>
                <w:numId w:val="11"/>
              </w:numPr>
              <w:tabs>
                <w:tab w:val="left" w:pos="166"/>
              </w:tabs>
              <w:spacing w:line="360" w:lineRule="auto"/>
              <w:ind w:right="165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րկու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տարածքների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բնակիչների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Վիրաբ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Հրանտի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Բաբայանի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Քրիստինե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Սերգեյի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Մելքումյանի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անվամբ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="00497973" w:rsidRPr="009D6A9C">
              <w:rPr>
                <w:rFonts w:ascii="GHEA Grapalat" w:hAnsi="GHEA Grapalat"/>
                <w:sz w:val="24"/>
                <w:szCs w:val="24"/>
              </w:rPr>
              <w:t>-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ում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առկա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եղել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անշարժ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գույք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sz w:val="24"/>
                <w:szCs w:val="24"/>
                <w:lang w:val="en-US"/>
              </w:rPr>
              <w:t>տներ</w:t>
            </w:r>
            <w:proofErr w:type="spellEnd"/>
            <w:r w:rsidR="00497973"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497973" w:rsidRPr="009D6A9C" w:rsidRDefault="00497973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6A9C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97973" w:rsidRPr="009D6A9C" w:rsidRDefault="00497973" w:rsidP="009D6A9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գրություններով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պատասխանվել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դիմողներին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իրենց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կողմից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զբաղեցրած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տարածքները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հանվել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Նախագծից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497973" w:rsidRPr="009D6A9C" w:rsidTr="0071002E">
        <w:tc>
          <w:tcPr>
            <w:tcW w:w="8004" w:type="dxa"/>
          </w:tcPr>
          <w:p w:rsidR="00497973" w:rsidRPr="009D6A9C" w:rsidRDefault="00497973" w:rsidP="009D6A9C">
            <w:pPr>
              <w:spacing w:line="360" w:lineRule="auto"/>
              <w:ind w:left="323" w:hanging="284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="009D6A9C">
              <w:rPr>
                <w:rFonts w:ascii="GHEA Grapalat" w:hAnsi="GHEA Grapalat"/>
                <w:sz w:val="24"/>
                <w:szCs w:val="24"/>
                <w:lang w:val="en-US"/>
              </w:rPr>
              <w:t>Չ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որս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տարածքների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հինգ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բնակիչներին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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քաղաքացի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Լիանա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Էդիկի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Մուրադյան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ի,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Խաչատուր Արամի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Գևորգյան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ի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Գայանե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Հովհաննեսի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Գրիգորյանի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Վլադիմիր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Բաբկենի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Բաղդասարյանի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Կարինե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Միխայելի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Սարգսյանի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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նույնականացնել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հնարավոր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չի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եղել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497973" w:rsidRPr="009D6A9C" w:rsidRDefault="00497973" w:rsidP="009D6A9C">
            <w:pPr>
              <w:spacing w:line="360" w:lineRule="auto"/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</w:pPr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3.  </w:t>
            </w:r>
            <w:proofErr w:type="spellStart"/>
            <w:proofErr w:type="gram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Քաղաքացիներ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Խաչատուր</w:t>
            </w:r>
            <w:proofErr w:type="gram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Արամի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Գևորգյան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ի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Գայանե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Հովհաննեսի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Գրիգորյանի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կողմից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զբաղեցրած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բնակելի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տարածքը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հանվել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Նախագծից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հիմք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ընդունելով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ոստիկանության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անձնագրային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վիզաների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կողմից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="00743A9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22.10.2020</w:t>
            </w:r>
            <w:r w:rsidR="00743A9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թ</w:t>
            </w:r>
            <w:r w:rsidR="00743A9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743A9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թիվ</w:t>
            </w:r>
            <w:proofErr w:type="spellEnd"/>
            <w:r w:rsidR="00743A9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8117-2020 </w:t>
            </w:r>
            <w:proofErr w:type="spellStart"/>
            <w:r w:rsidR="00743A9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գրոթյամբ</w:t>
            </w:r>
            <w:proofErr w:type="spellEnd"/>
            <w:r w:rsidR="00743A9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ներկայացված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տեղեկատվությունը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:</w:t>
            </w:r>
          </w:p>
          <w:p w:rsidR="00497973" w:rsidRPr="009D6A9C" w:rsidRDefault="00497973" w:rsidP="009D6A9C">
            <w:pPr>
              <w:spacing w:line="360" w:lineRule="auto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Քաղաքացիներ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Վլադիմիր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Բաբկենի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Բաղդասարյանը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որի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վերաբերյալ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նաև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Կոմիտեն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էր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լրացուցիչ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գրություններով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տեղեկատվություններ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համաքագրել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ոստիկանությունից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)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Լիանա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Էդիկի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Մուրադյանը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Կոմիտե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են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ներկայացրել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Կադաստրի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կողմից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տրված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համապատասխանաբար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15.03.2021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sz w:val="24"/>
                <w:szCs w:val="24"/>
              </w:rPr>
              <w:lastRenderedPageBreak/>
              <w:t>12.11.2020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տեղեկանքներ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ըստ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որոնց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իրենց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անվամբ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ում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առկա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չէ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անշարժ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գույք</w:t>
            </w:r>
            <w:proofErr w:type="spellEnd"/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:</w:t>
            </w:r>
          </w:p>
          <w:p w:rsidR="00497973" w:rsidRPr="009D6A9C" w:rsidRDefault="00497973" w:rsidP="009D6A9C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en-US"/>
              </w:rPr>
              <w:t>Քաղաքացի</w:t>
            </w:r>
            <w:proofErr w:type="spellEnd"/>
            <w:r w:rsidRPr="009D6A9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Կարինե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Միխայելի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Սարգսյանի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վերաբերյալ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Կոմիտեն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գրություններով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էր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ոստիկանություն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՝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խնդրելով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տալ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լրացուցիչ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տեղեկատվություն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,</w:t>
            </w:r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պատասխան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գրություններով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ոստիկանությունը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տեղեկացրել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էր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որ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Կադաստրի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կոմիտեի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կողմից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տրամադրված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նույնանուն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Կարինե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Ս</w:t>
            </w:r>
            <w:proofErr w:type="spellStart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արգսյանի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անվամբ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անշարժ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գույքի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սեփականատ</w:t>
            </w:r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իրոջ</w:t>
            </w:r>
            <w:proofErr w:type="spellEnd"/>
            <w:r w:rsidR="00C9132B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հայրանունը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Երվանդ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է</w:t>
            </w:r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որը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համընկնում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նվիրառու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հանդիսացող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Կարինե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Սարգսյանի</w:t>
            </w:r>
            <w:proofErr w:type="spellEnd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հայրան</w:t>
            </w:r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ունի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Միխայել</w:t>
            </w:r>
            <w:proofErr w:type="spellEnd"/>
            <w:r w:rsidR="001F63A1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հետ</w:t>
            </w:r>
            <w:proofErr w:type="spellEnd"/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Արդյունքում</w:t>
            </w:r>
            <w:proofErr w:type="spellEnd"/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Նախագծից</w:t>
            </w:r>
            <w:proofErr w:type="spellEnd"/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բնակելի</w:t>
            </w:r>
            <w:proofErr w:type="spellEnd"/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5BCE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տարածքը</w:t>
            </w:r>
            <w:proofErr w:type="spellEnd"/>
            <w:r w:rsidR="00625BCE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5BCE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="00625BCE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5BCE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հանվել</w:t>
            </w:r>
            <w:proofErr w:type="spellEnd"/>
            <w:r w:rsidR="00625BCE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:</w:t>
            </w:r>
            <w:r w:rsidR="00A0425C" w:rsidRPr="009D6A9C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97973" w:rsidRPr="009D6A9C" w:rsidTr="00622B1D">
        <w:tc>
          <w:tcPr>
            <w:tcW w:w="8004" w:type="dxa"/>
            <w:vMerge w:val="restart"/>
          </w:tcPr>
          <w:p w:rsidR="00497973" w:rsidRPr="009D6A9C" w:rsidRDefault="00A018F7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lastRenderedPageBreak/>
              <w:t>3</w:t>
            </w:r>
            <w:r w:rsidR="00497973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. </w:t>
            </w:r>
            <w:proofErr w:type="spellStart"/>
            <w:r w:rsidR="00497973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Միգրացիոն</w:t>
            </w:r>
            <w:proofErr w:type="spellEnd"/>
            <w:r w:rsidR="00497973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 </w:t>
            </w:r>
            <w:proofErr w:type="spellStart"/>
            <w:r w:rsidR="00497973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պետական</w:t>
            </w:r>
            <w:proofErr w:type="spellEnd"/>
            <w:r w:rsidR="00497973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 </w:t>
            </w:r>
            <w:proofErr w:type="spellStart"/>
            <w:r w:rsidR="00497973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ծառայություն</w:t>
            </w:r>
            <w:proofErr w:type="spellEnd"/>
          </w:p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7872" w:type="dxa"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03.11.2020թ.</w:t>
            </w:r>
          </w:p>
        </w:tc>
      </w:tr>
      <w:tr w:rsidR="00497973" w:rsidRPr="009D6A9C" w:rsidTr="00622B1D">
        <w:tc>
          <w:tcPr>
            <w:tcW w:w="8004" w:type="dxa"/>
            <w:vMerge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7872" w:type="dxa"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N 01/07.1/3682-2020</w:t>
            </w:r>
          </w:p>
        </w:tc>
      </w:tr>
      <w:tr w:rsidR="00497973" w:rsidRPr="009D6A9C" w:rsidTr="0071002E">
        <w:tc>
          <w:tcPr>
            <w:tcW w:w="8004" w:type="dxa"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վերաբերյալ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դիտողություններ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և</w:t>
            </w: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առաջարկություններ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չկան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2" w:type="dxa"/>
          </w:tcPr>
          <w:p w:rsidR="00497973" w:rsidRPr="009D6A9C" w:rsidRDefault="00497973" w:rsidP="009D6A9C">
            <w:pPr>
              <w:pStyle w:val="a6"/>
              <w:spacing w:line="360" w:lineRule="auto"/>
              <w:ind w:left="11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Ընդունվել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է:</w:t>
            </w:r>
          </w:p>
        </w:tc>
      </w:tr>
      <w:tr w:rsidR="00497973" w:rsidRPr="009D6A9C" w:rsidTr="00622B1D">
        <w:tc>
          <w:tcPr>
            <w:tcW w:w="8004" w:type="dxa"/>
            <w:vMerge w:val="restart"/>
          </w:tcPr>
          <w:p w:rsidR="00497973" w:rsidRPr="009D6A9C" w:rsidRDefault="00A018F7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  <w:t>4</w:t>
            </w:r>
            <w:r w:rsidR="00497973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  <w:t>.</w:t>
            </w:r>
            <w:r w:rsidR="00497973"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</w:rPr>
              <w:t>Քաղաքաշինության</w:t>
            </w:r>
            <w:proofErr w:type="spellEnd"/>
            <w:r w:rsidR="00497973"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497973"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</w:rPr>
              <w:t>կոմիտե</w:t>
            </w:r>
            <w:proofErr w:type="spellEnd"/>
          </w:p>
        </w:tc>
        <w:tc>
          <w:tcPr>
            <w:tcW w:w="7872" w:type="dxa"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lightGray"/>
              </w:rPr>
            </w:pPr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</w:rPr>
              <w:t>30.11.2020թ.</w:t>
            </w:r>
          </w:p>
        </w:tc>
      </w:tr>
      <w:tr w:rsidR="00497973" w:rsidRPr="009D6A9C" w:rsidTr="00622B1D">
        <w:tc>
          <w:tcPr>
            <w:tcW w:w="8004" w:type="dxa"/>
            <w:vMerge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872" w:type="dxa"/>
          </w:tcPr>
          <w:p w:rsidR="00497973" w:rsidRPr="009D6A9C" w:rsidRDefault="00497973" w:rsidP="009D6A9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lightGray"/>
              </w:rPr>
            </w:pPr>
            <w:r w:rsidRPr="009D6A9C">
              <w:rPr>
                <w:rFonts w:ascii="GHEA Grapalat" w:hAnsi="GHEA Grapalat"/>
                <w:sz w:val="24"/>
                <w:szCs w:val="24"/>
                <w:highlight w:val="lightGray"/>
                <w:lang w:val="en-US"/>
              </w:rPr>
              <w:t>N</w:t>
            </w:r>
            <w:r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</w:rPr>
              <w:t>01/13/8920-20</w:t>
            </w:r>
          </w:p>
        </w:tc>
      </w:tr>
      <w:tr w:rsidR="00497973" w:rsidRPr="009D6A9C" w:rsidTr="0071002E">
        <w:tc>
          <w:tcPr>
            <w:tcW w:w="8004" w:type="dxa"/>
          </w:tcPr>
          <w:p w:rsidR="00497973" w:rsidRPr="009D6A9C" w:rsidRDefault="00497973" w:rsidP="009D6A9C">
            <w:pPr>
              <w:pStyle w:val="a6"/>
              <w:tabs>
                <w:tab w:val="left" w:pos="166"/>
              </w:tabs>
              <w:spacing w:line="360" w:lineRule="auto"/>
              <w:ind w:left="0" w:right="165"/>
              <w:rPr>
                <w:rFonts w:ascii="GHEA Grapalat" w:hAnsi="GHEA Grapalat"/>
                <w:sz w:val="24"/>
                <w:szCs w:val="24"/>
              </w:rPr>
            </w:pPr>
            <w:r w:rsidRPr="009D6A9C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հավելվածում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նշված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անձանց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քաղաքաշինության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կողմից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իրականացված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շրջանակներում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բնակարան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չի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հատկացվել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497973" w:rsidRPr="009D6A9C" w:rsidRDefault="00497973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 xml:space="preserve"> է:</w:t>
            </w:r>
          </w:p>
          <w:p w:rsidR="00497973" w:rsidRPr="009D6A9C" w:rsidRDefault="00497973" w:rsidP="009D6A9C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97973" w:rsidRPr="009D6A9C" w:rsidTr="0071002E">
        <w:tc>
          <w:tcPr>
            <w:tcW w:w="8004" w:type="dxa"/>
          </w:tcPr>
          <w:p w:rsidR="00497973" w:rsidRPr="009D6A9C" w:rsidRDefault="00497973" w:rsidP="009D6A9C">
            <w:pPr>
              <w:tabs>
                <w:tab w:val="left" w:pos="180"/>
                <w:tab w:val="left" w:pos="450"/>
                <w:tab w:val="left" w:pos="720"/>
              </w:tabs>
              <w:spacing w:line="360" w:lineRule="auto"/>
              <w:ind w:right="-82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2.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1-ին և 3-րդ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կետերը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համապատասխանեցման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կարիք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ունեն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հաշվի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առնելով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որ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1-ին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նշված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գույքերը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գտնվում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lastRenderedPageBreak/>
              <w:t>Երևան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քաղաքում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, ՀՀ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Սյունիքի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Արագածոտնի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մարզերում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մինչդեռ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3-րդ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դրույթ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նախատեսված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միայն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ՀՀ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Արագածոտնի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մարզի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մասով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497973" w:rsidRPr="009D6A9C" w:rsidRDefault="00497973" w:rsidP="009D6A9C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6A9C">
              <w:rPr>
                <w:rFonts w:ascii="GHEA Grapalat" w:hAnsi="GHEA Grapalat"/>
                <w:sz w:val="24"/>
                <w:szCs w:val="24"/>
              </w:rPr>
              <w:lastRenderedPageBreak/>
              <w:t>2.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Չի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97973" w:rsidRPr="009D6A9C" w:rsidRDefault="00497973" w:rsidP="009D6A9C">
            <w:pPr>
              <w:spacing w:line="360" w:lineRule="auto"/>
              <w:ind w:left="1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6A9C">
              <w:rPr>
                <w:rFonts w:ascii="GHEA Grapalat" w:hAnsi="GHEA Grapalat" w:cs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Սյունիքի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Արագածոտնի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մարզերում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գտնվող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գույքերը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Կոմիտեի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հաշվեկշռում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են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հաշվառված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իսկ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Ն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ախագծի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3-րդ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նախատեսված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դրույթը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վերաբերում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Կոմիտեին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և</w:t>
            </w:r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Արագածոտնի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մարզպետարանին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</w:tr>
      <w:tr w:rsidR="00497973" w:rsidRPr="009D6A9C" w:rsidTr="0071002E">
        <w:tc>
          <w:tcPr>
            <w:tcW w:w="8004" w:type="dxa"/>
          </w:tcPr>
          <w:p w:rsidR="00497973" w:rsidRPr="00485AC4" w:rsidRDefault="00497973" w:rsidP="00485AC4">
            <w:pPr>
              <w:tabs>
                <w:tab w:val="left" w:pos="180"/>
                <w:tab w:val="left" w:pos="450"/>
              </w:tabs>
              <w:spacing w:line="360" w:lineRule="auto"/>
              <w:ind w:right="-82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9D6A9C">
              <w:rPr>
                <w:rFonts w:ascii="GHEA Grapalat" w:hAnsi="GHEA Grapalat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4-րդ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անհրաժեշտ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հստակեցնել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թե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որ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մարմնին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վերաբերում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նվիրատվության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պայմանագրերի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կնքման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հանձնարարականը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497973" w:rsidRPr="009D6A9C" w:rsidRDefault="00497973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6A9C">
              <w:rPr>
                <w:rFonts w:ascii="GHEA Grapalat" w:hAnsi="GHEA Grapalat"/>
                <w:sz w:val="24"/>
                <w:szCs w:val="24"/>
              </w:rPr>
              <w:t xml:space="preserve"> 3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97973" w:rsidRPr="009D6A9C" w:rsidRDefault="00497973" w:rsidP="009D6A9C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Կատարվել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9D6A9C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/>
                <w:sz w:val="24"/>
                <w:szCs w:val="24"/>
                <w:lang w:val="en-US"/>
              </w:rPr>
              <w:t>հստակեցում</w:t>
            </w:r>
            <w:proofErr w:type="spellEnd"/>
            <w:r w:rsidRPr="009D6A9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F6242" w:rsidRPr="009D6A9C" w:rsidTr="0071002E">
        <w:tc>
          <w:tcPr>
            <w:tcW w:w="8004" w:type="dxa"/>
            <w:vMerge w:val="restart"/>
          </w:tcPr>
          <w:p w:rsidR="008F6242" w:rsidRPr="009D6A9C" w:rsidRDefault="004E6093" w:rsidP="009D6A9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5</w:t>
            </w:r>
            <w:r w:rsidR="008F6242"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  <w:t>.</w:t>
            </w:r>
            <w:r w:rsidR="008F6242"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8F6242"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  <w:lang w:val="en-US"/>
              </w:rPr>
              <w:t>Արագածոտնի</w:t>
            </w:r>
            <w:proofErr w:type="spellEnd"/>
            <w:r w:rsidR="008F6242"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="008F6242" w:rsidRPr="009D6A9C">
              <w:rPr>
                <w:rFonts w:ascii="GHEA Grapalat" w:hAnsi="GHEA Grapalat"/>
                <w:bCs/>
                <w:color w:val="000000"/>
                <w:sz w:val="24"/>
                <w:szCs w:val="24"/>
                <w:highlight w:val="lightGray"/>
                <w:lang w:val="en-US"/>
              </w:rPr>
              <w:t>մարզպետարան</w:t>
            </w:r>
            <w:proofErr w:type="spellEnd"/>
          </w:p>
        </w:tc>
        <w:tc>
          <w:tcPr>
            <w:tcW w:w="7872" w:type="dxa"/>
          </w:tcPr>
          <w:p w:rsidR="008F6242" w:rsidRPr="009D6A9C" w:rsidRDefault="008F6242" w:rsidP="009D6A9C">
            <w:pPr>
              <w:pStyle w:val="a6"/>
              <w:spacing w:line="360" w:lineRule="auto"/>
              <w:ind w:left="111"/>
              <w:jc w:val="center"/>
              <w:rPr>
                <w:rFonts w:ascii="GHEA Grapalat" w:hAnsi="GHEA Grapalat"/>
                <w:sz w:val="24"/>
                <w:szCs w:val="24"/>
                <w:highlight w:val="lightGray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13.04.2020թ</w:t>
            </w:r>
          </w:p>
        </w:tc>
      </w:tr>
      <w:tr w:rsidR="008F6242" w:rsidRPr="009D6A9C" w:rsidTr="0071002E">
        <w:tc>
          <w:tcPr>
            <w:tcW w:w="8004" w:type="dxa"/>
            <w:vMerge/>
          </w:tcPr>
          <w:p w:rsidR="008F6242" w:rsidRPr="009D6A9C" w:rsidRDefault="008F6242" w:rsidP="009D6A9C">
            <w:pPr>
              <w:tabs>
                <w:tab w:val="left" w:pos="180"/>
                <w:tab w:val="left" w:pos="450"/>
              </w:tabs>
              <w:spacing w:line="360" w:lineRule="auto"/>
              <w:ind w:right="-82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872" w:type="dxa"/>
          </w:tcPr>
          <w:p w:rsidR="008F6242" w:rsidRPr="009D6A9C" w:rsidRDefault="008F6242" w:rsidP="009D6A9C">
            <w:pPr>
              <w:pStyle w:val="a6"/>
              <w:spacing w:line="360" w:lineRule="auto"/>
              <w:ind w:left="111"/>
              <w:jc w:val="center"/>
              <w:rPr>
                <w:rFonts w:ascii="GHEA Grapalat" w:hAnsi="GHEA Grapalat"/>
                <w:sz w:val="24"/>
                <w:szCs w:val="24"/>
                <w:highlight w:val="lightGray"/>
              </w:rPr>
            </w:pPr>
            <w:r w:rsidRPr="009D6A9C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 /5/01574-2021</w:t>
            </w:r>
          </w:p>
        </w:tc>
      </w:tr>
      <w:tr w:rsidR="008F6242" w:rsidRPr="009D6A9C" w:rsidTr="0071002E">
        <w:tc>
          <w:tcPr>
            <w:tcW w:w="8004" w:type="dxa"/>
          </w:tcPr>
          <w:p w:rsidR="008F6242" w:rsidRPr="009D6A9C" w:rsidRDefault="008F6242" w:rsidP="009D6A9C">
            <w:pPr>
              <w:tabs>
                <w:tab w:val="left" w:pos="180"/>
                <w:tab w:val="left" w:pos="450"/>
              </w:tabs>
              <w:spacing w:line="360" w:lineRule="auto"/>
              <w:ind w:right="-82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վերաբերյալ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դիտողություններ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և</w:t>
            </w: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առաջարկություններ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չկան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2" w:type="dxa"/>
          </w:tcPr>
          <w:p w:rsidR="008F6242" w:rsidRPr="009D6A9C" w:rsidRDefault="008F6242" w:rsidP="009D6A9C">
            <w:pPr>
              <w:pStyle w:val="a6"/>
              <w:spacing w:line="360" w:lineRule="auto"/>
              <w:ind w:left="111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Ընդունվել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է:</w:t>
            </w:r>
          </w:p>
        </w:tc>
      </w:tr>
      <w:tr w:rsidR="006D48F4" w:rsidRPr="009D6A9C" w:rsidTr="0071002E">
        <w:tc>
          <w:tcPr>
            <w:tcW w:w="8004" w:type="dxa"/>
            <w:vMerge w:val="restart"/>
          </w:tcPr>
          <w:p w:rsidR="006D48F4" w:rsidRPr="009D6A9C" w:rsidRDefault="006D48F4" w:rsidP="009D6A9C">
            <w:pPr>
              <w:tabs>
                <w:tab w:val="left" w:pos="180"/>
                <w:tab w:val="left" w:pos="450"/>
              </w:tabs>
              <w:spacing w:line="360" w:lineRule="auto"/>
              <w:ind w:right="-82"/>
              <w:jc w:val="center"/>
              <w:rPr>
                <w:rFonts w:ascii="GHEA Grapalat" w:hAnsi="GHEA Grapalat"/>
                <w:sz w:val="24"/>
                <w:szCs w:val="24"/>
                <w:highlight w:val="lightGray"/>
              </w:rPr>
            </w:pPr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6.Արդարադատության </w:t>
            </w: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նախարարություն</w:t>
            </w:r>
            <w:proofErr w:type="spellEnd"/>
          </w:p>
        </w:tc>
        <w:tc>
          <w:tcPr>
            <w:tcW w:w="7872" w:type="dxa"/>
          </w:tcPr>
          <w:p w:rsidR="006D48F4" w:rsidRPr="009D6A9C" w:rsidRDefault="006D48F4" w:rsidP="009D6A9C">
            <w:pPr>
              <w:pStyle w:val="a6"/>
              <w:spacing w:line="360" w:lineRule="auto"/>
              <w:ind w:left="111"/>
              <w:jc w:val="center"/>
              <w:rPr>
                <w:rFonts w:ascii="GHEA Grapalat" w:hAnsi="GHEA Grapalat"/>
                <w:sz w:val="24"/>
                <w:szCs w:val="24"/>
                <w:highlight w:val="lightGray"/>
                <w:lang w:val="en-US"/>
              </w:rPr>
            </w:pPr>
            <w:r w:rsidRPr="009D6A9C">
              <w:rPr>
                <w:rFonts w:ascii="GHEA Grapalat" w:hAnsi="GHEA Grapalat"/>
                <w:sz w:val="24"/>
                <w:szCs w:val="24"/>
                <w:highlight w:val="lightGray"/>
                <w:lang w:val="en-US"/>
              </w:rPr>
              <w:t>06.04.2021թ.</w:t>
            </w:r>
          </w:p>
        </w:tc>
      </w:tr>
      <w:tr w:rsidR="006D48F4" w:rsidRPr="009D6A9C" w:rsidTr="0071002E">
        <w:tc>
          <w:tcPr>
            <w:tcW w:w="8004" w:type="dxa"/>
            <w:vMerge/>
          </w:tcPr>
          <w:p w:rsidR="006D48F4" w:rsidRPr="009D6A9C" w:rsidRDefault="006D48F4" w:rsidP="009D6A9C">
            <w:pPr>
              <w:tabs>
                <w:tab w:val="left" w:pos="180"/>
                <w:tab w:val="left" w:pos="450"/>
              </w:tabs>
              <w:spacing w:line="360" w:lineRule="auto"/>
              <w:ind w:right="-8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7872" w:type="dxa"/>
          </w:tcPr>
          <w:p w:rsidR="006D48F4" w:rsidRPr="009D6A9C" w:rsidRDefault="006D48F4" w:rsidP="009D6A9C">
            <w:pPr>
              <w:pStyle w:val="a6"/>
              <w:spacing w:line="360" w:lineRule="auto"/>
              <w:ind w:left="111"/>
              <w:jc w:val="center"/>
              <w:rPr>
                <w:rFonts w:ascii="GHEA Grapalat" w:hAnsi="GHEA Grapalat"/>
                <w:sz w:val="24"/>
                <w:szCs w:val="24"/>
                <w:highlight w:val="lightGray"/>
              </w:rPr>
            </w:pPr>
            <w:r w:rsidRPr="009D6A9C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01/27.1/8366-2021</w:t>
            </w:r>
          </w:p>
        </w:tc>
      </w:tr>
      <w:tr w:rsidR="008F6242" w:rsidRPr="009D6A9C" w:rsidTr="0071002E">
        <w:tc>
          <w:tcPr>
            <w:tcW w:w="8004" w:type="dxa"/>
          </w:tcPr>
          <w:p w:rsidR="004E6093" w:rsidRPr="009D6A9C" w:rsidRDefault="004E6093" w:rsidP="009D6A9C">
            <w:pPr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9D6A9C">
              <w:rPr>
                <w:rFonts w:ascii="GHEA Grapalat" w:hAnsi="GHEA Grapalat" w:cs="GHEA Grapalat"/>
                <w:sz w:val="24"/>
                <w:szCs w:val="24"/>
                <w:lang w:val="en-US"/>
              </w:rPr>
              <w:t>ՀՀ</w:t>
            </w:r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կառավարության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2021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թվականի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փետրվարի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25-ի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թիվ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252-Լ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որոշմամբ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հաստատված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աշխատակարգի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15-րդ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ամրագրված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կարգավորման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համաձայն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՝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Նախագծերը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նախապես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կարծիքի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ուղարկվում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շահագրգիռ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մարմիններին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նախագիծը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ներկայացնողի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կողմից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: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Ոչ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նորմատիվ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բնույթի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նախագծերը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կարծիքի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ուղարկվում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նաև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արդարադատության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նախարարություն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բացառությամբ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օրենքի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կիրարկումն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ապահովող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միջոցառումների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աշխատանքային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խմբերի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(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հանձնաժողովների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հանձնախմբերի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)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,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գույք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հետ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վերցնելու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կամ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ամրացնելու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նախագծերի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: </w:t>
            </w:r>
          </w:p>
          <w:p w:rsidR="004E6093" w:rsidRPr="009D6A9C" w:rsidRDefault="004E6093" w:rsidP="009D6A9C">
            <w:pPr>
              <w:spacing w:line="360" w:lineRule="auto"/>
              <w:ind w:firstLine="618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9D6A9C">
              <w:rPr>
                <w:rFonts w:ascii="GHEA Grapalat" w:hAnsi="GHEA Grapalat" w:cs="GHEA Grapalat"/>
                <w:sz w:val="24"/>
                <w:szCs w:val="24"/>
              </w:rPr>
              <w:lastRenderedPageBreak/>
              <w:t>Վերոգրյալ իրավակարգավորման բովանդակությունից պարզ է դառնում, որ այն պարագայում, երբ ներկայացված ոչ նորմատիվ բնույթի նախագծերը վերաբերեն գույք հետ վերցնելուն, ամրացնելուն կամ գույքի հետ կապված այլ հարաբերությունները կարգավորելուն և նախագծի շրջանակներում ՀՀ արդարադատության նախարարությունը շահագրգիռ մարմին չի հանդիսանալու, ապա Նախագծի վերաբերյալ կարծիք չի տրամադրվելու:</w:t>
            </w:r>
          </w:p>
          <w:p w:rsidR="008F6242" w:rsidRPr="009D6A9C" w:rsidRDefault="004E6093" w:rsidP="009D6A9C">
            <w:pPr>
              <w:tabs>
                <w:tab w:val="left" w:pos="180"/>
                <w:tab w:val="left" w:pos="450"/>
              </w:tabs>
              <w:spacing w:line="360" w:lineRule="auto"/>
              <w:ind w:right="-82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Տվյալ պարագայում նկատի ունենալով այն հանգամանքը, որ ներկայացված Նախագծի պարագայում ՀՀ արդարադատության նախարարությունը շահագրգիռ մարմին չի հանդիսանում և միևնույն ժամանակ ղեկավարվելով Հայաստանի Հանրապետության կառավարության 2021 թվականի փետրվարի 25-ի թիվ 252-Լ որոշմամբ հաստատված աշխատակարգի 15-րդ կետի պահանջներով՝ հարկ ենք համարում նշել, որ ներկայացված «Բնակելի տարածքներ նվիրելու մասին» Հայաստանի Հանրապետության կառավարության որոշման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վերաբերյալ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ՀՀ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արդարադատության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նախարարության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կողմից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կարծիք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չի</w:t>
            </w:r>
            <w:proofErr w:type="spellEnd"/>
            <w:r w:rsidRPr="009D6A9C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D6A9C">
              <w:rPr>
                <w:rFonts w:ascii="GHEA Grapalat" w:hAnsi="GHEA Grapalat" w:cs="GHEA Grapalat"/>
                <w:sz w:val="24"/>
                <w:szCs w:val="24"/>
              </w:rPr>
              <w:t>ներկայացվելու</w:t>
            </w:r>
            <w:proofErr w:type="spellEnd"/>
            <w:r w:rsidR="007A4368" w:rsidRPr="009D6A9C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872" w:type="dxa"/>
          </w:tcPr>
          <w:p w:rsidR="008F6242" w:rsidRPr="009D6A9C" w:rsidRDefault="006D48F4" w:rsidP="009D6A9C">
            <w:pPr>
              <w:pStyle w:val="a6"/>
              <w:spacing w:line="360" w:lineRule="auto"/>
              <w:ind w:left="1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Ընդունվել</w:t>
            </w:r>
            <w:proofErr w:type="spellEnd"/>
            <w:r w:rsidRPr="009D6A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է:</w:t>
            </w:r>
          </w:p>
        </w:tc>
      </w:tr>
    </w:tbl>
    <w:p w:rsidR="009A21ED" w:rsidRPr="009D6A9C" w:rsidRDefault="009A21ED" w:rsidP="009D6A9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A1D21" w:rsidRPr="009D6A9C" w:rsidRDefault="00DA1D21" w:rsidP="009D6A9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  <w:r w:rsidRPr="009D6A9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9D6A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D6A9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sectPr w:rsidR="00DA1D21" w:rsidRPr="009D6A9C" w:rsidSect="004979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FD5"/>
    <w:multiLevelType w:val="hybridMultilevel"/>
    <w:tmpl w:val="DABC20F8"/>
    <w:lvl w:ilvl="0" w:tplc="A89A8D5E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66707D"/>
    <w:multiLevelType w:val="hybridMultilevel"/>
    <w:tmpl w:val="D31A1C78"/>
    <w:lvl w:ilvl="0" w:tplc="CA7461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D8B085B"/>
    <w:multiLevelType w:val="hybridMultilevel"/>
    <w:tmpl w:val="62C44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4765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9EC6D67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BD16ED1"/>
    <w:multiLevelType w:val="hybridMultilevel"/>
    <w:tmpl w:val="32068B58"/>
    <w:lvl w:ilvl="0" w:tplc="E08015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703C"/>
    <w:multiLevelType w:val="hybridMultilevel"/>
    <w:tmpl w:val="857C6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625C5"/>
    <w:multiLevelType w:val="hybridMultilevel"/>
    <w:tmpl w:val="2148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7F86"/>
    <w:multiLevelType w:val="hybridMultilevel"/>
    <w:tmpl w:val="6C1E42B6"/>
    <w:lvl w:ilvl="0" w:tplc="9526543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67408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71E36D9D"/>
    <w:multiLevelType w:val="hybridMultilevel"/>
    <w:tmpl w:val="7AF0E068"/>
    <w:lvl w:ilvl="0" w:tplc="C5F6F7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EA138CE"/>
    <w:multiLevelType w:val="hybridMultilevel"/>
    <w:tmpl w:val="2218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1"/>
    <w:rsid w:val="00013A5F"/>
    <w:rsid w:val="00051DAE"/>
    <w:rsid w:val="00074B3C"/>
    <w:rsid w:val="000D05FA"/>
    <w:rsid w:val="00107FD9"/>
    <w:rsid w:val="00153D1B"/>
    <w:rsid w:val="00160D30"/>
    <w:rsid w:val="001939D3"/>
    <w:rsid w:val="001A0E13"/>
    <w:rsid w:val="001F63A1"/>
    <w:rsid w:val="00282799"/>
    <w:rsid w:val="0029543B"/>
    <w:rsid w:val="002E087A"/>
    <w:rsid w:val="0031435F"/>
    <w:rsid w:val="00344D2A"/>
    <w:rsid w:val="00391790"/>
    <w:rsid w:val="003C573E"/>
    <w:rsid w:val="00462232"/>
    <w:rsid w:val="00485AC4"/>
    <w:rsid w:val="00497973"/>
    <w:rsid w:val="004E6093"/>
    <w:rsid w:val="005317EA"/>
    <w:rsid w:val="0054788A"/>
    <w:rsid w:val="0059082A"/>
    <w:rsid w:val="00622B1D"/>
    <w:rsid w:val="00625BCE"/>
    <w:rsid w:val="006330CC"/>
    <w:rsid w:val="00651907"/>
    <w:rsid w:val="006C482E"/>
    <w:rsid w:val="006D48F4"/>
    <w:rsid w:val="0070646E"/>
    <w:rsid w:val="0071002E"/>
    <w:rsid w:val="00717366"/>
    <w:rsid w:val="00737104"/>
    <w:rsid w:val="00743093"/>
    <w:rsid w:val="00743A9C"/>
    <w:rsid w:val="0075684F"/>
    <w:rsid w:val="00766308"/>
    <w:rsid w:val="0077489D"/>
    <w:rsid w:val="007A4368"/>
    <w:rsid w:val="008361AF"/>
    <w:rsid w:val="00865E3A"/>
    <w:rsid w:val="00885CBE"/>
    <w:rsid w:val="008A29FD"/>
    <w:rsid w:val="008E29AC"/>
    <w:rsid w:val="008E67F4"/>
    <w:rsid w:val="008F5644"/>
    <w:rsid w:val="008F6242"/>
    <w:rsid w:val="00912E76"/>
    <w:rsid w:val="00921AA3"/>
    <w:rsid w:val="00986ED8"/>
    <w:rsid w:val="009A21ED"/>
    <w:rsid w:val="009A234D"/>
    <w:rsid w:val="009B1464"/>
    <w:rsid w:val="009D6A9C"/>
    <w:rsid w:val="009F6632"/>
    <w:rsid w:val="00A018F7"/>
    <w:rsid w:val="00A0425C"/>
    <w:rsid w:val="00A44DF1"/>
    <w:rsid w:val="00A64C73"/>
    <w:rsid w:val="00A85B18"/>
    <w:rsid w:val="00AA0A46"/>
    <w:rsid w:val="00AA5A85"/>
    <w:rsid w:val="00B312E0"/>
    <w:rsid w:val="00B733B4"/>
    <w:rsid w:val="00B91DE2"/>
    <w:rsid w:val="00C9132B"/>
    <w:rsid w:val="00D42A75"/>
    <w:rsid w:val="00D46D2D"/>
    <w:rsid w:val="00D55CAA"/>
    <w:rsid w:val="00D836B6"/>
    <w:rsid w:val="00DA1D21"/>
    <w:rsid w:val="00DA2944"/>
    <w:rsid w:val="00DF6285"/>
    <w:rsid w:val="00E01ED1"/>
    <w:rsid w:val="00E0425E"/>
    <w:rsid w:val="00E27113"/>
    <w:rsid w:val="00E55F0F"/>
    <w:rsid w:val="00EC477A"/>
    <w:rsid w:val="00EE47A1"/>
    <w:rsid w:val="00F007DC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BC"/>
  <w15:chartTrackingRefBased/>
  <w15:docId w15:val="{A27A06FD-E68D-415F-B89D-965E28D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D21"/>
    <w:rPr>
      <w:b/>
      <w:bCs/>
    </w:rPr>
  </w:style>
  <w:style w:type="table" w:styleId="a5">
    <w:name w:val="Table Grid"/>
    <w:basedOn w:val="a1"/>
    <w:uiPriority w:val="39"/>
    <w:rsid w:val="009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a"/>
    <w:link w:val="a7"/>
    <w:uiPriority w:val="34"/>
    <w:qFormat/>
    <w:rsid w:val="009A21ED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6"/>
    <w:uiPriority w:val="34"/>
    <w:qFormat/>
    <w:locked/>
    <w:rsid w:val="00D5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AE19-D742-4C33-8694-7192587B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cp:lastPrinted>2021-04-16T12:30:00Z</cp:lastPrinted>
  <dcterms:created xsi:type="dcterms:W3CDTF">2021-03-19T12:56:00Z</dcterms:created>
  <dcterms:modified xsi:type="dcterms:W3CDTF">2021-04-16T12:38:00Z</dcterms:modified>
</cp:coreProperties>
</file>