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DF" w:rsidRDefault="004252DF" w:rsidP="004252DF">
      <w:pPr>
        <w:keepNext/>
        <w:spacing w:after="0" w:line="360" w:lineRule="auto"/>
        <w:jc w:val="center"/>
        <w:rPr>
          <w:rFonts w:ascii="GHEA Grapalat" w:eastAsia="Arial" w:hAnsi="GHEA Grapalat" w:cs="Arial"/>
          <w:b/>
          <w:lang w:val="hy-AM"/>
        </w:rPr>
      </w:pPr>
      <w:r>
        <w:rPr>
          <w:rFonts w:ascii="GHEA Grapalat" w:eastAsia="Tahoma" w:hAnsi="GHEA Grapalat" w:cs="Tahoma"/>
          <w:b/>
          <w:lang w:val="hy-AM"/>
        </w:rPr>
        <w:t>ՀԻՄՆԱՎՈՐՈՒՄ</w:t>
      </w:r>
    </w:p>
    <w:p w:rsidR="004252DF" w:rsidRDefault="004252DF" w:rsidP="004252DF">
      <w:pPr>
        <w:keepNext/>
        <w:spacing w:after="0" w:line="240" w:lineRule="auto"/>
        <w:jc w:val="center"/>
        <w:rPr>
          <w:rFonts w:ascii="GHEA Grapalat" w:eastAsia="Arial" w:hAnsi="GHEA Grapalat" w:cs="Arial"/>
          <w:b/>
          <w:lang w:val="hy-AM"/>
        </w:rPr>
      </w:pPr>
      <w:r>
        <w:rPr>
          <w:rFonts w:ascii="GHEA Grapalat" w:eastAsia="Tahoma" w:hAnsi="GHEA Grapalat" w:cs="Tahoma"/>
          <w:b/>
          <w:lang w:val="hy-AM"/>
        </w:rPr>
        <w:t>«ՀԱՅԱՍՏԱՆԻ ՀԱՆՐԱՊԵՏՈՒԹՅԱՆ ՔՐԵԱԿԱՆ ԴԱՏԱՎԱՐՈՒԹՅԱՆ ՕՐԵՆՍԳՐՔՈՒՄ ՓՈՓՈԽՈՒԹՅՈՒՆՆԵՐ ԵՎ ԼՐԱՑՈՒՄՆԵՐ ԿԱՏԱՐԵԼՈՒ ՄԱՍԻՆ» ՕՐԵՆՔԻ ՆԱԽԱԳԾԻ</w:t>
      </w:r>
    </w:p>
    <w:p w:rsidR="004252DF" w:rsidRDefault="004252DF" w:rsidP="004252DF">
      <w:pPr>
        <w:keepNext/>
        <w:spacing w:after="0" w:line="360" w:lineRule="auto"/>
        <w:ind w:firstLine="720"/>
        <w:jc w:val="center"/>
        <w:rPr>
          <w:rFonts w:ascii="GHEA Grapalat" w:eastAsia="Arial" w:hAnsi="GHEA Grapalat" w:cs="Arial"/>
          <w:i/>
          <w:lang w:val="hy-AM"/>
        </w:rPr>
      </w:pPr>
      <w:r>
        <w:rPr>
          <w:rFonts w:ascii="GHEA Grapalat" w:eastAsia="Arial" w:hAnsi="GHEA Grapalat" w:cs="Arial"/>
          <w:i/>
          <w:lang w:val="hy-AM"/>
        </w:rPr>
        <w:t xml:space="preserve"> </w:t>
      </w:r>
    </w:p>
    <w:p w:rsidR="004252DF" w:rsidRDefault="004252DF" w:rsidP="004252DF">
      <w:pPr>
        <w:keepNext/>
        <w:spacing w:after="0" w:line="240" w:lineRule="auto"/>
        <w:ind w:firstLine="720"/>
        <w:jc w:val="both"/>
        <w:rPr>
          <w:rFonts w:ascii="GHEA Grapalat" w:eastAsia="Arial" w:hAnsi="GHEA Grapalat" w:cs="Arial"/>
          <w:b/>
          <w:lang w:val="hy-AM"/>
        </w:rPr>
      </w:pPr>
      <w:r>
        <w:rPr>
          <w:rFonts w:ascii="GHEA Grapalat" w:eastAsia="Tahoma" w:hAnsi="GHEA Grapalat" w:cs="Tahoma"/>
          <w:b/>
          <w:lang w:val="hy-AM"/>
        </w:rPr>
        <w:t>1. Ընթացիկ իրավիճակը և իրավական ակտի ընդունման անհրաժեշտությունը</w:t>
      </w:r>
    </w:p>
    <w:p w:rsidR="004252DF" w:rsidRDefault="004252DF" w:rsidP="004252DF">
      <w:pPr>
        <w:keepNext/>
        <w:spacing w:after="0" w:line="240" w:lineRule="auto"/>
        <w:ind w:firstLine="720"/>
        <w:jc w:val="both"/>
        <w:rPr>
          <w:rFonts w:ascii="GHEA Grapalat" w:eastAsia="Arial" w:hAnsi="GHEA Grapalat" w:cs="Arial"/>
          <w:lang w:val="hy-AM"/>
        </w:rPr>
      </w:pPr>
      <w:r>
        <w:rPr>
          <w:rFonts w:ascii="GHEA Grapalat" w:eastAsia="Tahoma" w:hAnsi="GHEA Grapalat" w:cs="Tahoma"/>
          <w:lang w:val="hy-AM"/>
        </w:rPr>
        <w:t>Քրեական դատավարության օրենսգրքի (այսուհետ՝ Օրենսգիրք) 17-րդ գլխով նախատեսված են անձի ձերբակալման ընթացակարգը, նպատակները, հիմքերը, ձերբակալված անձին պահելու և ազատելու պայմանները։</w:t>
      </w:r>
    </w:p>
    <w:p w:rsidR="004252DF" w:rsidRDefault="004252DF" w:rsidP="004252DF">
      <w:pPr>
        <w:keepNext/>
        <w:spacing w:after="0" w:line="240" w:lineRule="auto"/>
        <w:ind w:firstLine="720"/>
        <w:jc w:val="both"/>
        <w:rPr>
          <w:rFonts w:ascii="GHEA Grapalat" w:eastAsia="Arial" w:hAnsi="GHEA Grapalat" w:cs="Arial"/>
          <w:lang w:val="hy-AM"/>
        </w:rPr>
      </w:pPr>
      <w:proofErr w:type="spellStart"/>
      <w:r>
        <w:rPr>
          <w:rFonts w:ascii="GHEA Grapalat" w:eastAsia="Tahoma" w:hAnsi="GHEA Grapalat" w:cs="Tahoma"/>
          <w:lang w:val="hy-AM"/>
        </w:rPr>
        <w:t>Ձերբակալումն</w:t>
      </w:r>
      <w:proofErr w:type="spellEnd"/>
      <w:r>
        <w:rPr>
          <w:rFonts w:ascii="GHEA Grapalat" w:eastAsia="Tahoma" w:hAnsi="GHEA Grapalat" w:cs="Tahoma"/>
          <w:lang w:val="hy-AM"/>
        </w:rPr>
        <w:t xml:space="preserve"> Օրենսգրքի 128-րդ հոդվածի 1-ին մասում սահմանվում է որպես անձի կողմից հանցագործության կատարումը կամ այն կատարելուց հետո նրա փախուստը կանխելու նպատակով նրան արգելանքի վերցնելը, հետաքննության կամ վարույթ իրականացնող մարմին բերելը, համապատասխան արձանագրություն կազմելը և այդ մասին նրան հայտարարելը՝ օրենքով որոշված վայրերում ու պայմաններում արգելանքի տակ կարճաժամկետ պահելու համար։ Միաժամանակ, Օրենսգրքի 128-րդ հոդվածի 3-րդ մասով սահմանվում են ձերբակալման տեսակները, այն է՝ ձերբակալումը հանցանք կատարելու մեջ անմիջականորեն ծագած կասկածանքի հիման վրա և քրեական հետապնդման մարմնի որոշման հիման վրա:</w:t>
      </w:r>
    </w:p>
    <w:p w:rsidR="004252DF" w:rsidRDefault="004252DF" w:rsidP="004252DF">
      <w:pPr>
        <w:keepNext/>
        <w:spacing w:after="0" w:line="240" w:lineRule="auto"/>
        <w:ind w:firstLine="720"/>
        <w:jc w:val="both"/>
        <w:rPr>
          <w:rFonts w:ascii="GHEA Grapalat" w:eastAsia="Arial" w:hAnsi="GHEA Grapalat" w:cs="Arial"/>
          <w:lang w:val="hy-AM"/>
        </w:rPr>
      </w:pPr>
      <w:r>
        <w:rPr>
          <w:rFonts w:ascii="GHEA Grapalat" w:eastAsia="Tahoma" w:hAnsi="GHEA Grapalat" w:cs="Tahoma"/>
          <w:lang w:val="hy-AM"/>
        </w:rPr>
        <w:t xml:space="preserve">Ձերբակալման հասկացության </w:t>
      </w:r>
      <w:proofErr w:type="spellStart"/>
      <w:r>
        <w:rPr>
          <w:rFonts w:ascii="GHEA Grapalat" w:eastAsia="Tahoma" w:hAnsi="GHEA Grapalat" w:cs="Tahoma"/>
          <w:lang w:val="hy-AM"/>
        </w:rPr>
        <w:t>վերլուծությունից</w:t>
      </w:r>
      <w:proofErr w:type="spellEnd"/>
      <w:r>
        <w:rPr>
          <w:rFonts w:ascii="GHEA Grapalat" w:eastAsia="Tahoma" w:hAnsi="GHEA Grapalat" w:cs="Tahoma"/>
          <w:lang w:val="hy-AM"/>
        </w:rPr>
        <w:t xml:space="preserve"> բխում է, որ գործող Օրենսգրքի համաձայն՝ անձին ձերբակալելու համար բոլոր դեպքերում պահանջվում է </w:t>
      </w:r>
      <w:r>
        <w:rPr>
          <w:rFonts w:ascii="GHEA Grapalat" w:eastAsia="Tahoma" w:hAnsi="GHEA Grapalat" w:cs="Tahoma"/>
          <w:i/>
          <w:lang w:val="hy-AM"/>
        </w:rPr>
        <w:t>հանցագործության կատարումը կամ հանցանք կատարելուց հետո փախուստը կանխելու նպատակի առկայությունը</w:t>
      </w:r>
      <w:r>
        <w:rPr>
          <w:rFonts w:ascii="GHEA Grapalat" w:eastAsia="Tahoma" w:hAnsi="GHEA Grapalat" w:cs="Tahoma"/>
          <w:lang w:val="hy-AM"/>
        </w:rPr>
        <w:t>։</w:t>
      </w:r>
    </w:p>
    <w:p w:rsidR="004252DF" w:rsidRDefault="004252DF" w:rsidP="004252DF">
      <w:pPr>
        <w:keepNext/>
        <w:spacing w:after="0" w:line="240" w:lineRule="auto"/>
        <w:ind w:firstLine="720"/>
        <w:jc w:val="both"/>
        <w:rPr>
          <w:rFonts w:ascii="GHEA Grapalat" w:eastAsia="Arial" w:hAnsi="GHEA Grapalat" w:cs="Arial"/>
          <w:i/>
          <w:lang w:val="hy-AM"/>
        </w:rPr>
      </w:pPr>
      <w:proofErr w:type="spellStart"/>
      <w:r>
        <w:rPr>
          <w:rFonts w:ascii="GHEA Grapalat" w:eastAsia="Tahoma" w:hAnsi="GHEA Grapalat" w:cs="Tahoma"/>
          <w:lang w:val="hy-AM"/>
        </w:rPr>
        <w:t>Վերոգրյալի</w:t>
      </w:r>
      <w:proofErr w:type="spellEnd"/>
      <w:r>
        <w:rPr>
          <w:rFonts w:ascii="GHEA Grapalat" w:eastAsia="Tahoma" w:hAnsi="GHEA Grapalat" w:cs="Tahoma"/>
          <w:lang w:val="hy-AM"/>
        </w:rPr>
        <w:t xml:space="preserve"> հետ մեկտեղ, ՀՀ Սահմանադրության 27-րդ հոդվածով թվարկվում են այն դեպքերը, որոնց առկայության պարագայում անձը կարող է զրկվել անձնական ազատությունից, և, ի թիվս այլնի, սահմանվում է, որ </w:t>
      </w:r>
      <w:r>
        <w:rPr>
          <w:rFonts w:ascii="GHEA Grapalat" w:eastAsia="Tahoma" w:hAnsi="GHEA Grapalat" w:cs="Tahoma"/>
          <w:i/>
          <w:lang w:val="hy-AM"/>
        </w:rPr>
        <w:t>անձը կարող է զրկվել անձնական ազատությունից վերջինիս իրավասու մարմին ներկայացնելու նպատակով, երբ առկա է նրա կողմից հանցանք կատարած լինելու հիմնավոր կասկած, կամ երբ դա հիմնավոր կերպով անհրաժեշտ է հանցանքի կատարումը կամ դա կատարելուց հետո անձի փախուստը կանխելու նպատակով։</w:t>
      </w:r>
    </w:p>
    <w:p w:rsidR="004252DF" w:rsidRDefault="004252DF" w:rsidP="004252DF">
      <w:pPr>
        <w:keepNext/>
        <w:spacing w:after="0" w:line="240" w:lineRule="auto"/>
        <w:ind w:firstLine="720"/>
        <w:jc w:val="both"/>
        <w:rPr>
          <w:rFonts w:ascii="GHEA Grapalat" w:eastAsia="Arial" w:hAnsi="GHEA Grapalat" w:cs="Arial"/>
          <w:lang w:val="hy-AM"/>
        </w:rPr>
      </w:pPr>
      <w:r>
        <w:rPr>
          <w:rFonts w:ascii="GHEA Grapalat" w:eastAsia="Tahoma" w:hAnsi="GHEA Grapalat" w:cs="Tahoma"/>
          <w:lang w:val="hy-AM"/>
        </w:rPr>
        <w:t xml:space="preserve">Հաշվի առնելով, որ նկարագրված հանգամանքները միմյանցից տարանջատված են «կամ» </w:t>
      </w:r>
      <w:proofErr w:type="spellStart"/>
      <w:r>
        <w:rPr>
          <w:rFonts w:ascii="GHEA Grapalat" w:eastAsia="Tahoma" w:hAnsi="GHEA Grapalat" w:cs="Tahoma"/>
          <w:lang w:val="hy-AM"/>
        </w:rPr>
        <w:t>շաղկապով</w:t>
      </w:r>
      <w:proofErr w:type="spellEnd"/>
      <w:r>
        <w:rPr>
          <w:rFonts w:ascii="GHEA Grapalat" w:eastAsia="Tahoma" w:hAnsi="GHEA Grapalat" w:cs="Tahoma"/>
          <w:lang w:val="hy-AM"/>
        </w:rPr>
        <w:t>՝ կարելի է եզրակացնել, որ յուրաքանչյուր հանգամանքն անձին ազատությունից զրկելու ինքնուրույն հիմք է, և վերջիններիս միաժամանակյա առկայությունը պարտադիր չէ։</w:t>
      </w:r>
    </w:p>
    <w:p w:rsidR="004252DF" w:rsidRDefault="004252DF" w:rsidP="004252DF">
      <w:pPr>
        <w:keepNext/>
        <w:spacing w:after="0" w:line="240" w:lineRule="auto"/>
        <w:ind w:firstLine="720"/>
        <w:jc w:val="both"/>
        <w:rPr>
          <w:rFonts w:ascii="GHEA Grapalat" w:eastAsia="Arial" w:hAnsi="GHEA Grapalat" w:cs="Arial"/>
          <w:lang w:val="hy-AM"/>
        </w:rPr>
      </w:pPr>
      <w:r>
        <w:rPr>
          <w:rFonts w:ascii="GHEA Grapalat" w:eastAsia="Tahoma" w:hAnsi="GHEA Grapalat" w:cs="Tahoma"/>
          <w:lang w:val="hy-AM"/>
        </w:rPr>
        <w:t xml:space="preserve">Ասվածը բխում է նաև «Մարդու իրավունքների և հիմնարար ազատությունների պաշտպանության մասին» </w:t>
      </w:r>
      <w:proofErr w:type="spellStart"/>
      <w:r>
        <w:rPr>
          <w:rFonts w:ascii="GHEA Grapalat" w:eastAsia="Tahoma" w:hAnsi="GHEA Grapalat" w:cs="Tahoma"/>
          <w:lang w:val="hy-AM"/>
        </w:rPr>
        <w:t>եվրոպական</w:t>
      </w:r>
      <w:proofErr w:type="spellEnd"/>
      <w:r>
        <w:rPr>
          <w:rFonts w:ascii="GHEA Grapalat" w:eastAsia="Tahoma" w:hAnsi="GHEA Grapalat" w:cs="Tahoma"/>
          <w:lang w:val="hy-AM"/>
        </w:rPr>
        <w:t xml:space="preserve"> կոնվենցիայից (այսուհետ՝ </w:t>
      </w:r>
      <w:proofErr w:type="spellStart"/>
      <w:r>
        <w:rPr>
          <w:rFonts w:ascii="GHEA Grapalat" w:eastAsia="Tahoma" w:hAnsi="GHEA Grapalat" w:cs="Tahoma"/>
          <w:lang w:val="hy-AM"/>
        </w:rPr>
        <w:t>Եվրոպական</w:t>
      </w:r>
      <w:proofErr w:type="spellEnd"/>
      <w:r>
        <w:rPr>
          <w:rFonts w:ascii="GHEA Grapalat" w:eastAsia="Tahoma" w:hAnsi="GHEA Grapalat" w:cs="Tahoma"/>
          <w:lang w:val="hy-AM"/>
        </w:rPr>
        <w:t xml:space="preserve"> կոնվենցիա) և Մարդու իրավունքների </w:t>
      </w:r>
      <w:proofErr w:type="spellStart"/>
      <w:r>
        <w:rPr>
          <w:rFonts w:ascii="GHEA Grapalat" w:eastAsia="Tahoma" w:hAnsi="GHEA Grapalat" w:cs="Tahoma"/>
          <w:lang w:val="hy-AM"/>
        </w:rPr>
        <w:t>եվրոպական</w:t>
      </w:r>
      <w:proofErr w:type="spellEnd"/>
      <w:r>
        <w:rPr>
          <w:rFonts w:ascii="GHEA Grapalat" w:eastAsia="Tahoma" w:hAnsi="GHEA Grapalat" w:cs="Tahoma"/>
          <w:lang w:val="hy-AM"/>
        </w:rPr>
        <w:t xml:space="preserve"> դատարանի (այսուհետ՝ </w:t>
      </w:r>
      <w:proofErr w:type="spellStart"/>
      <w:r>
        <w:rPr>
          <w:rFonts w:ascii="GHEA Grapalat" w:eastAsia="Tahoma" w:hAnsi="GHEA Grapalat" w:cs="Tahoma"/>
          <w:lang w:val="hy-AM"/>
        </w:rPr>
        <w:t>Եվրոպական</w:t>
      </w:r>
      <w:proofErr w:type="spellEnd"/>
      <w:r>
        <w:rPr>
          <w:rFonts w:ascii="GHEA Grapalat" w:eastAsia="Tahoma" w:hAnsi="GHEA Grapalat" w:cs="Tahoma"/>
          <w:lang w:val="hy-AM"/>
        </w:rPr>
        <w:t xml:space="preserve"> դատարան) </w:t>
      </w:r>
      <w:proofErr w:type="spellStart"/>
      <w:r>
        <w:rPr>
          <w:rFonts w:ascii="GHEA Grapalat" w:eastAsia="Tahoma" w:hAnsi="GHEA Grapalat" w:cs="Tahoma"/>
          <w:lang w:val="hy-AM"/>
        </w:rPr>
        <w:t>նախադեպային</w:t>
      </w:r>
      <w:proofErr w:type="spellEnd"/>
      <w:r>
        <w:rPr>
          <w:rFonts w:ascii="GHEA Grapalat" w:eastAsia="Tahoma" w:hAnsi="GHEA Grapalat" w:cs="Tahoma"/>
          <w:lang w:val="hy-AM"/>
        </w:rPr>
        <w:t xml:space="preserve"> իրավունքից։</w:t>
      </w:r>
    </w:p>
    <w:p w:rsidR="004252DF" w:rsidRDefault="004252DF" w:rsidP="004252DF">
      <w:pPr>
        <w:keepNext/>
        <w:spacing w:after="0" w:line="240" w:lineRule="auto"/>
        <w:ind w:firstLine="720"/>
        <w:jc w:val="both"/>
        <w:rPr>
          <w:rFonts w:ascii="GHEA Grapalat" w:eastAsia="Arial" w:hAnsi="GHEA Grapalat" w:cs="Arial"/>
          <w:lang w:val="hy-AM"/>
        </w:rPr>
      </w:pPr>
      <w:r>
        <w:rPr>
          <w:rFonts w:ascii="GHEA Grapalat" w:eastAsia="Tahoma" w:hAnsi="GHEA Grapalat" w:cs="Tahoma"/>
          <w:lang w:val="hy-AM"/>
        </w:rPr>
        <w:t xml:space="preserve">Այսպես, </w:t>
      </w:r>
      <w:proofErr w:type="spellStart"/>
      <w:r>
        <w:rPr>
          <w:rFonts w:ascii="GHEA Grapalat" w:eastAsia="Tahoma" w:hAnsi="GHEA Grapalat" w:cs="Tahoma"/>
          <w:lang w:val="hy-AM"/>
        </w:rPr>
        <w:t>Եվրոպական</w:t>
      </w:r>
      <w:proofErr w:type="spellEnd"/>
      <w:r>
        <w:rPr>
          <w:rFonts w:ascii="GHEA Grapalat" w:eastAsia="Tahoma" w:hAnsi="GHEA Grapalat" w:cs="Tahoma"/>
          <w:lang w:val="hy-AM"/>
        </w:rPr>
        <w:t xml:space="preserve"> կոնվենցիայի 5-րդ հոդվածի համաձայն՝ ոչ </w:t>
      </w:r>
      <w:proofErr w:type="spellStart"/>
      <w:r>
        <w:rPr>
          <w:rFonts w:ascii="GHEA Grapalat" w:eastAsia="Tahoma" w:hAnsi="GHEA Grapalat" w:cs="Tahoma"/>
          <w:lang w:val="hy-AM"/>
        </w:rPr>
        <w:t>ոք</w:t>
      </w:r>
      <w:proofErr w:type="spellEnd"/>
      <w:r>
        <w:rPr>
          <w:rFonts w:ascii="GHEA Grapalat" w:eastAsia="Tahoma" w:hAnsi="GHEA Grapalat" w:cs="Tahoma"/>
          <w:lang w:val="hy-AM"/>
        </w:rPr>
        <w:t xml:space="preserve"> չի կարող զրկվել անձնական ազատությունից բացառությամբ </w:t>
      </w:r>
      <w:proofErr w:type="spellStart"/>
      <w:r>
        <w:rPr>
          <w:rFonts w:ascii="GHEA Grapalat" w:eastAsia="Tahoma" w:hAnsi="GHEA Grapalat" w:cs="Tahoma"/>
          <w:lang w:val="hy-AM"/>
        </w:rPr>
        <w:t>Եվրոպական</w:t>
      </w:r>
      <w:proofErr w:type="spellEnd"/>
      <w:r>
        <w:rPr>
          <w:rFonts w:ascii="GHEA Grapalat" w:eastAsia="Tahoma" w:hAnsi="GHEA Grapalat" w:cs="Tahoma"/>
          <w:lang w:val="hy-AM"/>
        </w:rPr>
        <w:t xml:space="preserve"> կոնվենցիայով սահմանված դեպքերում և օրենքով սահմանված կարգով։ Հոդվածի 1-ին կետի 3-րդ ենթակետի համաձայն՝ անձը կարող է ձերբակալվել կամ կալանավորվել վերջինիս իրավասու մարմին ներկայացնելու նպատակով՝ ա) հանցավոր արարք կատարելու հիմնավոր կասկածի </w:t>
      </w:r>
      <w:r>
        <w:rPr>
          <w:rFonts w:ascii="GHEA Grapalat" w:eastAsia="Tahoma" w:hAnsi="GHEA Grapalat" w:cs="Tahoma"/>
          <w:lang w:val="hy-AM"/>
        </w:rPr>
        <w:lastRenderedPageBreak/>
        <w:t>առկայության դեպքում, կամ բ) երբ դա հիմնավոր կերպով անհրաժեշտ է համարվում անձի կողմից հանցանք կատարելը կամ գ) հանցանք կատարելուց հետո փախուստը կանխելու համար։</w:t>
      </w:r>
    </w:p>
    <w:p w:rsidR="004252DF" w:rsidRDefault="004252DF" w:rsidP="004252DF">
      <w:pPr>
        <w:keepNext/>
        <w:spacing w:after="0" w:line="240" w:lineRule="auto"/>
        <w:ind w:firstLine="720"/>
        <w:jc w:val="both"/>
        <w:rPr>
          <w:rFonts w:ascii="GHEA Grapalat" w:eastAsia="Arial" w:hAnsi="GHEA Grapalat" w:cs="Arial"/>
          <w:lang w:val="hy-AM"/>
        </w:rPr>
      </w:pPr>
      <w:r>
        <w:rPr>
          <w:rFonts w:ascii="GHEA Grapalat" w:eastAsia="Tahoma" w:hAnsi="GHEA Grapalat" w:cs="Tahoma"/>
          <w:lang w:val="hy-AM"/>
        </w:rPr>
        <w:t xml:space="preserve">Մի շարք գործերով </w:t>
      </w:r>
      <w:proofErr w:type="spellStart"/>
      <w:r>
        <w:rPr>
          <w:rFonts w:ascii="GHEA Grapalat" w:eastAsia="Tahoma" w:hAnsi="GHEA Grapalat" w:cs="Tahoma"/>
          <w:lang w:val="hy-AM"/>
        </w:rPr>
        <w:t>Եվրոպական</w:t>
      </w:r>
      <w:proofErr w:type="spellEnd"/>
      <w:r>
        <w:rPr>
          <w:rFonts w:ascii="GHEA Grapalat" w:eastAsia="Tahoma" w:hAnsi="GHEA Grapalat" w:cs="Tahoma"/>
          <w:lang w:val="hy-AM"/>
        </w:rPr>
        <w:t xml:space="preserve"> դատարանը նշել է, որ </w:t>
      </w:r>
      <w:proofErr w:type="spellStart"/>
      <w:r>
        <w:rPr>
          <w:rFonts w:ascii="GHEA Grapalat" w:eastAsia="Tahoma" w:hAnsi="GHEA Grapalat" w:cs="Tahoma"/>
          <w:lang w:val="hy-AM"/>
        </w:rPr>
        <w:t>Եվրոպական</w:t>
      </w:r>
      <w:proofErr w:type="spellEnd"/>
      <w:r>
        <w:rPr>
          <w:rFonts w:ascii="GHEA Grapalat" w:eastAsia="Tahoma" w:hAnsi="GHEA Grapalat" w:cs="Tahoma"/>
          <w:lang w:val="hy-AM"/>
        </w:rPr>
        <w:t xml:space="preserve"> կոնվենցիայի 5-րդ հոդվածի 1-ին կետի 3-րդ ենթակետով ամրագրված հիմքերն անձին ազատությունից զրկելու ինքնուրույն նախապայմաններ են</w:t>
      </w:r>
      <w:r>
        <w:rPr>
          <w:rFonts w:ascii="GHEA Grapalat" w:eastAsia="Tahoma" w:hAnsi="GHEA Grapalat" w:cs="Tahoma"/>
          <w:vertAlign w:val="superscript"/>
          <w:lang w:val="hy-AM"/>
        </w:rPr>
        <w:footnoteReference w:id="1"/>
      </w:r>
      <w:r>
        <w:rPr>
          <w:rFonts w:ascii="GHEA Grapalat" w:eastAsia="Tahoma" w:hAnsi="GHEA Grapalat" w:cs="Tahoma"/>
          <w:lang w:val="hy-AM"/>
        </w:rPr>
        <w:t xml:space="preserve">։ Նման պայմաններում, </w:t>
      </w:r>
      <w:proofErr w:type="spellStart"/>
      <w:r>
        <w:rPr>
          <w:rFonts w:ascii="GHEA Grapalat" w:eastAsia="Tahoma" w:hAnsi="GHEA Grapalat" w:cs="Tahoma"/>
          <w:lang w:val="hy-AM"/>
        </w:rPr>
        <w:t>Եվրոպական</w:t>
      </w:r>
      <w:proofErr w:type="spellEnd"/>
      <w:r>
        <w:rPr>
          <w:rFonts w:ascii="GHEA Grapalat" w:eastAsia="Tahoma" w:hAnsi="GHEA Grapalat" w:cs="Tahoma"/>
          <w:lang w:val="hy-AM"/>
        </w:rPr>
        <w:t xml:space="preserve"> դատարանի </w:t>
      </w:r>
      <w:proofErr w:type="spellStart"/>
      <w:r>
        <w:rPr>
          <w:rFonts w:ascii="GHEA Grapalat" w:eastAsia="Tahoma" w:hAnsi="GHEA Grapalat" w:cs="Tahoma"/>
          <w:lang w:val="hy-AM"/>
        </w:rPr>
        <w:t>նախադեպային</w:t>
      </w:r>
      <w:proofErr w:type="spellEnd"/>
      <w:r>
        <w:rPr>
          <w:rFonts w:ascii="GHEA Grapalat" w:eastAsia="Tahoma" w:hAnsi="GHEA Grapalat" w:cs="Tahoma"/>
          <w:lang w:val="hy-AM"/>
        </w:rPr>
        <w:t xml:space="preserve"> իրավունքի համակողմանի ուսումնասիրությունը ցույց է տալիս, որ ձերբակալման բոլոր տեսակների դեպքում անձի կողմից հանցագործության կատարումը կամ հանցանք կատարելուց հետո նրա փախուստը կանխելու նպատակի առկայությունը պարտադիր չէ։</w:t>
      </w:r>
    </w:p>
    <w:p w:rsidR="004252DF" w:rsidRDefault="004252DF" w:rsidP="004252DF">
      <w:pPr>
        <w:keepNext/>
        <w:spacing w:after="0" w:line="240" w:lineRule="auto"/>
        <w:ind w:firstLine="720"/>
        <w:jc w:val="both"/>
        <w:rPr>
          <w:rFonts w:ascii="GHEA Grapalat" w:eastAsia="Arial" w:hAnsi="GHEA Grapalat" w:cs="Arial"/>
          <w:lang w:val="hy-AM"/>
        </w:rPr>
      </w:pPr>
      <w:proofErr w:type="spellStart"/>
      <w:r>
        <w:rPr>
          <w:rFonts w:ascii="GHEA Grapalat" w:eastAsia="Tahoma" w:hAnsi="GHEA Grapalat" w:cs="Tahoma"/>
          <w:lang w:val="hy-AM"/>
        </w:rPr>
        <w:t>Վերոգրյալի</w:t>
      </w:r>
      <w:proofErr w:type="spellEnd"/>
      <w:r>
        <w:rPr>
          <w:rFonts w:ascii="GHEA Grapalat" w:eastAsia="Tahoma" w:hAnsi="GHEA Grapalat" w:cs="Tahoma"/>
          <w:lang w:val="hy-AM"/>
        </w:rPr>
        <w:t xml:space="preserve"> հետ մեկտեղ, Օրենսգրքի 130-րդ հոդվածով նախատեսված է քրեական հետապնդման մարմնի որոշման հիման վրա անձի ձերբակալման տեսակը, որի համաձայն՝ եթե քրեական գործով հավաքված ապացույցները հիմք են տալիս ենթադրելու, որ անձը կատարել է քրեական օրենքով չթույլատրված արարք, ընդ որում, նա գտնվում է այլ տեղանքում կամ նրա գտնվելու վայրը հայտնի չէ, քրեական հետապնդման մարմինն իրավունք ունի որոշում կայացնել այդ անձին ձերբակալելու մասին:</w:t>
      </w:r>
    </w:p>
    <w:p w:rsidR="004252DF" w:rsidRDefault="004252DF" w:rsidP="004252DF">
      <w:pPr>
        <w:keepNext/>
        <w:spacing w:after="0" w:line="240" w:lineRule="auto"/>
        <w:ind w:firstLine="720"/>
        <w:jc w:val="both"/>
        <w:rPr>
          <w:rFonts w:ascii="GHEA Grapalat" w:eastAsia="Arial" w:hAnsi="GHEA Grapalat" w:cs="Arial"/>
          <w:lang w:val="hy-AM"/>
        </w:rPr>
      </w:pPr>
      <w:r>
        <w:rPr>
          <w:rFonts w:ascii="GHEA Grapalat" w:eastAsia="Tahoma" w:hAnsi="GHEA Grapalat" w:cs="Tahoma"/>
          <w:lang w:val="hy-AM"/>
        </w:rPr>
        <w:t xml:space="preserve">Հարկ է նկատել, որ Օրենսգրքի 130-րդ հոդվածով նախատեսված ձերբակալման տեսակը գործող խմբագրությամբ որոշակի չէ և պարունակում է </w:t>
      </w:r>
      <w:proofErr w:type="spellStart"/>
      <w:r>
        <w:rPr>
          <w:rFonts w:ascii="GHEA Grapalat" w:eastAsia="Tahoma" w:hAnsi="GHEA Grapalat" w:cs="Tahoma"/>
          <w:lang w:val="hy-AM"/>
        </w:rPr>
        <w:t>խնդրահարույց</w:t>
      </w:r>
      <w:proofErr w:type="spellEnd"/>
      <w:r>
        <w:rPr>
          <w:rFonts w:ascii="GHEA Grapalat" w:eastAsia="Tahoma" w:hAnsi="GHEA Grapalat" w:cs="Tahoma"/>
          <w:lang w:val="hy-AM"/>
        </w:rPr>
        <w:t xml:space="preserve"> տարրեր: Այսպես, քրեական օրենքով չթույլատրված արարքի կատարման մասին վկայող ապացույցների համակցության դեպքում, երբ անձի գտնվելու վայրը հայտնի չէ վարույթն իրականացնող մարմնին, քրեադատավարական այլ </w:t>
      </w:r>
      <w:proofErr w:type="spellStart"/>
      <w:r>
        <w:rPr>
          <w:rFonts w:ascii="GHEA Grapalat" w:eastAsia="Tahoma" w:hAnsi="GHEA Grapalat" w:cs="Tahoma"/>
          <w:lang w:val="hy-AM"/>
        </w:rPr>
        <w:t>գործիքակազմի</w:t>
      </w:r>
      <w:proofErr w:type="spellEnd"/>
      <w:r>
        <w:rPr>
          <w:rFonts w:ascii="GHEA Grapalat" w:eastAsia="Tahoma" w:hAnsi="GHEA Grapalat" w:cs="Tahoma"/>
          <w:lang w:val="hy-AM"/>
        </w:rPr>
        <w:t xml:space="preserve"> կիրառմամբ հնարավոր է պարզել այն: Ուստի, անհրաժեշտ է որոշակիացնել ձերբակալման նշված տեսակի կիրառման պայմանները՝ դրանք </w:t>
      </w:r>
      <w:proofErr w:type="spellStart"/>
      <w:r>
        <w:rPr>
          <w:rFonts w:ascii="GHEA Grapalat" w:eastAsia="Tahoma" w:hAnsi="GHEA Grapalat" w:cs="Tahoma"/>
          <w:lang w:val="hy-AM"/>
        </w:rPr>
        <w:t>պայմանավորելով</w:t>
      </w:r>
      <w:proofErr w:type="spellEnd"/>
      <w:r>
        <w:rPr>
          <w:rFonts w:ascii="GHEA Grapalat" w:eastAsia="Tahoma" w:hAnsi="GHEA Grapalat" w:cs="Tahoma"/>
          <w:lang w:val="hy-AM"/>
        </w:rPr>
        <w:t xml:space="preserve"> անձին դատարան ներկայացնելու անհրաժեշտության հետ: Ընդ որում, անձին դատարան ներկայացնելու հետապնդվող նպատակի հաշվառմամբ, նկատի ունենալով ձերբակալման նշված տեսակի խիստ կարճաժամկետ բնույթը, պետք է նաև սահմանել անձի իրավունքների պաշտպանությանն ուղղված հստակ </w:t>
      </w:r>
      <w:proofErr w:type="spellStart"/>
      <w:r>
        <w:rPr>
          <w:rFonts w:ascii="GHEA Grapalat" w:eastAsia="Tahoma" w:hAnsi="GHEA Grapalat" w:cs="Tahoma"/>
          <w:lang w:val="hy-AM"/>
        </w:rPr>
        <w:t>ընթացակարգային</w:t>
      </w:r>
      <w:proofErr w:type="spellEnd"/>
      <w:r>
        <w:rPr>
          <w:rFonts w:ascii="GHEA Grapalat" w:eastAsia="Tahoma" w:hAnsi="GHEA Grapalat" w:cs="Tahoma"/>
          <w:lang w:val="hy-AM"/>
        </w:rPr>
        <w:t xml:space="preserve"> իրավական երաշխիքներ:</w:t>
      </w:r>
    </w:p>
    <w:p w:rsidR="004252DF" w:rsidRDefault="004252DF" w:rsidP="004252DF">
      <w:pPr>
        <w:keepNext/>
        <w:spacing w:after="0" w:line="240" w:lineRule="auto"/>
        <w:ind w:firstLine="720"/>
        <w:jc w:val="both"/>
        <w:rPr>
          <w:rFonts w:ascii="GHEA Grapalat" w:eastAsia="Arial" w:hAnsi="GHEA Grapalat" w:cs="Arial"/>
          <w:lang w:val="hy-AM"/>
        </w:rPr>
      </w:pPr>
      <w:proofErr w:type="spellStart"/>
      <w:r>
        <w:rPr>
          <w:rFonts w:ascii="GHEA Grapalat" w:eastAsia="Tahoma" w:hAnsi="GHEA Grapalat" w:cs="Tahoma"/>
          <w:lang w:val="hy-AM"/>
        </w:rPr>
        <w:t>Միևնույն</w:t>
      </w:r>
      <w:proofErr w:type="spellEnd"/>
      <w:r>
        <w:rPr>
          <w:rFonts w:ascii="GHEA Grapalat" w:eastAsia="Tahoma" w:hAnsi="GHEA Grapalat" w:cs="Tahoma"/>
          <w:lang w:val="hy-AM"/>
        </w:rPr>
        <w:t xml:space="preserve"> ժամանակ, խափանման միջոցի պայմանները խախտած մեղադրյալի ձերբակալման դեպքում </w:t>
      </w:r>
      <w:proofErr w:type="spellStart"/>
      <w:r>
        <w:rPr>
          <w:rFonts w:ascii="GHEA Grapalat" w:eastAsia="Tahoma" w:hAnsi="GHEA Grapalat" w:cs="Tahoma"/>
          <w:lang w:val="hy-AM"/>
        </w:rPr>
        <w:t>ևս</w:t>
      </w:r>
      <w:proofErr w:type="spellEnd"/>
      <w:r>
        <w:rPr>
          <w:rFonts w:ascii="GHEA Grapalat" w:eastAsia="Tahoma" w:hAnsi="GHEA Grapalat" w:cs="Tahoma"/>
          <w:lang w:val="hy-AM"/>
        </w:rPr>
        <w:t xml:space="preserve">, համանման կերպով, հաշվի առնելով անձին դատարան ներկայացնելու նպատակը և դրանով պայմանավորված՝ ձերբակալման նշված տեսակի խիստ կարճաժամկետ բնույթը, պետք է սահմանել անձի իրավունքների պաշտպանությանն ուղղված հստակ </w:t>
      </w:r>
      <w:proofErr w:type="spellStart"/>
      <w:r>
        <w:rPr>
          <w:rFonts w:ascii="GHEA Grapalat" w:eastAsia="Tahoma" w:hAnsi="GHEA Grapalat" w:cs="Tahoma"/>
          <w:lang w:val="hy-AM"/>
        </w:rPr>
        <w:t>ընթացակարգային</w:t>
      </w:r>
      <w:proofErr w:type="spellEnd"/>
      <w:r>
        <w:rPr>
          <w:rFonts w:ascii="GHEA Grapalat" w:eastAsia="Tahoma" w:hAnsi="GHEA Grapalat" w:cs="Tahoma"/>
          <w:lang w:val="hy-AM"/>
        </w:rPr>
        <w:t xml:space="preserve"> իրավական երաշխիքներ:</w:t>
      </w:r>
    </w:p>
    <w:p w:rsidR="004252DF" w:rsidRDefault="004252DF" w:rsidP="004252DF">
      <w:pPr>
        <w:keepNext/>
        <w:spacing w:after="0" w:line="240" w:lineRule="auto"/>
        <w:ind w:firstLine="720"/>
        <w:jc w:val="both"/>
        <w:rPr>
          <w:rFonts w:ascii="GHEA Grapalat" w:eastAsia="Tahoma" w:hAnsi="GHEA Grapalat" w:cs="Tahoma"/>
          <w:b/>
          <w:lang w:val="hy-AM"/>
        </w:rPr>
      </w:pPr>
    </w:p>
    <w:p w:rsidR="004252DF" w:rsidRDefault="004252DF" w:rsidP="004252DF">
      <w:pPr>
        <w:keepNext/>
        <w:spacing w:after="0" w:line="240" w:lineRule="auto"/>
        <w:ind w:firstLine="720"/>
        <w:jc w:val="both"/>
        <w:rPr>
          <w:rFonts w:ascii="GHEA Grapalat" w:eastAsia="Arial" w:hAnsi="GHEA Grapalat" w:cs="Arial"/>
          <w:lang w:val="hy-AM"/>
        </w:rPr>
      </w:pPr>
      <w:r>
        <w:rPr>
          <w:rFonts w:ascii="GHEA Grapalat" w:eastAsia="Tahoma" w:hAnsi="GHEA Grapalat" w:cs="Tahoma"/>
          <w:b/>
          <w:lang w:val="hy-AM"/>
        </w:rPr>
        <w:t>2. Առաջարկվող կարգավորման բնույթը</w:t>
      </w:r>
    </w:p>
    <w:p w:rsidR="004252DF" w:rsidRDefault="004252DF" w:rsidP="004252DF">
      <w:pPr>
        <w:keepNext/>
        <w:spacing w:after="0" w:line="240" w:lineRule="auto"/>
        <w:ind w:firstLine="720"/>
        <w:jc w:val="both"/>
        <w:rPr>
          <w:rFonts w:ascii="GHEA Grapalat" w:eastAsia="Arial" w:hAnsi="GHEA Grapalat" w:cs="Arial"/>
          <w:lang w:val="hy-AM"/>
        </w:rPr>
      </w:pPr>
      <w:r>
        <w:rPr>
          <w:rFonts w:ascii="GHEA Grapalat" w:eastAsia="Tahoma" w:hAnsi="GHEA Grapalat" w:cs="Tahoma"/>
          <w:lang w:val="hy-AM"/>
        </w:rPr>
        <w:t>Նախագծով առաջարկվում է.</w:t>
      </w:r>
    </w:p>
    <w:p w:rsidR="004252DF" w:rsidRDefault="004252DF" w:rsidP="004252DF">
      <w:pPr>
        <w:keepNext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GHEA Grapalat" w:eastAsia="Arial" w:hAnsi="GHEA Grapalat" w:cs="Arial"/>
          <w:lang w:val="hy-AM"/>
        </w:rPr>
      </w:pPr>
      <w:r>
        <w:rPr>
          <w:rFonts w:ascii="GHEA Grapalat" w:eastAsia="Tahoma" w:hAnsi="GHEA Grapalat" w:cs="Tahoma"/>
          <w:lang w:val="hy-AM"/>
        </w:rPr>
        <w:t>Ձերբակալման հասկացությունը սահմանող 128-րդ հոդվածի 1-ին մասում հրաժարվել ձերբակալման նպատակներից,</w:t>
      </w:r>
    </w:p>
    <w:p w:rsidR="004252DF" w:rsidRDefault="004252DF" w:rsidP="004252DF">
      <w:pPr>
        <w:keepNext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GHEA Grapalat" w:eastAsia="Arial" w:hAnsi="GHEA Grapalat" w:cs="Arial"/>
          <w:lang w:val="hy-AM"/>
        </w:rPr>
      </w:pPr>
      <w:r>
        <w:rPr>
          <w:rFonts w:ascii="GHEA Grapalat" w:eastAsia="Tahoma" w:hAnsi="GHEA Grapalat" w:cs="Tahoma"/>
          <w:lang w:val="hy-AM"/>
        </w:rPr>
        <w:t xml:space="preserve">Վերաշարադրել 130-րդ հոդվածով սահմանված ձերբակալման տեսակը՝ ամրագրելով այն որպես ազատության մեջ գտնվող մեղադրյալին դատարան  ներկայացնելու համար ձերբակալում: Հաշվի առնելով ձերբակալման այս տեսակին բնորոշ </w:t>
      </w:r>
      <w:r>
        <w:rPr>
          <w:rFonts w:ascii="GHEA Grapalat" w:eastAsia="Tahoma" w:hAnsi="GHEA Grapalat" w:cs="Tahoma"/>
          <w:lang w:val="hy-AM"/>
        </w:rPr>
        <w:lastRenderedPageBreak/>
        <w:t xml:space="preserve">առանձնահատկությունները, ի թիվս </w:t>
      </w:r>
      <w:proofErr w:type="spellStart"/>
      <w:r>
        <w:rPr>
          <w:rFonts w:ascii="GHEA Grapalat" w:eastAsia="Tahoma" w:hAnsi="GHEA Grapalat" w:cs="Tahoma"/>
          <w:lang w:val="hy-AM"/>
        </w:rPr>
        <w:t>ընթացակարգային</w:t>
      </w:r>
      <w:proofErr w:type="spellEnd"/>
      <w:r>
        <w:rPr>
          <w:rFonts w:ascii="GHEA Grapalat" w:eastAsia="Tahoma" w:hAnsi="GHEA Grapalat" w:cs="Tahoma"/>
          <w:lang w:val="hy-AM"/>
        </w:rPr>
        <w:t xml:space="preserve"> այլ պահանջների, առաջարկվում է նաև սահմանել, որ սույն հիմքով իրականացված ձերբակալումը չի կարող </w:t>
      </w:r>
      <w:proofErr w:type="spellStart"/>
      <w:r>
        <w:rPr>
          <w:rFonts w:ascii="GHEA Grapalat" w:eastAsia="Tahoma" w:hAnsi="GHEA Grapalat" w:cs="Tahoma"/>
          <w:lang w:val="hy-AM"/>
        </w:rPr>
        <w:t>տևել</w:t>
      </w:r>
      <w:proofErr w:type="spellEnd"/>
      <w:r>
        <w:rPr>
          <w:rFonts w:ascii="GHEA Grapalat" w:eastAsia="Tahoma" w:hAnsi="GHEA Grapalat" w:cs="Tahoma"/>
          <w:lang w:val="hy-AM"/>
        </w:rPr>
        <w:t xml:space="preserve"> 24 ժամից ավելի,  </w:t>
      </w:r>
    </w:p>
    <w:p w:rsidR="004252DF" w:rsidRDefault="004252DF" w:rsidP="004252DF">
      <w:pPr>
        <w:keepNext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GHEA Grapalat" w:eastAsia="Arial" w:hAnsi="GHEA Grapalat" w:cs="Arial"/>
          <w:lang w:val="hy-AM"/>
        </w:rPr>
      </w:pPr>
      <w:r>
        <w:rPr>
          <w:rFonts w:ascii="GHEA Grapalat" w:eastAsia="Tahoma" w:hAnsi="GHEA Grapalat" w:cs="Tahoma"/>
          <w:lang w:val="hy-AM"/>
        </w:rPr>
        <w:t xml:space="preserve">Վերաշարադրել Օրենսգրքի 131-րդ հոդվածը՝ հստակեցնելով խափանման միջոցի պայմանները խախտած մեղադրյալի ձերբակալման կարգը: Միաժամանակ, ձերբակալման այս տեսակի դեպքում </w:t>
      </w:r>
      <w:proofErr w:type="spellStart"/>
      <w:r>
        <w:rPr>
          <w:rFonts w:ascii="GHEA Grapalat" w:eastAsia="Tahoma" w:hAnsi="GHEA Grapalat" w:cs="Tahoma"/>
          <w:lang w:val="hy-AM"/>
        </w:rPr>
        <w:t>ևս</w:t>
      </w:r>
      <w:proofErr w:type="spellEnd"/>
      <w:r>
        <w:rPr>
          <w:rFonts w:ascii="GHEA Grapalat" w:eastAsia="Tahoma" w:hAnsi="GHEA Grapalat" w:cs="Tahoma"/>
          <w:lang w:val="hy-AM"/>
        </w:rPr>
        <w:t xml:space="preserve">, հաշվի առնելով բնորոշ առանձնահատկությունները, ի թիվս </w:t>
      </w:r>
      <w:proofErr w:type="spellStart"/>
      <w:r>
        <w:rPr>
          <w:rFonts w:ascii="GHEA Grapalat" w:eastAsia="Tahoma" w:hAnsi="GHEA Grapalat" w:cs="Tahoma"/>
          <w:lang w:val="hy-AM"/>
        </w:rPr>
        <w:t>ընթացակարգային</w:t>
      </w:r>
      <w:proofErr w:type="spellEnd"/>
      <w:r>
        <w:rPr>
          <w:rFonts w:ascii="GHEA Grapalat" w:eastAsia="Tahoma" w:hAnsi="GHEA Grapalat" w:cs="Tahoma"/>
          <w:lang w:val="hy-AM"/>
        </w:rPr>
        <w:t xml:space="preserve"> այլ պահանջների, առաջարկվում է սահմանել, որ սույն հիմքով իրականացված ձերբակալումը չի կարող </w:t>
      </w:r>
      <w:proofErr w:type="spellStart"/>
      <w:r>
        <w:rPr>
          <w:rFonts w:ascii="GHEA Grapalat" w:eastAsia="Tahoma" w:hAnsi="GHEA Grapalat" w:cs="Tahoma"/>
          <w:lang w:val="hy-AM"/>
        </w:rPr>
        <w:t>տևել</w:t>
      </w:r>
      <w:proofErr w:type="spellEnd"/>
      <w:r>
        <w:rPr>
          <w:rFonts w:ascii="GHEA Grapalat" w:eastAsia="Tahoma" w:hAnsi="GHEA Grapalat" w:cs="Tahoma"/>
          <w:lang w:val="hy-AM"/>
        </w:rPr>
        <w:t xml:space="preserve"> 24 ժամից ավելի:</w:t>
      </w:r>
    </w:p>
    <w:p w:rsidR="004252DF" w:rsidRDefault="004252DF" w:rsidP="004252DF">
      <w:pPr>
        <w:keepNext/>
        <w:spacing w:after="0" w:line="240" w:lineRule="auto"/>
        <w:jc w:val="both"/>
        <w:rPr>
          <w:rFonts w:ascii="GHEA Grapalat" w:eastAsia="Arial" w:hAnsi="GHEA Grapalat" w:cs="Arial"/>
          <w:lang w:val="hy-AM"/>
        </w:rPr>
      </w:pPr>
    </w:p>
    <w:p w:rsidR="004252DF" w:rsidRDefault="004252DF" w:rsidP="004252DF">
      <w:pPr>
        <w:keepNext/>
        <w:spacing w:after="0" w:line="240" w:lineRule="auto"/>
        <w:ind w:firstLine="708"/>
        <w:jc w:val="both"/>
        <w:rPr>
          <w:rFonts w:ascii="GHEA Grapalat" w:eastAsia="Arial" w:hAnsi="GHEA Grapalat" w:cs="Arial"/>
          <w:b/>
          <w:lang w:val="hy-AM"/>
        </w:rPr>
      </w:pPr>
      <w:r>
        <w:rPr>
          <w:rFonts w:ascii="GHEA Grapalat" w:eastAsia="Tahoma" w:hAnsi="GHEA Grapalat" w:cs="Tahoma"/>
          <w:b/>
          <w:lang w:val="hy-AM"/>
        </w:rPr>
        <w:t>3.  Ակնկալվող արդյունքը</w:t>
      </w:r>
    </w:p>
    <w:p w:rsidR="004252DF" w:rsidRPr="004252DF" w:rsidRDefault="004252DF" w:rsidP="004252DF">
      <w:pPr>
        <w:spacing w:after="0" w:line="240" w:lineRule="auto"/>
        <w:rPr>
          <w:rFonts w:ascii="Times New Roman" w:hAnsi="Times New Roman"/>
          <w:sz w:val="24"/>
          <w:szCs w:val="24"/>
          <w:lang w:val="hy-AM"/>
        </w:rPr>
      </w:pPr>
      <w:r>
        <w:rPr>
          <w:rFonts w:ascii="GHEA Grapalat" w:eastAsia="Tahoma" w:hAnsi="GHEA Grapalat" w:cs="Tahoma"/>
          <w:lang w:val="hy-AM"/>
        </w:rPr>
        <w:t xml:space="preserve">Նախագծի </w:t>
      </w:r>
      <w:proofErr w:type="spellStart"/>
      <w:r>
        <w:rPr>
          <w:rFonts w:ascii="GHEA Grapalat" w:eastAsia="Tahoma" w:hAnsi="GHEA Grapalat" w:cs="Tahoma"/>
          <w:lang w:val="hy-AM"/>
        </w:rPr>
        <w:t>ընդունմամբ</w:t>
      </w:r>
      <w:proofErr w:type="spellEnd"/>
      <w:r>
        <w:rPr>
          <w:rFonts w:ascii="GHEA Grapalat" w:eastAsia="Tahoma" w:hAnsi="GHEA Grapalat" w:cs="Tahoma"/>
          <w:lang w:val="hy-AM"/>
        </w:rPr>
        <w:t xml:space="preserve"> Օրենսգրքի 17-րդ գլխով նախատեսված ձերբակալման կարգը և տեսակները </w:t>
      </w:r>
      <w:proofErr w:type="spellStart"/>
      <w:r>
        <w:rPr>
          <w:rFonts w:ascii="GHEA Grapalat" w:eastAsia="Tahoma" w:hAnsi="GHEA Grapalat" w:cs="Tahoma"/>
          <w:lang w:val="hy-AM"/>
        </w:rPr>
        <w:t>կհամապատասխանեցվեն</w:t>
      </w:r>
      <w:proofErr w:type="spellEnd"/>
      <w:r>
        <w:rPr>
          <w:rFonts w:ascii="GHEA Grapalat" w:eastAsia="Tahoma" w:hAnsi="GHEA Grapalat" w:cs="Tahoma"/>
          <w:lang w:val="hy-AM"/>
        </w:rPr>
        <w:t xml:space="preserve"> ՀՀ Սահմանադրության 27-րդ և </w:t>
      </w:r>
      <w:proofErr w:type="spellStart"/>
      <w:r>
        <w:rPr>
          <w:rFonts w:ascii="GHEA Grapalat" w:eastAsia="Tahoma" w:hAnsi="GHEA Grapalat" w:cs="Tahoma"/>
          <w:lang w:val="hy-AM"/>
        </w:rPr>
        <w:t>Եվրոպական</w:t>
      </w:r>
      <w:proofErr w:type="spellEnd"/>
      <w:r>
        <w:rPr>
          <w:rFonts w:ascii="GHEA Grapalat" w:eastAsia="Tahoma" w:hAnsi="GHEA Grapalat" w:cs="Tahoma"/>
          <w:lang w:val="hy-AM"/>
        </w:rPr>
        <w:t xml:space="preserve"> կոնվենցիայի 5-րդ հոդվածներով, </w:t>
      </w:r>
      <w:proofErr w:type="spellStart"/>
      <w:r>
        <w:rPr>
          <w:rFonts w:ascii="GHEA Grapalat" w:eastAsia="Tahoma" w:hAnsi="GHEA Grapalat" w:cs="Tahoma"/>
          <w:lang w:val="hy-AM"/>
        </w:rPr>
        <w:t>Եվրոպական</w:t>
      </w:r>
      <w:proofErr w:type="spellEnd"/>
      <w:r>
        <w:rPr>
          <w:rFonts w:ascii="GHEA Grapalat" w:eastAsia="Tahoma" w:hAnsi="GHEA Grapalat" w:cs="Tahoma"/>
          <w:lang w:val="hy-AM"/>
        </w:rPr>
        <w:t xml:space="preserve"> դատարանի </w:t>
      </w:r>
      <w:proofErr w:type="spellStart"/>
      <w:r>
        <w:rPr>
          <w:rFonts w:ascii="GHEA Grapalat" w:eastAsia="Tahoma" w:hAnsi="GHEA Grapalat" w:cs="Tahoma"/>
          <w:lang w:val="hy-AM"/>
        </w:rPr>
        <w:t>նախադեպային</w:t>
      </w:r>
      <w:proofErr w:type="spellEnd"/>
      <w:r>
        <w:rPr>
          <w:rFonts w:ascii="GHEA Grapalat" w:eastAsia="Tahoma" w:hAnsi="GHEA Grapalat" w:cs="Tahoma"/>
          <w:lang w:val="hy-AM"/>
        </w:rPr>
        <w:t xml:space="preserve"> իրավունքով սահմանված պահանջներին: </w:t>
      </w:r>
      <w:proofErr w:type="spellStart"/>
      <w:r>
        <w:rPr>
          <w:rFonts w:ascii="GHEA Grapalat" w:eastAsia="Tahoma" w:hAnsi="GHEA Grapalat" w:cs="Tahoma"/>
          <w:lang w:val="hy-AM"/>
        </w:rPr>
        <w:t>Միևնույն</w:t>
      </w:r>
      <w:proofErr w:type="spellEnd"/>
      <w:r>
        <w:rPr>
          <w:rFonts w:ascii="GHEA Grapalat" w:eastAsia="Tahoma" w:hAnsi="GHEA Grapalat" w:cs="Tahoma"/>
          <w:lang w:val="hy-AM"/>
        </w:rPr>
        <w:t xml:space="preserve"> ժամանակ, անձին ձերբակալելիս կսահմանվեն անձի իրավունքների պաշտպանությանն ուղղված հստակ </w:t>
      </w:r>
      <w:proofErr w:type="spellStart"/>
      <w:r>
        <w:rPr>
          <w:rFonts w:ascii="GHEA Grapalat" w:eastAsia="Tahoma" w:hAnsi="GHEA Grapalat" w:cs="Tahoma"/>
          <w:lang w:val="hy-AM"/>
        </w:rPr>
        <w:t>ընթացակարգային</w:t>
      </w:r>
      <w:proofErr w:type="spellEnd"/>
      <w:r>
        <w:rPr>
          <w:rFonts w:ascii="GHEA Grapalat" w:eastAsia="Tahoma" w:hAnsi="GHEA Grapalat" w:cs="Tahoma"/>
          <w:lang w:val="hy-AM"/>
        </w:rPr>
        <w:t xml:space="preserve"> </w:t>
      </w:r>
      <w:proofErr w:type="spellStart"/>
      <w:r>
        <w:rPr>
          <w:rFonts w:ascii="GHEA Grapalat" w:eastAsia="Tahoma" w:hAnsi="GHEA Grapalat" w:cs="Tahoma"/>
          <w:lang w:val="hy-AM"/>
        </w:rPr>
        <w:t>կարգավորումներ</w:t>
      </w:r>
      <w:proofErr w:type="spellEnd"/>
      <w:r>
        <w:rPr>
          <w:rFonts w:ascii="GHEA Grapalat" w:eastAsia="Tahoma" w:hAnsi="GHEA Grapalat" w:cs="Tahoma"/>
          <w:lang w:val="hy-AM"/>
        </w:rPr>
        <w:t xml:space="preserve"> և </w:t>
      </w:r>
      <w:proofErr w:type="spellStart"/>
      <w:r>
        <w:rPr>
          <w:rFonts w:ascii="GHEA Grapalat" w:eastAsia="Tahoma" w:hAnsi="GHEA Grapalat" w:cs="Tahoma"/>
          <w:lang w:val="hy-AM"/>
        </w:rPr>
        <w:t>կամրապնդվեն</w:t>
      </w:r>
      <w:proofErr w:type="spellEnd"/>
      <w:r>
        <w:rPr>
          <w:rFonts w:ascii="GHEA Grapalat" w:eastAsia="Tahoma" w:hAnsi="GHEA Grapalat" w:cs="Tahoma"/>
          <w:lang w:val="hy-AM"/>
        </w:rPr>
        <w:t xml:space="preserve"> անձի ազատության իրավունքի պաշտպանության երաշխիքները:</w:t>
      </w:r>
      <w:r w:rsidRPr="004252DF">
        <w:rPr>
          <w:rFonts w:ascii="Times New Roman" w:hAnsi="Times New Roman"/>
          <w:sz w:val="24"/>
          <w:szCs w:val="24"/>
          <w:lang w:val="hy-AM"/>
        </w:rPr>
        <w:t xml:space="preserve"> </w:t>
      </w:r>
    </w:p>
    <w:p w:rsidR="00247F93" w:rsidRPr="004252DF" w:rsidRDefault="00247F93">
      <w:pPr>
        <w:rPr>
          <w:lang w:val="hy-AM"/>
        </w:rPr>
      </w:pPr>
      <w:bookmarkStart w:id="0" w:name="_GoBack"/>
      <w:bookmarkEnd w:id="0"/>
    </w:p>
    <w:sectPr w:rsidR="00247F93" w:rsidRPr="00425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933" w:rsidRDefault="00612933" w:rsidP="004252DF">
      <w:pPr>
        <w:spacing w:after="0" w:line="240" w:lineRule="auto"/>
      </w:pPr>
      <w:r>
        <w:separator/>
      </w:r>
    </w:p>
  </w:endnote>
  <w:endnote w:type="continuationSeparator" w:id="0">
    <w:p w:rsidR="00612933" w:rsidRDefault="00612933" w:rsidP="0042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933" w:rsidRDefault="00612933" w:rsidP="004252DF">
      <w:pPr>
        <w:spacing w:after="0" w:line="240" w:lineRule="auto"/>
      </w:pPr>
      <w:r>
        <w:separator/>
      </w:r>
    </w:p>
  </w:footnote>
  <w:footnote w:type="continuationSeparator" w:id="0">
    <w:p w:rsidR="00612933" w:rsidRDefault="00612933" w:rsidP="004252DF">
      <w:pPr>
        <w:spacing w:after="0" w:line="240" w:lineRule="auto"/>
      </w:pPr>
      <w:r>
        <w:continuationSeparator/>
      </w:r>
    </w:p>
  </w:footnote>
  <w:footnote w:id="1">
    <w:p w:rsidR="004252DF" w:rsidRDefault="004252DF" w:rsidP="004252DF">
      <w:pPr>
        <w:pStyle w:val="FootnoteText"/>
        <w:rPr>
          <w:lang w:val="hy-AM"/>
        </w:rPr>
      </w:pPr>
      <w:r>
        <w:rPr>
          <w:rStyle w:val="FootnoteReference"/>
          <w:lang w:val="hy-AM"/>
        </w:rPr>
        <w:footnoteRef/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Ս</w:t>
      </w:r>
      <w:r>
        <w:rPr>
          <w:lang w:val="hy-AM"/>
        </w:rPr>
        <w:t>-</w:t>
      </w:r>
      <w:r>
        <w:rPr>
          <w:rFonts w:ascii="Sylfaen" w:hAnsi="Sylfaen" w:cs="Sylfaen"/>
          <w:lang w:val="hy-AM"/>
        </w:rPr>
        <w:t>ն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Վ</w:t>
      </w:r>
      <w:r>
        <w:rPr>
          <w:lang w:val="hy-AM"/>
        </w:rPr>
        <w:t>-</w:t>
      </w:r>
      <w:r>
        <w:rPr>
          <w:rFonts w:ascii="Sylfaen" w:hAnsi="Sylfaen" w:cs="Sylfaen"/>
          <w:lang w:val="hy-AM"/>
        </w:rPr>
        <w:t>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</w:t>
      </w:r>
      <w:r>
        <w:rPr>
          <w:lang w:val="hy-AM"/>
        </w:rPr>
        <w:t>-</w:t>
      </w:r>
      <w:r>
        <w:rPr>
          <w:rFonts w:ascii="Sylfaen" w:hAnsi="Sylfaen" w:cs="Sylfaen"/>
          <w:lang w:val="hy-AM"/>
        </w:rPr>
        <w:t>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ընդդեմ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Դանիայի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դիմումներ</w:t>
      </w:r>
      <w:r>
        <w:rPr>
          <w:lang w:val="hy-AM"/>
        </w:rPr>
        <w:t xml:space="preserve"> </w:t>
      </w:r>
      <w:proofErr w:type="spellStart"/>
      <w:r>
        <w:rPr>
          <w:lang w:val="hy-AM"/>
        </w:rPr>
        <w:t>no</w:t>
      </w:r>
      <w:proofErr w:type="spellEnd"/>
      <w:r>
        <w:rPr>
          <w:lang w:val="hy-AM"/>
        </w:rPr>
        <w:t xml:space="preserve">. 35553/12, 36678/12, 36711/12, 2018 </w:t>
      </w:r>
      <w:r>
        <w:rPr>
          <w:rFonts w:ascii="Sylfaen" w:hAnsi="Sylfaen" w:cs="Sylfaen"/>
          <w:lang w:val="hy-AM"/>
        </w:rPr>
        <w:t>թվականի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հոկտեմբերի</w:t>
      </w:r>
      <w:r>
        <w:rPr>
          <w:lang w:val="hy-AM"/>
        </w:rPr>
        <w:t xml:space="preserve"> 22, § 114, </w:t>
      </w:r>
      <w:proofErr w:type="spellStart"/>
      <w:r>
        <w:rPr>
          <w:rFonts w:ascii="Sylfaen" w:hAnsi="Sylfaen" w:cs="Sylfaen"/>
          <w:lang w:val="hy-AM"/>
        </w:rPr>
        <w:t>Լոուլեսսն</w:t>
      </w:r>
      <w:proofErr w:type="spellEnd"/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ընդդեմ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Իռլանդիայի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դիմում</w:t>
      </w:r>
      <w:r>
        <w:rPr>
          <w:lang w:val="hy-AM"/>
        </w:rPr>
        <w:t xml:space="preserve"> </w:t>
      </w:r>
      <w:proofErr w:type="spellStart"/>
      <w:r>
        <w:rPr>
          <w:lang w:val="hy-AM"/>
        </w:rPr>
        <w:t>no</w:t>
      </w:r>
      <w:proofErr w:type="spellEnd"/>
      <w:r>
        <w:rPr>
          <w:lang w:val="hy-AM"/>
        </w:rPr>
        <w:t xml:space="preserve">. 332/57, 1961 </w:t>
      </w:r>
      <w:r>
        <w:rPr>
          <w:rFonts w:ascii="Sylfaen" w:hAnsi="Sylfaen" w:cs="Sylfaen"/>
          <w:lang w:val="hy-AM"/>
        </w:rPr>
        <w:t>թվականի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հուլիսի</w:t>
      </w:r>
      <w:r>
        <w:rPr>
          <w:lang w:val="hy-AM"/>
        </w:rPr>
        <w:t xml:space="preserve"> 1, § 14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670CC"/>
    <w:multiLevelType w:val="multilevel"/>
    <w:tmpl w:val="48929FDE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B9"/>
    <w:rsid w:val="00247F93"/>
    <w:rsid w:val="004252DF"/>
    <w:rsid w:val="00612933"/>
    <w:rsid w:val="008D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6B310-040A-4676-AAF0-49207462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2DF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252D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52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5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Zohrab Daveyan</dc:creator>
  <cp:keywords/>
  <dc:description/>
  <cp:lastModifiedBy>Zohrab Daveyan</cp:lastModifiedBy>
  <cp:revision>2</cp:revision>
  <dcterms:created xsi:type="dcterms:W3CDTF">2021-04-22T13:34:00Z</dcterms:created>
  <dcterms:modified xsi:type="dcterms:W3CDTF">2021-04-22T13:34:00Z</dcterms:modified>
</cp:coreProperties>
</file>