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315" w:rsidRPr="00EB43E2" w:rsidRDefault="00B74455">
      <w:pPr>
        <w:pStyle w:val="normal0"/>
        <w:shd w:val="clear" w:color="auto" w:fill="FFFFFF"/>
        <w:ind w:firstLine="380"/>
        <w:jc w:val="center"/>
        <w:rPr>
          <w:rFonts w:ascii="GHEA Grapalat" w:hAnsi="GHEA Grapalat"/>
          <w:b/>
          <w:sz w:val="24"/>
          <w:szCs w:val="24"/>
        </w:rPr>
      </w:pPr>
      <w:r w:rsidRPr="00EB43E2">
        <w:rPr>
          <w:rFonts w:ascii="GHEA Grapalat" w:eastAsia="Tahoma" w:hAnsi="GHEA Grapalat" w:cs="Tahoma"/>
          <w:b/>
          <w:sz w:val="24"/>
          <w:szCs w:val="24"/>
        </w:rPr>
        <w:t>ԱՄՓՈՓԱԹԵՐԹ</w:t>
      </w:r>
    </w:p>
    <w:p w:rsidR="00EB1315" w:rsidRPr="00EB43E2" w:rsidRDefault="00B74455">
      <w:pPr>
        <w:pStyle w:val="normal0"/>
        <w:shd w:val="clear" w:color="auto" w:fill="FFFFFF"/>
        <w:ind w:firstLine="380"/>
        <w:jc w:val="center"/>
        <w:rPr>
          <w:rFonts w:ascii="GHEA Grapalat" w:hAnsi="GHEA Grapalat"/>
          <w:sz w:val="21"/>
          <w:szCs w:val="21"/>
        </w:rPr>
      </w:pPr>
      <w:r w:rsidRPr="00EB43E2">
        <w:rPr>
          <w:rFonts w:ascii="GHEA Grapalat" w:hAnsi="GHEA Grapalat"/>
          <w:sz w:val="21"/>
          <w:szCs w:val="21"/>
        </w:rPr>
        <w:t xml:space="preserve">  </w:t>
      </w:r>
    </w:p>
    <w:p w:rsidR="00EB1315" w:rsidRPr="00EB43E2" w:rsidRDefault="00B74455">
      <w:pPr>
        <w:pStyle w:val="normal0"/>
        <w:shd w:val="clear" w:color="auto" w:fill="FFFFFF"/>
        <w:ind w:firstLine="380"/>
        <w:jc w:val="center"/>
        <w:rPr>
          <w:rFonts w:ascii="GHEA Grapalat" w:hAnsi="GHEA Grapalat"/>
          <w:b/>
          <w:sz w:val="24"/>
          <w:szCs w:val="24"/>
        </w:rPr>
      </w:pPr>
      <w:r w:rsidRPr="00EB43E2">
        <w:rPr>
          <w:rFonts w:ascii="GHEA Grapalat" w:hAnsi="GHEA Grapalat"/>
          <w:sz w:val="24"/>
          <w:szCs w:val="24"/>
        </w:rPr>
        <w:t>«</w:t>
      </w:r>
      <w:r w:rsidRPr="00EB43E2">
        <w:rPr>
          <w:rFonts w:ascii="GHEA Grapalat" w:eastAsia="Tahoma" w:hAnsi="GHEA Grapalat" w:cs="Tahoma"/>
          <w:b/>
          <w:sz w:val="24"/>
          <w:szCs w:val="24"/>
          <w:highlight w:val="white"/>
        </w:rPr>
        <w:t xml:space="preserve">ԺԱՄԿԵՏԱՅԻՆ ԶԻՆՎՈՐԱԿԱՆ ԿԱՄ ԱՅԼԸՆՏՐԱՆՔԱՅԻՆ ԾԱՌԱՅՈՒԹՅԱՆ ՀԵՐԹԱԿԱՆ ԶՈՐԱԿՈՉԻՑ, ՎԱՐԺԱԿԱՆ ՀԱՎԱՔԻՑ ԿԱՄ ԶՈՐԱՀԱՎԱՔԱՅԻՆ ԶՈՐԱԿՈՉԻՑ ԽՈՒՍԱՓԱԾ ԱՆՁԱՆՑ ՆԿԱՏՄԱՄԲ </w:t>
      </w:r>
      <w:r w:rsidRPr="00EB43E2">
        <w:rPr>
          <w:rFonts w:ascii="GHEA Grapalat" w:eastAsia="Tahoma" w:hAnsi="GHEA Grapalat" w:cs="Tahoma"/>
          <w:b/>
          <w:sz w:val="24"/>
          <w:szCs w:val="24"/>
        </w:rPr>
        <w:t>ՀԱՄԱՆԵՐՈՒՄ ՀԱՅՏԱՐԱՐԵԼՈՒ ՄԱՍԻՆ</w:t>
      </w:r>
      <w:r w:rsidRPr="00EB43E2">
        <w:rPr>
          <w:rFonts w:ascii="GHEA Grapalat" w:hAnsi="GHEA Grapalat"/>
          <w:sz w:val="24"/>
          <w:szCs w:val="24"/>
        </w:rPr>
        <w:t>»</w:t>
      </w:r>
      <w:r w:rsidRPr="00EB43E2">
        <w:rPr>
          <w:rFonts w:ascii="GHEA Grapalat" w:eastAsia="Tahoma" w:hAnsi="GHEA Grapalat" w:cs="Tahoma"/>
          <w:b/>
          <w:sz w:val="24"/>
          <w:szCs w:val="24"/>
        </w:rPr>
        <w:t xml:space="preserve"> ՕՐԵՆՔԻ ՆԱԽԱԳԾԻ</w:t>
      </w:r>
    </w:p>
    <w:p w:rsidR="00EB1315" w:rsidRPr="00EB43E2" w:rsidRDefault="00EB1315">
      <w:pPr>
        <w:pStyle w:val="normal0"/>
        <w:rPr>
          <w:rFonts w:ascii="GHEA Grapalat" w:hAnsi="GHEA Grapalat"/>
        </w:rPr>
      </w:pPr>
    </w:p>
    <w:p w:rsidR="00EB1315" w:rsidRPr="00EB43E2" w:rsidRDefault="00EB1315">
      <w:pPr>
        <w:pStyle w:val="normal0"/>
        <w:rPr>
          <w:rFonts w:ascii="GHEA Grapalat" w:hAnsi="GHEA Grapalat"/>
        </w:rPr>
      </w:pPr>
    </w:p>
    <w:p w:rsidR="00EB1315" w:rsidRPr="00EB43E2" w:rsidRDefault="00EB1315">
      <w:pPr>
        <w:pStyle w:val="normal0"/>
        <w:rPr>
          <w:rFonts w:ascii="GHEA Grapalat" w:hAnsi="GHEA Grapalat"/>
        </w:rPr>
      </w:pPr>
    </w:p>
    <w:tbl>
      <w:tblPr>
        <w:tblStyle w:val="a"/>
        <w:tblW w:w="20467" w:type="dxa"/>
        <w:tblBorders>
          <w:top w:val="nil"/>
          <w:left w:val="nil"/>
          <w:bottom w:val="nil"/>
          <w:right w:val="nil"/>
          <w:insideH w:val="nil"/>
          <w:insideV w:val="nil"/>
        </w:tblBorders>
        <w:tblLayout w:type="fixed"/>
        <w:tblLook w:val="0600"/>
      </w:tblPr>
      <w:tblGrid>
        <w:gridCol w:w="4413"/>
        <w:gridCol w:w="220"/>
        <w:gridCol w:w="229"/>
        <w:gridCol w:w="1759"/>
        <w:gridCol w:w="142"/>
        <w:gridCol w:w="503"/>
        <w:gridCol w:w="240"/>
        <w:gridCol w:w="3367"/>
        <w:gridCol w:w="142"/>
        <w:gridCol w:w="1964"/>
        <w:gridCol w:w="220"/>
        <w:gridCol w:w="220"/>
        <w:gridCol w:w="220"/>
        <w:gridCol w:w="220"/>
        <w:gridCol w:w="220"/>
        <w:gridCol w:w="55"/>
        <w:gridCol w:w="6333"/>
      </w:tblGrid>
      <w:tr w:rsidR="00EB1315" w:rsidRPr="00EB43E2" w:rsidTr="00EB43E2">
        <w:trPr>
          <w:gridAfter w:val="1"/>
          <w:wAfter w:w="6333" w:type="dxa"/>
          <w:trHeight w:val="787"/>
        </w:trPr>
        <w:tc>
          <w:tcPr>
            <w:tcW w:w="11015" w:type="dxa"/>
            <w:gridSpan w:val="9"/>
            <w:vMerge w:val="restart"/>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jc w:val="center"/>
              <w:rPr>
                <w:rFonts w:ascii="GHEA Grapalat" w:hAnsi="GHEA Grapalat"/>
                <w:sz w:val="24"/>
                <w:szCs w:val="24"/>
              </w:rPr>
            </w:pPr>
            <w:r w:rsidRPr="00EB43E2">
              <w:rPr>
                <w:rFonts w:ascii="GHEA Grapalat" w:hAnsi="GHEA Grapalat"/>
                <w:sz w:val="24"/>
                <w:szCs w:val="24"/>
              </w:rPr>
              <w:t xml:space="preserve"> </w:t>
            </w:r>
            <w:r w:rsidRPr="00EB43E2">
              <w:rPr>
                <w:rFonts w:ascii="GHEA Grapalat" w:eastAsia="Tahoma" w:hAnsi="GHEA Grapalat" w:cs="Tahoma"/>
                <w:sz w:val="24"/>
                <w:szCs w:val="24"/>
              </w:rPr>
              <w:t xml:space="preserve"> 1. ՀՀ պաշպանության նախարարություն</w:t>
            </w:r>
          </w:p>
        </w:tc>
        <w:tc>
          <w:tcPr>
            <w:tcW w:w="3119" w:type="dxa"/>
            <w:gridSpan w:val="7"/>
            <w:tcBorders>
              <w:top w:val="single" w:sz="8" w:space="0" w:color="000000"/>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rPr>
                <w:rFonts w:ascii="GHEA Grapalat" w:hAnsi="GHEA Grapalat"/>
              </w:rPr>
            </w:pPr>
            <w:r w:rsidRPr="00EB43E2">
              <w:rPr>
                <w:rFonts w:ascii="GHEA Grapalat" w:eastAsia="Tahoma" w:hAnsi="GHEA Grapalat" w:cs="Tahoma"/>
                <w:sz w:val="21"/>
                <w:szCs w:val="21"/>
              </w:rPr>
              <w:t xml:space="preserve">   02.03.2021 թ</w:t>
            </w:r>
          </w:p>
        </w:tc>
      </w:tr>
      <w:tr w:rsidR="00EB1315" w:rsidRPr="00EB43E2" w:rsidTr="00EB43E2">
        <w:trPr>
          <w:gridAfter w:val="1"/>
          <w:wAfter w:w="6333" w:type="dxa"/>
          <w:trHeight w:val="605"/>
        </w:trPr>
        <w:tc>
          <w:tcPr>
            <w:tcW w:w="11015" w:type="dxa"/>
            <w:gridSpan w:val="9"/>
            <w:vMerge/>
            <w:tcBorders>
              <w:bottom w:val="single" w:sz="8" w:space="0" w:color="000000"/>
            </w:tcBorders>
            <w:shd w:val="clear" w:color="auto" w:fill="B7B7B7"/>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3119" w:type="dxa"/>
            <w:gridSpan w:val="7"/>
            <w:tcBorders>
              <w:top w:val="nil"/>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eastAsia="Tahoma" w:hAnsi="GHEA Grapalat" w:cs="Tahoma"/>
                <w:sz w:val="21"/>
                <w:szCs w:val="21"/>
              </w:rPr>
              <w:t>N ՊՆ/510/1055-2021</w:t>
            </w:r>
          </w:p>
        </w:tc>
      </w:tr>
      <w:tr w:rsidR="00EB1315" w:rsidRPr="00EB43E2" w:rsidTr="00EB43E2">
        <w:trPr>
          <w:gridAfter w:val="1"/>
          <w:wAfter w:w="6333" w:type="dxa"/>
          <w:trHeight w:val="59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1. Առաջարկվում է որպես նախագծի վերնագիր ընտրել առաջին տարբերակը:</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tc>
      </w:tr>
      <w:tr w:rsidR="00EB1315" w:rsidRPr="00EB43E2" w:rsidTr="00EB43E2">
        <w:trPr>
          <w:gridAfter w:val="1"/>
          <w:wAfter w:w="6333" w:type="dxa"/>
          <w:trHeight w:val="59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 xml:space="preserve"> 2. 1-ին հոդվածի 1-ին մասը շարադրել հետևյալ բովանդակությամբ.</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 xml:space="preserve">«1. Սույն օրենքը կարգավորում է մինչև 2020 թվականի սեպտեմբերի 26-ը ներա­ռյալ 27 տարին լրացած շարքային և 35 տարին լրացած պահեստազորի </w:t>
            </w:r>
            <w:r w:rsidRPr="00EB43E2">
              <w:rPr>
                <w:rFonts w:ascii="GHEA Grapalat" w:eastAsia="Tahoma" w:hAnsi="GHEA Grapalat" w:cs="Tahoma"/>
                <w:sz w:val="24"/>
                <w:szCs w:val="24"/>
              </w:rPr>
              <w:lastRenderedPageBreak/>
              <w:t>սպա­յա­կան կազմերի պարտադիր զինվորական կամ այլընտրանքային ծառայությունից, ինչպես նաև հայտարարված վարժական հավաքից և (կամ) զորահավաքային զորա­կոչից խուսափած և Հայաստանի Հանրապետության քրեական օրենսգրքի 327-րդ հոդվածի 1-ին մասով նախատեսված հանցագործություն կատարելու մեջ կասկած­վող, մեղադրվող կամ այդ հատկանիշներով դատապարտված արական սեռի քաղա­քա­ցիների (այսուհետ՝ անձանց) նկատմամբ համաներում հայտարարելու հետ կապ­ված հարաբերությունները:»:</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Ընդունվել է մասնակի:</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tc>
      </w:tr>
      <w:tr w:rsidR="00EB1315" w:rsidRPr="00EB43E2" w:rsidTr="00EB43E2">
        <w:trPr>
          <w:gridAfter w:val="1"/>
          <w:wAfter w:w="6333" w:type="dxa"/>
          <w:trHeight w:val="665"/>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highlight w:val="white"/>
              </w:rPr>
            </w:pPr>
            <w:r w:rsidRPr="00EB43E2">
              <w:rPr>
                <w:rFonts w:ascii="GHEA Grapalat" w:eastAsia="Tahoma" w:hAnsi="GHEA Grapalat" w:cs="Tahoma"/>
                <w:sz w:val="24"/>
                <w:szCs w:val="24"/>
              </w:rPr>
              <w:lastRenderedPageBreak/>
              <w:t>3. Նախագծի 2-րդ հոդվածի 2-րդ մասում «2021 թվակա</w:t>
            </w:r>
            <w:r w:rsidRPr="00EB43E2">
              <w:rPr>
                <w:rFonts w:ascii="GHEA Grapalat" w:eastAsia="Tahoma" w:hAnsi="GHEA Grapalat" w:cs="Tahoma"/>
                <w:sz w:val="24"/>
                <w:szCs w:val="24"/>
                <w:highlight w:val="white"/>
              </w:rPr>
              <w:t>նի» բառերից առաջ լրացնել «մինչև» բառը, ինչպես նաև այդ մասում և 4-րդ հոդվածի 5-րդ մասում նշված ժամկետները համադրման կարիք ունեն:</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665"/>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4.Նախագծի 2-րդ հոդվածի 3-րդ մասի 3-րդ կետում «պատիժների» բառը փոխարինել «պատժի» բառով:</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665"/>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5.«Նորմատիվ իրավական ակտերի մասին» ՀՀ օրենքի 13-րդ հոդվածի 3-րդ մասի պահանջների շրջանակներում առաջարկում ենք եզրափակիչ մասում սահմանել օրենքի գործողության ժամկետը:</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highlight w:val="white"/>
              </w:rPr>
            </w:pPr>
            <w:r w:rsidRPr="00EB43E2">
              <w:rPr>
                <w:rFonts w:ascii="GHEA Grapalat" w:eastAsia="Tahoma" w:hAnsi="GHEA Grapalat" w:cs="Tahoma"/>
                <w:sz w:val="24"/>
                <w:szCs w:val="24"/>
                <w:highlight w:val="white"/>
              </w:rPr>
              <w:t>Չի ընդունվել:</w:t>
            </w:r>
          </w:p>
          <w:p w:rsidR="00EB1315" w:rsidRPr="00EB43E2" w:rsidRDefault="00B74455">
            <w:pPr>
              <w:pStyle w:val="normal0"/>
              <w:spacing w:before="240" w:after="240" w:line="240" w:lineRule="auto"/>
              <w:ind w:left="100"/>
              <w:jc w:val="both"/>
              <w:rPr>
                <w:rFonts w:ascii="GHEA Grapalat" w:hAnsi="GHEA Grapalat"/>
                <w:sz w:val="24"/>
                <w:szCs w:val="24"/>
                <w:highlight w:val="white"/>
              </w:rPr>
            </w:pPr>
            <w:r w:rsidRPr="00EB43E2">
              <w:rPr>
                <w:rFonts w:ascii="GHEA Grapalat" w:eastAsia="Tahoma" w:hAnsi="GHEA Grapalat" w:cs="Tahoma"/>
                <w:sz w:val="24"/>
                <w:szCs w:val="24"/>
                <w:highlight w:val="white"/>
              </w:rPr>
              <w:t>Նախագծի 3-րդ հոդվածում նշված է, որ սույն օրենքն ուժի մեջ է մտնում պաշտոնական հրապարակման օրվանից, իսկ նախագծի 4-րդ հոդվածի 5-րդ մասի համաձայն՝ նախատեսված մարմինները համաներման ակտը պետք է կիրառեն օրենքն ուժի մեջ մտնելուց հետո՝ երեք ամսվա ընթացքում:</w:t>
            </w:r>
          </w:p>
        </w:tc>
      </w:tr>
      <w:tr w:rsidR="00EB1315" w:rsidRPr="00EB43E2" w:rsidTr="00EB43E2">
        <w:trPr>
          <w:gridAfter w:val="1"/>
          <w:wAfter w:w="6333" w:type="dxa"/>
          <w:trHeight w:val="650"/>
        </w:trPr>
        <w:tc>
          <w:tcPr>
            <w:tcW w:w="10873" w:type="dxa"/>
            <w:gridSpan w:val="8"/>
            <w:vMerge w:val="restart"/>
            <w:tcBorders>
              <w:top w:val="nil"/>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jc w:val="center"/>
              <w:rPr>
                <w:rFonts w:ascii="GHEA Grapalat" w:hAnsi="GHEA Grapalat"/>
                <w:sz w:val="24"/>
                <w:szCs w:val="24"/>
              </w:rPr>
            </w:pPr>
            <w:r w:rsidRPr="00EB43E2">
              <w:rPr>
                <w:rFonts w:ascii="GHEA Grapalat" w:hAnsi="GHEA Grapalat"/>
                <w:sz w:val="24"/>
                <w:szCs w:val="24"/>
              </w:rPr>
              <w:t xml:space="preserve">  </w:t>
            </w:r>
            <w:r w:rsidRPr="00EB43E2">
              <w:rPr>
                <w:rFonts w:ascii="GHEA Grapalat" w:eastAsia="Tahoma" w:hAnsi="GHEA Grapalat" w:cs="Tahoma"/>
                <w:sz w:val="24"/>
                <w:szCs w:val="24"/>
              </w:rPr>
              <w:t xml:space="preserve"> 2. ՀՀ քննչական կոմիտե</w:t>
            </w:r>
          </w:p>
        </w:tc>
        <w:tc>
          <w:tcPr>
            <w:tcW w:w="3261" w:type="dxa"/>
            <w:gridSpan w:val="8"/>
            <w:tcBorders>
              <w:top w:val="nil"/>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eastAsia="Tahoma" w:hAnsi="GHEA Grapalat" w:cs="Tahoma"/>
                <w:sz w:val="21"/>
                <w:szCs w:val="21"/>
              </w:rPr>
              <w:t>26.03.2021 թ</w:t>
            </w:r>
          </w:p>
        </w:tc>
      </w:tr>
      <w:tr w:rsidR="00EB1315" w:rsidRPr="00EB43E2" w:rsidTr="00EB43E2">
        <w:trPr>
          <w:gridAfter w:val="1"/>
          <w:wAfter w:w="6333" w:type="dxa"/>
          <w:trHeight w:val="605"/>
        </w:trPr>
        <w:tc>
          <w:tcPr>
            <w:tcW w:w="10873" w:type="dxa"/>
            <w:gridSpan w:val="8"/>
            <w:vMerge/>
            <w:tcBorders>
              <w:bottom w:val="single" w:sz="8" w:space="0" w:color="000000"/>
            </w:tcBorders>
            <w:shd w:val="clear" w:color="auto" w:fill="B7B7B7"/>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3261" w:type="dxa"/>
            <w:gridSpan w:val="8"/>
            <w:tcBorders>
              <w:top w:val="nil"/>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hAnsi="GHEA Grapalat"/>
                <w:sz w:val="21"/>
                <w:szCs w:val="21"/>
              </w:rPr>
              <w:t>N 01/12/9227-2021</w:t>
            </w:r>
          </w:p>
        </w:tc>
      </w:tr>
      <w:tr w:rsidR="00EB1315" w:rsidRPr="00EB43E2" w:rsidTr="00B74455">
        <w:trPr>
          <w:gridAfter w:val="1"/>
          <w:wAfter w:w="6333" w:type="dxa"/>
          <w:trHeight w:val="68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highlight w:val="white"/>
              </w:rPr>
            </w:pPr>
            <w:r w:rsidRPr="00EB43E2">
              <w:rPr>
                <w:rFonts w:ascii="GHEA Grapalat" w:eastAsia="Tahoma" w:hAnsi="GHEA Grapalat" w:cs="Tahoma"/>
                <w:sz w:val="24"/>
                <w:szCs w:val="24"/>
                <w:highlight w:val="white"/>
              </w:rPr>
              <w:t xml:space="preserve">1.Նախագծի 2-րդ հոդվածի 2-րդ մասով նախատեսվում է «Համաներումը կիրառել նաև մինչև սույն օրենքն ուժի մեջ մտնելը հետախուզման մեջ գտնվող այն անձանց նկատմամբ, որոնք 2021թվականի դեկտեմբերի 31-ը ներառյալ անձամբ կամովին կներկայանան քրեական հետապնդման մարմիններ, իսկ եթե գործը դատարանի վարույթում է՝ դատարան»: Նախագծի 4-րդ հոդվածի 5-րդ մասի 1-ին նախադասության համաձայն. «Սույն հոդվածի 3-րդ մասով նախատեսված մարմինները համաներման ակտը պետք է կիրառեն սույն օրենքն ուժի մեջ մտնելուց հետո՝ 3 ամսվա ընթացքում»: Կարծում </w:t>
            </w:r>
            <w:r w:rsidRPr="00EB43E2">
              <w:rPr>
                <w:rFonts w:ascii="GHEA Grapalat" w:eastAsia="Tahoma" w:hAnsi="GHEA Grapalat" w:cs="Tahoma"/>
                <w:sz w:val="24"/>
                <w:szCs w:val="24"/>
                <w:highlight w:val="white"/>
              </w:rPr>
              <w:lastRenderedPageBreak/>
              <w:t>ենք,  նշված դրույթների միջև հակասություն կամ առնվազն անհստակություն կա, ուստի դրանք հստակեցման կարիք ունեն:</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tc>
      </w:tr>
      <w:tr w:rsidR="00EB1315" w:rsidRPr="00EB43E2" w:rsidTr="00B74455">
        <w:trPr>
          <w:gridAfter w:val="1"/>
          <w:wAfter w:w="6333" w:type="dxa"/>
          <w:trHeight w:val="53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2.Նախագծի 2-րդ հոդվածի 2-րդ մասի համատեքստում անհասկանալի է նաև նույն հոդվածի 6-րդ մասի 2-րդ կետը, որով նախատեսվում՝ համաներումը չկիրառել մինչև սույն օրենքն ուժի մեջ մտնելը հետախուզման մեջ գտնվող անձանց նկատմամբ, բացառությամբ սույն հոդվածի 1-ին մասում նշված անձանցից: Ստացվում է, որ նույն հոդվածի 2-րդ մասի համաձայն հետախուզվողների նկատմամբ  /համապատասխան պայմանի դեպքում/ համաներում կարող է կիրառվել, իսկ 6-րդ մասի 2-րդ կետի համաձայն՝ չի կարող:</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680"/>
        </w:trPr>
        <w:tc>
          <w:tcPr>
            <w:tcW w:w="11015" w:type="dxa"/>
            <w:gridSpan w:val="9"/>
            <w:vMerge w:val="restart"/>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jc w:val="center"/>
              <w:rPr>
                <w:rFonts w:ascii="GHEA Grapalat" w:hAnsi="GHEA Grapalat"/>
                <w:sz w:val="24"/>
                <w:szCs w:val="24"/>
              </w:rPr>
            </w:pPr>
            <w:r w:rsidRPr="00EB43E2">
              <w:rPr>
                <w:rFonts w:ascii="GHEA Grapalat" w:hAnsi="GHEA Grapalat"/>
                <w:sz w:val="24"/>
                <w:szCs w:val="24"/>
              </w:rPr>
              <w:t xml:space="preserve"> </w:t>
            </w:r>
            <w:r w:rsidRPr="00EB43E2">
              <w:rPr>
                <w:rFonts w:ascii="GHEA Grapalat" w:eastAsia="Tahoma" w:hAnsi="GHEA Grapalat" w:cs="Tahoma"/>
                <w:sz w:val="24"/>
                <w:szCs w:val="24"/>
              </w:rPr>
              <w:t xml:space="preserve"> 3. ՀՀ գլխավոր դատախազություն</w:t>
            </w:r>
          </w:p>
        </w:tc>
        <w:tc>
          <w:tcPr>
            <w:tcW w:w="3119" w:type="dxa"/>
            <w:gridSpan w:val="7"/>
            <w:tcBorders>
              <w:top w:val="single" w:sz="8" w:space="0" w:color="000000"/>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eastAsia="Tahoma" w:hAnsi="GHEA Grapalat" w:cs="Tahoma"/>
                <w:sz w:val="21"/>
                <w:szCs w:val="21"/>
              </w:rPr>
              <w:t>02.03.2021 թ</w:t>
            </w:r>
          </w:p>
        </w:tc>
      </w:tr>
      <w:tr w:rsidR="00EB1315" w:rsidRPr="00EB43E2" w:rsidTr="00EB43E2">
        <w:trPr>
          <w:gridAfter w:val="1"/>
          <w:wAfter w:w="6333" w:type="dxa"/>
          <w:trHeight w:val="695"/>
        </w:trPr>
        <w:tc>
          <w:tcPr>
            <w:tcW w:w="11015" w:type="dxa"/>
            <w:gridSpan w:val="9"/>
            <w:vMerge/>
            <w:tcBorders>
              <w:bottom w:val="single" w:sz="8" w:space="0" w:color="000000"/>
            </w:tcBorders>
            <w:shd w:val="clear" w:color="auto" w:fill="B7B7B7"/>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3119" w:type="dxa"/>
            <w:gridSpan w:val="7"/>
            <w:tcBorders>
              <w:top w:val="nil"/>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hAnsi="GHEA Grapalat"/>
                <w:sz w:val="21"/>
                <w:szCs w:val="21"/>
              </w:rPr>
              <w:t>N 04/20.4/2564-2021</w:t>
            </w:r>
          </w:p>
        </w:tc>
      </w:tr>
      <w:tr w:rsidR="00EB1315" w:rsidRPr="00EB43E2" w:rsidTr="00EB43E2">
        <w:trPr>
          <w:gridAfter w:val="1"/>
          <w:wAfter w:w="6333" w:type="dxa"/>
          <w:trHeight w:val="71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EB1315">
            <w:pPr>
              <w:pStyle w:val="normal0"/>
              <w:spacing w:line="240" w:lineRule="auto"/>
              <w:jc w:val="both"/>
              <w:rPr>
                <w:rFonts w:ascii="GHEA Grapalat" w:hAnsi="GHEA Grapalat"/>
                <w:sz w:val="24"/>
                <w:szCs w:val="24"/>
              </w:rPr>
            </w:pPr>
          </w:p>
          <w:p w:rsidR="00EB1315" w:rsidRPr="00EB43E2" w:rsidRDefault="00B74455">
            <w:pPr>
              <w:pStyle w:val="normal0"/>
              <w:spacing w:line="240" w:lineRule="auto"/>
              <w:jc w:val="both"/>
              <w:rPr>
                <w:rFonts w:ascii="GHEA Grapalat" w:hAnsi="GHEA Grapalat"/>
                <w:b/>
                <w:sz w:val="24"/>
                <w:szCs w:val="24"/>
              </w:rPr>
            </w:pPr>
            <w:r w:rsidRPr="00EB43E2">
              <w:rPr>
                <w:rFonts w:ascii="GHEA Grapalat" w:eastAsia="Tahoma" w:hAnsi="GHEA Grapalat" w:cs="Tahoma"/>
                <w:sz w:val="24"/>
                <w:szCs w:val="24"/>
              </w:rPr>
              <w:t>1. Օրենքի նախագծի նախաբանում որպես համաներման ակտի ընդունման նպատակ՝ սահմանվել է «</w:t>
            </w:r>
            <w:r w:rsidRPr="00EB43E2">
              <w:rPr>
                <w:rFonts w:ascii="GHEA Grapalat" w:eastAsia="Tahoma" w:hAnsi="GHEA Grapalat" w:cs="Tahoma"/>
                <w:b/>
                <w:sz w:val="24"/>
                <w:szCs w:val="24"/>
              </w:rPr>
              <w:t xml:space="preserve">յուրաքանչյուր հայի զինվորական ծառայության </w:t>
            </w:r>
            <w:r w:rsidRPr="00EB43E2">
              <w:rPr>
                <w:rFonts w:ascii="GHEA Grapalat" w:eastAsia="Tahoma" w:hAnsi="GHEA Grapalat" w:cs="Tahoma"/>
                <w:b/>
                <w:sz w:val="24"/>
                <w:szCs w:val="24"/>
              </w:rPr>
              <w:lastRenderedPageBreak/>
              <w:t>պարտքի նկատմամբ հայրենասիրական վերաբերմունքի խթանումը»։</w:t>
            </w:r>
          </w:p>
          <w:p w:rsidR="00EB1315" w:rsidRPr="00EB43E2" w:rsidRDefault="00B74455">
            <w:pPr>
              <w:pStyle w:val="normal0"/>
              <w:spacing w:line="240" w:lineRule="auto"/>
              <w:jc w:val="both"/>
              <w:rPr>
                <w:rFonts w:ascii="GHEA Grapalat" w:hAnsi="GHEA Grapalat"/>
                <w:sz w:val="24"/>
                <w:szCs w:val="24"/>
              </w:rPr>
            </w:pPr>
            <w:r w:rsidRPr="00EB43E2">
              <w:rPr>
                <w:rFonts w:ascii="GHEA Grapalat" w:eastAsia="Tahoma" w:hAnsi="GHEA Grapalat" w:cs="Tahoma"/>
                <w:sz w:val="24"/>
                <w:szCs w:val="24"/>
              </w:rPr>
              <w:t>Հայրենիքի պաշտպանությանը մասնակցելու սահմանադրական պարտականության կատարումից խուսափող անձանց նկատմամբ համաներում հայտարարելով՝ պետության կողմից դրսևորվում է մարդասիրական վերաբերմունք՝ կոնկրետ դեպքում պայմանավորված մի շարք արդարացված նպատակներով, և նման վերաբերմունքի դրսևորումը պետք է կրի խիստ անհրաժեշտությամբ պայմանավորված եզակի բնույթ: Այն պետության կողմից երբևիցե չի կարող դիտարկվել որպես</w:t>
            </w:r>
            <w:r w:rsidRPr="00EB43E2">
              <w:rPr>
                <w:rFonts w:ascii="GHEA Grapalat" w:hAnsi="GHEA Grapalat"/>
                <w:b/>
                <w:sz w:val="24"/>
                <w:szCs w:val="24"/>
              </w:rPr>
              <w:t xml:space="preserve"> </w:t>
            </w:r>
            <w:r w:rsidRPr="00EB43E2">
              <w:rPr>
                <w:rFonts w:ascii="GHEA Grapalat" w:eastAsia="Tahoma" w:hAnsi="GHEA Grapalat" w:cs="Tahoma"/>
                <w:sz w:val="24"/>
                <w:szCs w:val="24"/>
              </w:rPr>
              <w:t xml:space="preserve">յուրաքանչյուր հայի զինվորական ծառայության պարտքի նկատմամբ հայրենասիրական վերաբերմունքի խթանում։  </w:t>
            </w:r>
          </w:p>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t>Ըստ այդմ, առաջարկում ենք Նախագծի նախաբանից հանել հիշյալ նպատակը:</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Նախագծից նշված նպատակը հանվել է:</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740"/>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lastRenderedPageBreak/>
              <w:t xml:space="preserve">2. Նախագծով առաջարկվում է որպես համաներման  ակտի կիրառման գործողությունը տարածել 2020 թվականի սեպտեմբերի 26-ը ներառյալ 27 տարին լրացած, 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35 տարին լրացած և ՀՀ քրեական օրենսգրքի միայն 327-րդ </w:t>
            </w:r>
            <w:r w:rsidRPr="00EB43E2">
              <w:rPr>
                <w:rFonts w:ascii="GHEA Grapalat" w:eastAsia="Tahoma" w:hAnsi="GHEA Grapalat" w:cs="Tahoma"/>
                <w:sz w:val="24"/>
                <w:szCs w:val="24"/>
              </w:rPr>
              <w:lastRenderedPageBreak/>
              <w:t>հոդվածի 1-ին մասով նախատեսված հանցագործություն կատարելու մեջ կասկածվող, մեղադրվող կամ այդ հանցագործությունը կատարած արական սեռի քաղաքացիների վրա։</w:t>
            </w:r>
          </w:p>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t xml:space="preserve">Գտնում ենք՝ առավել նպատակահարմար է համաներում հայտարարելու մասին օրենքի կարգավորման շրջանակը կազմող սուբյեկտների համապատասխան տարիքի լրացած լինելը պայմանավորել ոչ թե 2020 թվականի սեպտեմբերի 26-ով /մինչ Ադրբեջանի Հանրապետության կողմից սանձազերծած պատերազմը/, այլ մինչ պատերազմը վերջին զորակոչի ժամկետներով՝ մասնավորապես՝ 2020 թվականի ամառային զորակոչի ժամկետներով։         </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 xml:space="preserve"> Չի ընդունվել:</w:t>
            </w:r>
          </w:p>
          <w:p w:rsidR="00EB1315" w:rsidRPr="001C5246" w:rsidRDefault="00B74455">
            <w:pPr>
              <w:pStyle w:val="normal0"/>
              <w:spacing w:before="240" w:after="240" w:line="240" w:lineRule="auto"/>
              <w:ind w:left="100"/>
              <w:jc w:val="both"/>
              <w:rPr>
                <w:rFonts w:ascii="GHEA Grapalat" w:hAnsi="GHEA Grapalat"/>
                <w:sz w:val="24"/>
                <w:szCs w:val="24"/>
              </w:rPr>
            </w:pPr>
            <w:r w:rsidRPr="001C5246">
              <w:rPr>
                <w:rFonts w:ascii="GHEA Grapalat" w:eastAsia="Tahoma" w:hAnsi="GHEA Grapalat" w:cs="Tahoma"/>
                <w:sz w:val="24"/>
                <w:szCs w:val="24"/>
                <w:highlight w:val="white"/>
              </w:rPr>
              <w:t>Նախագծի</w:t>
            </w:r>
            <w:r w:rsidR="001C5246">
              <w:rPr>
                <w:rFonts w:ascii="GHEA Grapalat" w:eastAsia="Tahoma" w:hAnsi="GHEA Grapalat" w:cs="Tahoma"/>
                <w:sz w:val="24"/>
                <w:szCs w:val="24"/>
                <w:highlight w:val="white"/>
              </w:rPr>
              <w:t xml:space="preserve"> </w:t>
            </w:r>
            <w:r w:rsidRPr="001C5246">
              <w:rPr>
                <w:rFonts w:ascii="GHEA Grapalat" w:eastAsia="Tahoma" w:hAnsi="GHEA Grapalat" w:cs="Tahoma"/>
                <w:sz w:val="24"/>
                <w:szCs w:val="24"/>
                <w:highlight w:val="white"/>
              </w:rPr>
              <w:t xml:space="preserve">ընդունման տրամաբանության հիմքում </w:t>
            </w:r>
            <w:r w:rsidR="001C5246">
              <w:rPr>
                <w:rFonts w:ascii="GHEA Grapalat" w:eastAsia="Tahoma" w:hAnsi="GHEA Grapalat" w:cs="Tahoma"/>
                <w:sz w:val="24"/>
                <w:szCs w:val="24"/>
                <w:highlight w:val="white"/>
              </w:rPr>
              <w:t>դրված</w:t>
            </w:r>
            <w:r w:rsidRPr="001C5246">
              <w:rPr>
                <w:rFonts w:ascii="GHEA Grapalat" w:eastAsia="Tahoma" w:hAnsi="GHEA Grapalat" w:cs="Tahoma"/>
                <w:sz w:val="24"/>
                <w:szCs w:val="24"/>
                <w:highlight w:val="white"/>
              </w:rPr>
              <w:t xml:space="preserve"> է մինչև 2020 թվականի սեպտեմբերի 26-ը</w:t>
            </w:r>
            <w:r w:rsidR="001C5246" w:rsidRPr="001C5246">
              <w:rPr>
                <w:rFonts w:ascii="GHEA Grapalat" w:eastAsia="Tahoma" w:hAnsi="GHEA Grapalat" w:cs="Tahoma"/>
                <w:sz w:val="24"/>
                <w:szCs w:val="24"/>
              </w:rPr>
              <w:t xml:space="preserve"> </w:t>
            </w:r>
            <w:r w:rsidR="001C5246" w:rsidRPr="001C5246">
              <w:rPr>
                <w:rFonts w:ascii="GHEA Grapalat" w:eastAsia="GHEA Grapalat" w:hAnsi="GHEA Grapalat" w:cs="GHEA Grapalat"/>
                <w:color w:val="000000"/>
                <w:sz w:val="24"/>
                <w:szCs w:val="24"/>
              </w:rPr>
              <w:t xml:space="preserve">ներառյալ </w:t>
            </w:r>
            <w:r w:rsidR="00BE25F4">
              <w:rPr>
                <w:rFonts w:ascii="GHEA Grapalat" w:eastAsia="GHEA Grapalat" w:hAnsi="GHEA Grapalat" w:cs="GHEA Grapalat"/>
                <w:color w:val="000000"/>
                <w:sz w:val="24"/>
                <w:szCs w:val="24"/>
              </w:rPr>
              <w:t xml:space="preserve">(մինչև Ադրբեջանի Հանրապետության կողմից պատերազմի սանձազերծումը) </w:t>
            </w:r>
            <w:r w:rsidR="001C5246" w:rsidRPr="001C5246">
              <w:rPr>
                <w:rFonts w:ascii="GHEA Grapalat" w:eastAsia="GHEA Grapalat" w:hAnsi="GHEA Grapalat" w:cs="GHEA Grapalat"/>
                <w:color w:val="000000"/>
                <w:sz w:val="24"/>
                <w:szCs w:val="24"/>
              </w:rPr>
              <w:t xml:space="preserve">27 տարին լրացած շարքային և 35 տարին լրացած պահեստազորի սպայական կազմերի պարտադիր զինվորական կամ այլընտրանքային ծառայությունից, ինչպես </w:t>
            </w:r>
            <w:r w:rsidR="001C5246" w:rsidRPr="001C5246">
              <w:rPr>
                <w:rFonts w:ascii="GHEA Grapalat" w:eastAsia="GHEA Grapalat" w:hAnsi="GHEA Grapalat" w:cs="GHEA Grapalat"/>
                <w:color w:val="000000"/>
                <w:sz w:val="24"/>
                <w:szCs w:val="24"/>
              </w:rPr>
              <w:lastRenderedPageBreak/>
              <w:t>նաև հայտարարված վարժական հավաքից և (կամ) զորահավաքային զորակոչից խուսափած և Հայաստանի Հանրապետության քրեական օրենսգրքի միայն 327-րդ հոդվածի 1-ին մասով նախատեսված հանցագործություն կատարելու մեջ կասկածվող, մեղադրվող կամ դատապարտված արական սեռի քաղաքացիների նկատմամբ</w:t>
            </w:r>
            <w:r w:rsidRPr="001C5246">
              <w:rPr>
                <w:rFonts w:ascii="GHEA Grapalat" w:eastAsia="Tahoma" w:hAnsi="GHEA Grapalat" w:cs="Tahoma"/>
                <w:sz w:val="24"/>
                <w:szCs w:val="24"/>
                <w:highlight w:val="white"/>
              </w:rPr>
              <w:t xml:space="preserve"> </w:t>
            </w:r>
            <w:r w:rsidR="001C5246">
              <w:rPr>
                <w:rFonts w:ascii="GHEA Grapalat" w:eastAsia="Tahoma" w:hAnsi="GHEA Grapalat" w:cs="Tahoma"/>
                <w:sz w:val="24"/>
                <w:szCs w:val="24"/>
              </w:rPr>
              <w:t>կիրառելու</w:t>
            </w:r>
            <w:r w:rsidR="00E526EB">
              <w:rPr>
                <w:rFonts w:ascii="GHEA Grapalat" w:eastAsia="Tahoma" w:hAnsi="GHEA Grapalat" w:cs="Tahoma"/>
                <w:sz w:val="24"/>
                <w:szCs w:val="24"/>
              </w:rPr>
              <w:t xml:space="preserve"> անհրաժեշտությունը</w:t>
            </w:r>
            <w:r w:rsidRPr="001C5246">
              <w:rPr>
                <w:rFonts w:ascii="GHEA Grapalat" w:eastAsia="Tahoma" w:hAnsi="GHEA Grapalat" w:cs="Tahoma"/>
                <w:sz w:val="24"/>
                <w:szCs w:val="24"/>
              </w:rPr>
              <w:t>:</w:t>
            </w:r>
          </w:p>
          <w:p w:rsidR="00EB1315" w:rsidRPr="001C5246" w:rsidRDefault="00B74455">
            <w:pPr>
              <w:pStyle w:val="normal0"/>
              <w:spacing w:before="240" w:after="240" w:line="240" w:lineRule="auto"/>
              <w:ind w:left="100"/>
              <w:jc w:val="both"/>
              <w:rPr>
                <w:rFonts w:ascii="GHEA Grapalat" w:hAnsi="GHEA Grapalat"/>
                <w:sz w:val="24"/>
                <w:szCs w:val="24"/>
              </w:rPr>
            </w:pPr>
            <w:r w:rsidRPr="001C5246">
              <w:rPr>
                <w:rFonts w:ascii="GHEA Grapalat" w:hAnsi="GHEA Grapalat"/>
                <w:sz w:val="24"/>
                <w:szCs w:val="24"/>
                <w:highlight w:val="yellow"/>
              </w:rPr>
              <w:t xml:space="preserve"> </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695"/>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jc w:val="both"/>
              <w:rPr>
                <w:rFonts w:ascii="GHEA Grapalat" w:hAnsi="GHEA Grapalat"/>
                <w:b/>
                <w:sz w:val="24"/>
                <w:szCs w:val="24"/>
              </w:rPr>
            </w:pPr>
            <w:r w:rsidRPr="00EB43E2">
              <w:rPr>
                <w:rFonts w:ascii="GHEA Grapalat" w:eastAsia="Tahoma" w:hAnsi="GHEA Grapalat" w:cs="Tahoma"/>
                <w:sz w:val="24"/>
                <w:szCs w:val="24"/>
              </w:rPr>
              <w:lastRenderedPageBreak/>
              <w:t>3.Նախագծի 2-րդ հոդվածի 6-րդ մասի 2-րդ կետով առաջարկվում է համաներում չկիրառել</w:t>
            </w:r>
            <w:r w:rsidRPr="00EB43E2">
              <w:rPr>
                <w:rFonts w:ascii="GHEA Grapalat" w:eastAsia="MS Gothic" w:hAnsi="MS Gothic" w:cs="MS Gothic"/>
                <w:b/>
                <w:sz w:val="24"/>
                <w:szCs w:val="24"/>
              </w:rPr>
              <w:t>․</w:t>
            </w:r>
            <w:r w:rsidRPr="00EB43E2">
              <w:rPr>
                <w:rFonts w:ascii="GHEA Grapalat" w:eastAsia="Tahoma" w:hAnsi="GHEA Grapalat" w:cs="Tahoma"/>
                <w:b/>
                <w:sz w:val="24"/>
                <w:szCs w:val="24"/>
              </w:rPr>
              <w:t>«մինչև սույն օրենքի ուժի մեջ մտնելը հետախուզման մեջ գտնվող անձանց նկատմամբ, բացառությամբ սույն հոդվածի 1-ին մասում նշված անձանցից»։</w:t>
            </w:r>
          </w:p>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t xml:space="preserve">Սակայն հոդվածի 1-ին մասում նախատեսված կարգավորումը տրամաբանական կապի մեջ չէ վերոնշյալ բացառության հետ(հոդվածի 1-ին մասում սահմանված են այն անձինք, որոնք կարող են մեղադրվել կամ մեղադրվում են ՀՀ քրեական օրենսգրքի 327-րդ </w:t>
            </w:r>
            <w:r w:rsidRPr="00EB43E2">
              <w:rPr>
                <w:rFonts w:ascii="GHEA Grapalat" w:eastAsia="Tahoma" w:hAnsi="GHEA Grapalat" w:cs="Tahoma"/>
                <w:sz w:val="24"/>
                <w:szCs w:val="24"/>
              </w:rPr>
              <w:lastRenderedPageBreak/>
              <w:t>հոդվածով նախատեսված հանցանք կատարելու համար)։</w:t>
            </w:r>
          </w:p>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t>Ենթադրվում է, որ Նախագծի հեղինակները, որպես բացառություն պետք է հղում կատարեին հոդվածի 2-րդ մասին, որը վերաբերում է հետախուզման մեջ գտնվող անձանց վարույթն իրականացնող մարմնին ներկայանալու ժամկետներին և պայմաններին, այն է՝ մինչև 2021 թվականի դեկտեմբերի 31-ը ներառյալ անձամբ կամովին վարույթն իրականացնող մարմիններին ներկայանալը։</w:t>
            </w:r>
          </w:p>
          <w:p w:rsidR="00EB1315" w:rsidRPr="00EB43E2" w:rsidRDefault="00B74455">
            <w:pPr>
              <w:pStyle w:val="normal0"/>
              <w:spacing w:before="240" w:after="240" w:line="240" w:lineRule="auto"/>
              <w:jc w:val="both"/>
              <w:rPr>
                <w:rFonts w:ascii="GHEA Grapalat" w:hAnsi="GHEA Grapalat"/>
                <w:sz w:val="24"/>
                <w:szCs w:val="24"/>
              </w:rPr>
            </w:pPr>
            <w:r w:rsidRPr="00EB43E2">
              <w:rPr>
                <w:rFonts w:ascii="GHEA Grapalat" w:eastAsia="Tahoma" w:hAnsi="GHEA Grapalat" w:cs="Tahoma"/>
                <w:sz w:val="24"/>
                <w:szCs w:val="24"/>
              </w:rPr>
              <w:t xml:space="preserve">Հետևաբար, առաջարկում ենք խմբագրել Նախագծի 2-րդ հոդվածի 6-րդ մասի 2-րդ կետը:     </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 xml:space="preserve">Նախագծում կատարվել է համապատսախան փոփոխություն: </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695"/>
        </w:trPr>
        <w:tc>
          <w:tcPr>
            <w:tcW w:w="6621"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jc w:val="both"/>
              <w:rPr>
                <w:rFonts w:ascii="GHEA Grapalat" w:hAnsi="GHEA Grapalat"/>
                <w:sz w:val="24"/>
                <w:szCs w:val="24"/>
                <w:highlight w:val="white"/>
              </w:rPr>
            </w:pPr>
            <w:r w:rsidRPr="00EB43E2">
              <w:rPr>
                <w:rFonts w:ascii="GHEA Grapalat" w:eastAsia="Tahoma" w:hAnsi="GHEA Grapalat" w:cs="Tahoma"/>
                <w:sz w:val="24"/>
                <w:szCs w:val="24"/>
                <w:highlight w:val="white"/>
              </w:rPr>
              <w:lastRenderedPageBreak/>
              <w:t xml:space="preserve">4.Նախագծի 4-րդ հոդվածի 5-րդ մասի համաձայն՝ «(...) հոդվածի 3-րդ մասով նախատեսված մարմինները համաներման ակտը </w:t>
            </w:r>
            <w:r w:rsidRPr="00EB43E2">
              <w:rPr>
                <w:rFonts w:ascii="GHEA Grapalat" w:eastAsia="Tahoma" w:hAnsi="GHEA Grapalat" w:cs="Tahoma"/>
                <w:b/>
                <w:sz w:val="24"/>
                <w:szCs w:val="24"/>
                <w:highlight w:val="white"/>
              </w:rPr>
              <w:t>պետք է կիրառեն</w:t>
            </w:r>
            <w:r w:rsidRPr="00EB43E2">
              <w:rPr>
                <w:rFonts w:ascii="GHEA Grapalat" w:eastAsia="Tahoma" w:hAnsi="GHEA Grapalat" w:cs="Tahoma"/>
                <w:sz w:val="24"/>
                <w:szCs w:val="24"/>
                <w:highlight w:val="white"/>
              </w:rPr>
              <w:t xml:space="preserve"> օրենքն ուժի մեջ մտնելուց հետո՝ </w:t>
            </w:r>
            <w:r w:rsidRPr="00EB43E2">
              <w:rPr>
                <w:rFonts w:ascii="GHEA Grapalat" w:eastAsia="Tahoma" w:hAnsi="GHEA Grapalat" w:cs="Tahoma"/>
                <w:b/>
                <w:sz w:val="24"/>
                <w:szCs w:val="24"/>
                <w:highlight w:val="white"/>
              </w:rPr>
              <w:t>երեք ամսվա ընթացքում</w:t>
            </w:r>
            <w:r w:rsidRPr="00EB43E2">
              <w:rPr>
                <w:rFonts w:ascii="GHEA Grapalat" w:eastAsia="Tahoma" w:hAnsi="GHEA Grapalat" w:cs="Tahoma"/>
                <w:sz w:val="24"/>
                <w:szCs w:val="24"/>
                <w:highlight w:val="white"/>
              </w:rPr>
              <w:t>։</w:t>
            </w:r>
          </w:p>
          <w:p w:rsidR="00EB1315" w:rsidRPr="00EB43E2" w:rsidRDefault="00B74455">
            <w:pPr>
              <w:pStyle w:val="normal0"/>
              <w:spacing w:before="240" w:after="240" w:line="240" w:lineRule="auto"/>
              <w:jc w:val="both"/>
              <w:rPr>
                <w:rFonts w:ascii="GHEA Grapalat" w:hAnsi="GHEA Grapalat"/>
                <w:sz w:val="24"/>
                <w:szCs w:val="24"/>
                <w:highlight w:val="white"/>
              </w:rPr>
            </w:pPr>
            <w:r w:rsidRPr="00EB43E2">
              <w:rPr>
                <w:rFonts w:ascii="GHEA Grapalat" w:eastAsia="Tahoma" w:hAnsi="GHEA Grapalat" w:cs="Tahoma"/>
                <w:sz w:val="24"/>
                <w:szCs w:val="24"/>
                <w:highlight w:val="white"/>
              </w:rPr>
              <w:t>Իսկ եթե առկա են համաներում կիրառելու համար բոլոր անհրաժեշտ հիմնավորումներն ու փաստաթղթերը, պարզաբանված ու ճշգրտված են գործի բոլոր հանգամանքները, ապա հոդվածով նախատեսված մարմինները պարտավոր են կիրառել օրենքը ողջամիտ ժամկետում՝ չսպասելով ընդհանուր ժամկետի լրանալը»։</w:t>
            </w:r>
          </w:p>
          <w:p w:rsidR="00EB1315" w:rsidRPr="00EB43E2" w:rsidRDefault="00B74455">
            <w:pPr>
              <w:pStyle w:val="normal0"/>
              <w:spacing w:before="240" w:after="240" w:line="240" w:lineRule="auto"/>
              <w:jc w:val="both"/>
              <w:rPr>
                <w:rFonts w:ascii="GHEA Grapalat" w:hAnsi="GHEA Grapalat"/>
                <w:sz w:val="24"/>
                <w:szCs w:val="24"/>
                <w:highlight w:val="white"/>
              </w:rPr>
            </w:pPr>
            <w:r w:rsidRPr="00EB43E2">
              <w:rPr>
                <w:rFonts w:ascii="GHEA Grapalat" w:eastAsia="Tahoma" w:hAnsi="GHEA Grapalat" w:cs="Tahoma"/>
                <w:sz w:val="24"/>
                <w:szCs w:val="24"/>
                <w:highlight w:val="white"/>
              </w:rPr>
              <w:t xml:space="preserve">Նախ՝ գտնում ենք՝ Նախագծի 4-րդ հոդվածի 5-րդ մասում </w:t>
            </w:r>
            <w:r w:rsidRPr="00EB43E2">
              <w:rPr>
                <w:rFonts w:ascii="GHEA Grapalat" w:eastAsia="Tahoma" w:hAnsi="GHEA Grapalat" w:cs="Tahoma"/>
                <w:sz w:val="24"/>
                <w:szCs w:val="24"/>
                <w:highlight w:val="white"/>
              </w:rPr>
              <w:lastRenderedPageBreak/>
              <w:t xml:space="preserve">ամրագրված վերջին դրույթն ավելորդ է, բացի այդ </w:t>
            </w:r>
            <w:r w:rsidRPr="00EB43E2">
              <w:rPr>
                <w:rFonts w:ascii="GHEA Grapalat" w:eastAsia="Tahoma" w:hAnsi="GHEA Grapalat" w:cs="Tahoma"/>
                <w:b/>
                <w:sz w:val="24"/>
                <w:szCs w:val="24"/>
                <w:highlight w:val="white"/>
              </w:rPr>
              <w:t xml:space="preserve">առաջարկում ենք համաներման ակտի կիրառման ընդհանուր՝ եռամսյա ժամկետից բացառություն նախատեսել՝ հաշվի առնելով հետախուզման մեջ գտնվող անձանց վերաբերյալ գործերով Նախագծի 2-րդ հոդվածի 2-րդ մասով  սահմանված ժամկետներն ու պայմանները։   </w:t>
            </w:r>
          </w:p>
        </w:tc>
        <w:tc>
          <w:tcPr>
            <w:tcW w:w="7513" w:type="dxa"/>
            <w:gridSpan w:val="1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Ընդունվել է:</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t>Նախագծում կատարվել է համապատասխան փոփոխություն:</w:t>
            </w:r>
          </w:p>
          <w:p w:rsidR="00EB1315" w:rsidRPr="00EB43E2" w:rsidRDefault="00EB1315">
            <w:pPr>
              <w:pStyle w:val="normal0"/>
              <w:spacing w:before="240" w:after="240" w:line="240" w:lineRule="auto"/>
              <w:ind w:left="100"/>
              <w:jc w:val="both"/>
              <w:rPr>
                <w:rFonts w:ascii="GHEA Grapalat" w:hAnsi="GHEA Grapalat"/>
                <w:sz w:val="24"/>
                <w:szCs w:val="24"/>
              </w:rPr>
            </w:pPr>
          </w:p>
        </w:tc>
      </w:tr>
      <w:tr w:rsidR="00EB1315" w:rsidRPr="00EB43E2" w:rsidTr="00EB43E2">
        <w:trPr>
          <w:gridAfter w:val="1"/>
          <w:wAfter w:w="6333" w:type="dxa"/>
          <w:trHeight w:val="755"/>
        </w:trPr>
        <w:tc>
          <w:tcPr>
            <w:tcW w:w="11015" w:type="dxa"/>
            <w:gridSpan w:val="9"/>
            <w:vMerge w:val="restart"/>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jc w:val="center"/>
              <w:rPr>
                <w:rFonts w:ascii="GHEA Grapalat" w:hAnsi="GHEA Grapalat"/>
                <w:sz w:val="24"/>
                <w:szCs w:val="24"/>
              </w:rPr>
            </w:pPr>
            <w:r w:rsidRPr="00EB43E2">
              <w:rPr>
                <w:rFonts w:ascii="GHEA Grapalat" w:hAnsi="GHEA Grapalat"/>
                <w:sz w:val="24"/>
                <w:szCs w:val="24"/>
              </w:rPr>
              <w:lastRenderedPageBreak/>
              <w:t xml:space="preserve"> </w:t>
            </w:r>
            <w:r w:rsidRPr="00EB43E2">
              <w:rPr>
                <w:rFonts w:ascii="GHEA Grapalat" w:eastAsia="Tahoma" w:hAnsi="GHEA Grapalat" w:cs="Tahoma"/>
                <w:sz w:val="24"/>
                <w:szCs w:val="24"/>
              </w:rPr>
              <w:t xml:space="preserve"> 4. ՀՀ ֆինանսների նախարարություն</w:t>
            </w:r>
          </w:p>
        </w:tc>
        <w:tc>
          <w:tcPr>
            <w:tcW w:w="3119" w:type="dxa"/>
            <w:gridSpan w:val="7"/>
            <w:tcBorders>
              <w:top w:val="single" w:sz="8" w:space="0" w:color="000000"/>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eastAsia="Tahoma" w:hAnsi="GHEA Grapalat" w:cs="Tahoma"/>
                <w:sz w:val="21"/>
                <w:szCs w:val="21"/>
              </w:rPr>
              <w:t>02.03.2021 թ</w:t>
            </w:r>
          </w:p>
        </w:tc>
      </w:tr>
      <w:tr w:rsidR="00EB1315" w:rsidRPr="00EB43E2" w:rsidTr="00EB43E2">
        <w:trPr>
          <w:gridAfter w:val="1"/>
          <w:wAfter w:w="6333" w:type="dxa"/>
          <w:trHeight w:val="845"/>
        </w:trPr>
        <w:tc>
          <w:tcPr>
            <w:tcW w:w="11015" w:type="dxa"/>
            <w:gridSpan w:val="9"/>
            <w:vMerge/>
            <w:tcBorders>
              <w:bottom w:val="single" w:sz="8" w:space="0" w:color="000000"/>
            </w:tcBorders>
            <w:shd w:val="clear" w:color="auto" w:fill="B7B7B7"/>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3119" w:type="dxa"/>
            <w:gridSpan w:val="7"/>
            <w:tcBorders>
              <w:top w:val="nil"/>
              <w:left w:val="nil"/>
              <w:bottom w:val="single" w:sz="8" w:space="0" w:color="000000"/>
              <w:right w:val="single" w:sz="8" w:space="0" w:color="000000"/>
            </w:tcBorders>
            <w:shd w:val="clear" w:color="auto" w:fill="B7B7B7"/>
            <w:tcMar>
              <w:top w:w="100" w:type="dxa"/>
              <w:left w:w="100" w:type="dxa"/>
              <w:bottom w:w="100" w:type="dxa"/>
              <w:right w:w="100" w:type="dxa"/>
            </w:tcMar>
          </w:tcPr>
          <w:p w:rsidR="00EB1315" w:rsidRPr="00EB43E2" w:rsidRDefault="00B74455">
            <w:pPr>
              <w:pStyle w:val="normal0"/>
              <w:spacing w:before="240" w:after="240"/>
              <w:ind w:left="100"/>
              <w:rPr>
                <w:rFonts w:ascii="GHEA Grapalat" w:hAnsi="GHEA Grapalat"/>
              </w:rPr>
            </w:pPr>
            <w:r w:rsidRPr="00EB43E2">
              <w:rPr>
                <w:rFonts w:ascii="GHEA Grapalat" w:hAnsi="GHEA Grapalat"/>
              </w:rPr>
              <w:t xml:space="preserve"> </w:t>
            </w:r>
            <w:r w:rsidRPr="00EB43E2">
              <w:rPr>
                <w:rFonts w:ascii="GHEA Grapalat" w:hAnsi="GHEA Grapalat"/>
                <w:sz w:val="21"/>
                <w:szCs w:val="21"/>
              </w:rPr>
              <w:t>N 01/8-5/2942-2021</w:t>
            </w:r>
          </w:p>
        </w:tc>
      </w:tr>
      <w:tr w:rsidR="00EB1315" w:rsidRPr="00EB43E2" w:rsidTr="00EB43E2">
        <w:trPr>
          <w:gridAfter w:val="1"/>
          <w:wAfter w:w="6333" w:type="dxa"/>
          <w:trHeight w:val="635"/>
        </w:trPr>
        <w:tc>
          <w:tcPr>
            <w:tcW w:w="6763"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eastAsia="GHEA Grapalat" w:hAnsi="GHEA Grapalat" w:cs="GHEA Grapalat"/>
                <w:sz w:val="24"/>
                <w:szCs w:val="24"/>
              </w:rPr>
            </w:pPr>
            <w:r w:rsidRPr="00EB43E2">
              <w:rPr>
                <w:rFonts w:ascii="GHEA Grapalat" w:eastAsia="GHEA Grapalat" w:hAnsi="GHEA Grapalat" w:cs="GHEA Grapalat"/>
                <w:sz w:val="24"/>
                <w:szCs w:val="24"/>
              </w:rPr>
              <w:t xml:space="preserve">Նախագծով առաջարկվում է կարգավորել է մինչև 2020 թվականի սեպտեմբերի 26-ը ներառյալ 27 տարին լրացած, 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35 տարին լրացած և Հայաստանի Հանրապետության քրեական օրենսգրքի համապատասխան հոդվածով նախատեսված հանցագործություն կատարելու մեջ կասկածվող, մեղադրվող կամ այդ հանցագործությունը կատարած քաղաքացիների նկատմամբ համաներում </w:t>
            </w:r>
            <w:r w:rsidRPr="00EB43E2">
              <w:rPr>
                <w:rFonts w:ascii="GHEA Grapalat" w:eastAsia="GHEA Grapalat" w:hAnsi="GHEA Grapalat" w:cs="GHEA Grapalat"/>
                <w:sz w:val="24"/>
                <w:szCs w:val="24"/>
              </w:rPr>
              <w:lastRenderedPageBreak/>
              <w:t>հայտարարելու հետ կապված հարաբերություններ։</w:t>
            </w:r>
          </w:p>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GHEA Grapalat" w:hAnsi="GHEA Grapalat" w:cs="GHEA Grapalat"/>
                <w:sz w:val="24"/>
                <w:szCs w:val="24"/>
              </w:rPr>
              <w:t>Հաշվի առնելով վերոգրյալը՝ հայտնում ենք, որ Նախագծի ընդունումը չի հանգեցնի ՀՀ պետական բյուջեի եկամուտների էական նվազեցման կամ ծախսերի ավելացման:</w:t>
            </w:r>
          </w:p>
        </w:tc>
        <w:tc>
          <w:tcPr>
            <w:tcW w:w="7371" w:type="dxa"/>
            <w:gridSpan w:val="11"/>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B1315" w:rsidRPr="00EB43E2" w:rsidRDefault="00B74455">
            <w:pPr>
              <w:pStyle w:val="normal0"/>
              <w:spacing w:before="240" w:after="240" w:line="240" w:lineRule="auto"/>
              <w:ind w:left="100"/>
              <w:jc w:val="both"/>
              <w:rPr>
                <w:rFonts w:ascii="GHEA Grapalat" w:hAnsi="GHEA Grapalat"/>
                <w:sz w:val="24"/>
                <w:szCs w:val="24"/>
              </w:rPr>
            </w:pPr>
            <w:r w:rsidRPr="00EB43E2">
              <w:rPr>
                <w:rFonts w:ascii="GHEA Grapalat" w:eastAsia="Tahoma" w:hAnsi="GHEA Grapalat" w:cs="Tahoma"/>
                <w:sz w:val="24"/>
                <w:szCs w:val="24"/>
              </w:rPr>
              <w:lastRenderedPageBreak/>
              <w:t xml:space="preserve"> Ընդունվել է ի գիտություն:</w:t>
            </w:r>
          </w:p>
        </w:tc>
      </w:tr>
      <w:tr w:rsidR="00EB1315" w:rsidRPr="00EB43E2" w:rsidTr="00EB43E2">
        <w:trPr>
          <w:trHeight w:val="215"/>
        </w:trPr>
        <w:tc>
          <w:tcPr>
            <w:tcW w:w="4413" w:type="dxa"/>
            <w:tcBorders>
              <w:top w:val="nil"/>
              <w:left w:val="nil"/>
              <w:bottom w:val="nil"/>
              <w:right w:val="nil"/>
            </w:tcBorders>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9"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1901" w:type="dxa"/>
            <w:gridSpan w:val="2"/>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503"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4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5473" w:type="dxa"/>
            <w:gridSpan w:val="3"/>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220" w:type="dxa"/>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c>
          <w:tcPr>
            <w:tcW w:w="6388" w:type="dxa"/>
            <w:gridSpan w:val="2"/>
            <w:tcBorders>
              <w:top w:val="nil"/>
              <w:left w:val="nil"/>
              <w:bottom w:val="nil"/>
              <w:right w:val="nil"/>
            </w:tcBorders>
            <w:shd w:val="clear" w:color="auto" w:fill="auto"/>
            <w:tcMar>
              <w:top w:w="100" w:type="dxa"/>
              <w:left w:w="100" w:type="dxa"/>
              <w:bottom w:w="100" w:type="dxa"/>
              <w:right w:w="100" w:type="dxa"/>
            </w:tcMar>
          </w:tcPr>
          <w:p w:rsidR="00EB1315" w:rsidRPr="00EB43E2" w:rsidRDefault="00EB1315">
            <w:pPr>
              <w:pStyle w:val="normal0"/>
              <w:ind w:left="100"/>
              <w:rPr>
                <w:rFonts w:ascii="GHEA Grapalat" w:hAnsi="GHEA Grapalat"/>
              </w:rPr>
            </w:pPr>
          </w:p>
        </w:tc>
      </w:tr>
    </w:tbl>
    <w:p w:rsidR="00EB1315" w:rsidRPr="00EB43E2" w:rsidRDefault="00EB1315">
      <w:pPr>
        <w:pStyle w:val="normal0"/>
        <w:rPr>
          <w:rFonts w:ascii="GHEA Grapalat" w:hAnsi="GHEA Grapalat"/>
        </w:rPr>
      </w:pPr>
    </w:p>
    <w:sectPr w:rsidR="00EB1315" w:rsidRPr="00EB43E2" w:rsidSect="00EB43E2">
      <w:footerReference w:type="default" r:id="rId6"/>
      <w:pgSz w:w="16834" w:h="11909" w:orient="landscape"/>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5E5" w:rsidRDefault="00C335E5" w:rsidP="000957C0">
      <w:pPr>
        <w:spacing w:line="240" w:lineRule="auto"/>
      </w:pPr>
      <w:r>
        <w:separator/>
      </w:r>
    </w:p>
  </w:endnote>
  <w:endnote w:type="continuationSeparator" w:id="0">
    <w:p w:rsidR="00C335E5" w:rsidRDefault="00C335E5" w:rsidP="000957C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35701"/>
      <w:docPartObj>
        <w:docPartGallery w:val="Page Numbers (Bottom of Page)"/>
        <w:docPartUnique/>
      </w:docPartObj>
    </w:sdtPr>
    <w:sdtContent>
      <w:p w:rsidR="000957C0" w:rsidRDefault="000957C0">
        <w:pPr>
          <w:pStyle w:val="Footer"/>
          <w:jc w:val="right"/>
        </w:pPr>
        <w:fldSimple w:instr=" PAGE   \* MERGEFORMAT ">
          <w:r>
            <w:rPr>
              <w:noProof/>
            </w:rPr>
            <w:t>9</w:t>
          </w:r>
        </w:fldSimple>
      </w:p>
    </w:sdtContent>
  </w:sdt>
  <w:p w:rsidR="000957C0" w:rsidRDefault="000957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5E5" w:rsidRDefault="00C335E5" w:rsidP="000957C0">
      <w:pPr>
        <w:spacing w:line="240" w:lineRule="auto"/>
      </w:pPr>
      <w:r>
        <w:separator/>
      </w:r>
    </w:p>
  </w:footnote>
  <w:footnote w:type="continuationSeparator" w:id="0">
    <w:p w:rsidR="00C335E5" w:rsidRDefault="00C335E5" w:rsidP="000957C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EB1315"/>
    <w:rsid w:val="00037B33"/>
    <w:rsid w:val="000957C0"/>
    <w:rsid w:val="001C5246"/>
    <w:rsid w:val="00322B72"/>
    <w:rsid w:val="007B2976"/>
    <w:rsid w:val="00AC1C08"/>
    <w:rsid w:val="00B74455"/>
    <w:rsid w:val="00BE25F4"/>
    <w:rsid w:val="00C335E5"/>
    <w:rsid w:val="00E526EB"/>
    <w:rsid w:val="00EB1315"/>
    <w:rsid w:val="00EB43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B33"/>
  </w:style>
  <w:style w:type="paragraph" w:styleId="Heading1">
    <w:name w:val="heading 1"/>
    <w:basedOn w:val="normal0"/>
    <w:next w:val="normal0"/>
    <w:rsid w:val="00EB1315"/>
    <w:pPr>
      <w:keepNext/>
      <w:keepLines/>
      <w:spacing w:before="400" w:after="120"/>
      <w:outlineLvl w:val="0"/>
    </w:pPr>
    <w:rPr>
      <w:sz w:val="40"/>
      <w:szCs w:val="40"/>
    </w:rPr>
  </w:style>
  <w:style w:type="paragraph" w:styleId="Heading2">
    <w:name w:val="heading 2"/>
    <w:basedOn w:val="normal0"/>
    <w:next w:val="normal0"/>
    <w:rsid w:val="00EB1315"/>
    <w:pPr>
      <w:keepNext/>
      <w:keepLines/>
      <w:spacing w:before="360" w:after="120"/>
      <w:outlineLvl w:val="1"/>
    </w:pPr>
    <w:rPr>
      <w:sz w:val="32"/>
      <w:szCs w:val="32"/>
    </w:rPr>
  </w:style>
  <w:style w:type="paragraph" w:styleId="Heading3">
    <w:name w:val="heading 3"/>
    <w:basedOn w:val="normal0"/>
    <w:next w:val="normal0"/>
    <w:rsid w:val="00EB1315"/>
    <w:pPr>
      <w:keepNext/>
      <w:keepLines/>
      <w:spacing w:before="320" w:after="80"/>
      <w:outlineLvl w:val="2"/>
    </w:pPr>
    <w:rPr>
      <w:color w:val="434343"/>
      <w:sz w:val="28"/>
      <w:szCs w:val="28"/>
    </w:rPr>
  </w:style>
  <w:style w:type="paragraph" w:styleId="Heading4">
    <w:name w:val="heading 4"/>
    <w:basedOn w:val="normal0"/>
    <w:next w:val="normal0"/>
    <w:rsid w:val="00EB1315"/>
    <w:pPr>
      <w:keepNext/>
      <w:keepLines/>
      <w:spacing w:before="280" w:after="80"/>
      <w:outlineLvl w:val="3"/>
    </w:pPr>
    <w:rPr>
      <w:color w:val="666666"/>
      <w:sz w:val="24"/>
      <w:szCs w:val="24"/>
    </w:rPr>
  </w:style>
  <w:style w:type="paragraph" w:styleId="Heading5">
    <w:name w:val="heading 5"/>
    <w:basedOn w:val="normal0"/>
    <w:next w:val="normal0"/>
    <w:rsid w:val="00EB1315"/>
    <w:pPr>
      <w:keepNext/>
      <w:keepLines/>
      <w:spacing w:before="240" w:after="80"/>
      <w:outlineLvl w:val="4"/>
    </w:pPr>
    <w:rPr>
      <w:color w:val="666666"/>
    </w:rPr>
  </w:style>
  <w:style w:type="paragraph" w:styleId="Heading6">
    <w:name w:val="heading 6"/>
    <w:basedOn w:val="normal0"/>
    <w:next w:val="normal0"/>
    <w:rsid w:val="00EB13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B1315"/>
  </w:style>
  <w:style w:type="paragraph" w:styleId="Title">
    <w:name w:val="Title"/>
    <w:basedOn w:val="normal0"/>
    <w:next w:val="normal0"/>
    <w:rsid w:val="00EB1315"/>
    <w:pPr>
      <w:keepNext/>
      <w:keepLines/>
      <w:spacing w:after="60"/>
    </w:pPr>
    <w:rPr>
      <w:sz w:val="52"/>
      <w:szCs w:val="52"/>
    </w:rPr>
  </w:style>
  <w:style w:type="paragraph" w:styleId="Subtitle">
    <w:name w:val="Subtitle"/>
    <w:basedOn w:val="normal0"/>
    <w:next w:val="normal0"/>
    <w:rsid w:val="00EB1315"/>
    <w:pPr>
      <w:keepNext/>
      <w:keepLines/>
      <w:spacing w:after="320"/>
    </w:pPr>
    <w:rPr>
      <w:color w:val="666666"/>
      <w:sz w:val="30"/>
      <w:szCs w:val="30"/>
    </w:rPr>
  </w:style>
  <w:style w:type="table" w:customStyle="1" w:styleId="a">
    <w:basedOn w:val="TableNormal"/>
    <w:rsid w:val="00EB1315"/>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0957C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957C0"/>
  </w:style>
  <w:style w:type="paragraph" w:styleId="Footer">
    <w:name w:val="footer"/>
    <w:basedOn w:val="Normal"/>
    <w:link w:val="FooterChar"/>
    <w:uiPriority w:val="99"/>
    <w:unhideWhenUsed/>
    <w:rsid w:val="000957C0"/>
    <w:pPr>
      <w:tabs>
        <w:tab w:val="center" w:pos="4680"/>
        <w:tab w:val="right" w:pos="9360"/>
      </w:tabs>
      <w:spacing w:line="240" w:lineRule="auto"/>
    </w:pPr>
  </w:style>
  <w:style w:type="character" w:customStyle="1" w:styleId="FooterChar">
    <w:name w:val="Footer Char"/>
    <w:basedOn w:val="DefaultParagraphFont"/>
    <w:link w:val="Footer"/>
    <w:uiPriority w:val="99"/>
    <w:rsid w:val="000957C0"/>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1197</Words>
  <Characters>6823</Characters>
  <Application>Microsoft Office Word</Application>
  <DocSecurity>0</DocSecurity>
  <Lines>56</Lines>
  <Paragraphs>16</Paragraphs>
  <ScaleCrop>false</ScaleCrop>
  <Company/>
  <LinksUpToDate>false</LinksUpToDate>
  <CharactersWithSpaces>8004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N-Melkonyan</cp:lastModifiedBy>
  <cp:revision>10</cp:revision>
  <dcterms:created xsi:type="dcterms:W3CDTF">2021-03-30T06:10:00Z</dcterms:created>
  <dcterms:modified xsi:type="dcterms:W3CDTF">2021-03-30T07:16:00Z</dcterms:modified>
  <cp:keywords>https://mul2.gov.am/tasks/412011/oneclick/Ampopatert_30.03.2021.docx?token=cf68bb145bdd4a6e262af867c184384d</cp:keywords>
</cp:coreProperties>
</file>