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3" w:rsidRDefault="00520013" w:rsidP="003D191C">
      <w:pPr>
        <w:spacing w:after="0" w:line="360" w:lineRule="auto"/>
        <w:ind w:left="-360"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520013" w:rsidRDefault="00520013" w:rsidP="003D191C">
      <w:pPr>
        <w:spacing w:after="0"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520013" w:rsidRDefault="00520013" w:rsidP="003D191C">
      <w:pPr>
        <w:spacing w:after="0"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520013" w:rsidRDefault="00520013" w:rsidP="003D191C">
      <w:pPr>
        <w:spacing w:after="0"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520013" w:rsidRDefault="00520013" w:rsidP="003D191C">
      <w:pPr>
        <w:spacing w:after="0"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520013" w:rsidRDefault="00520013" w:rsidP="003D191C">
      <w:pPr>
        <w:spacing w:after="0"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>
        <w:rPr>
          <w:rFonts w:ascii="GHEA Grapalat" w:hAnsi="GHEA Grapalat"/>
          <w:i w:val="0"/>
          <w:sz w:val="24"/>
          <w:szCs w:val="24"/>
          <w:lang w:val="hy-AM"/>
        </w:rPr>
        <w:t>»</w:t>
      </w:r>
      <w:r w:rsidR="00100529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_________________ 2021</w:t>
      </w:r>
      <w:r>
        <w:rPr>
          <w:rFonts w:ascii="GHEA Grapalat" w:hAnsi="GHEA Grapalat" w:cs="GHEA Grapalat"/>
          <w:b/>
          <w:i w:val="0"/>
          <w:sz w:val="24"/>
          <w:szCs w:val="24"/>
        </w:rPr>
        <w:t>թ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520013" w:rsidRPr="00C22CAC" w:rsidRDefault="00C22CAC" w:rsidP="003D191C">
      <w:pPr>
        <w:pStyle w:val="NormalWeb"/>
        <w:spacing w:after="0" w:afterAutospacing="0" w:line="360" w:lineRule="auto"/>
        <w:jc w:val="center"/>
        <w:rPr>
          <w:rStyle w:val="Strong"/>
          <w:rFonts w:ascii="GHEA Grapalat" w:hAnsi="GHEA Grapalat"/>
          <w:color w:val="FF0000"/>
          <w:lang w:val="fr-FR"/>
        </w:rPr>
      </w:pPr>
      <w:r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ԳՈՒՅՔ</w:t>
      </w: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ՀԵՏ</w:t>
      </w: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ՎԵՐՑՆԵԼՈՒ</w:t>
      </w: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ԵՎ</w:t>
      </w: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ԱՆՀԱՏՈՒՅՑ</w:t>
      </w:r>
      <w:r w:rsidR="00520013"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ՕԳՏԱԳՈՐԾՄԱՆ</w:t>
      </w:r>
      <w:r w:rsidR="00520013"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ԻՐԱՎՈՒՆՔՈՎ</w:t>
      </w: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ԳՈՒՅՔ</w:t>
      </w:r>
      <w:r w:rsidR="00520013"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ՀԱՆՁՆԵԼՈՒ</w:t>
      </w:r>
      <w:r w:rsidR="00520013"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="00520013" w:rsidRPr="001A2431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ՄԱՍԻՆ</w:t>
      </w:r>
    </w:p>
    <w:p w:rsidR="00520013" w:rsidRPr="00136D75" w:rsidRDefault="00520013" w:rsidP="003D191C">
      <w:pPr>
        <w:pStyle w:val="NormalWeb"/>
        <w:spacing w:after="0" w:afterAutospacing="0" w:line="360" w:lineRule="auto"/>
        <w:jc w:val="center"/>
        <w:rPr>
          <w:rStyle w:val="Strong"/>
          <w:rFonts w:ascii="GHEA Grapalat" w:hAnsi="GHEA Grapalat"/>
          <w:lang w:val="fr-FR"/>
        </w:rPr>
      </w:pPr>
    </w:p>
    <w:p w:rsidR="00520013" w:rsidRPr="00520013" w:rsidRDefault="00520013" w:rsidP="003D191C">
      <w:pPr>
        <w:pStyle w:val="norm"/>
        <w:spacing w:line="360" w:lineRule="auto"/>
        <w:ind w:left="-630" w:firstLine="450"/>
        <w:rPr>
          <w:i/>
          <w:sz w:val="24"/>
          <w:szCs w:val="24"/>
          <w:lang w:val="fr-FR"/>
        </w:rPr>
      </w:pPr>
      <w:r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Հիմք</w:t>
      </w:r>
      <w:proofErr w:type="spellEnd"/>
      <w:r>
        <w:rPr>
          <w:rFonts w:ascii="GHEA Grapalat" w:hAnsi="GHEA Grapalat" w:cs="Arial Armenian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hAnsi="GHEA Grapalat" w:cs="Arial Armenian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685-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>,</w:t>
      </w:r>
      <w:proofErr w:type="gram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proofErr w:type="spellEnd"/>
      <w:proofErr w:type="gram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կազմակերպությունների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հոդվածները</w:t>
      </w:r>
      <w:proofErr w:type="spellEnd"/>
      <w:r w:rsidR="003E316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Pr="00933C55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կառավարությունը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ր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շ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մ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fr-FR"/>
        </w:rPr>
        <w:t>է</w:t>
      </w:r>
      <w:r>
        <w:rPr>
          <w:rFonts w:ascii="GHEA Grapalat" w:hAnsi="GHEA Grapalat" w:cs="Arial Armenian"/>
          <w:b/>
          <w:i/>
          <w:sz w:val="24"/>
          <w:szCs w:val="24"/>
          <w:lang w:val="fr-FR"/>
        </w:rPr>
        <w:t>.</w:t>
      </w:r>
    </w:p>
    <w:p w:rsidR="005A7FD4" w:rsidRDefault="003E3166" w:rsidP="003D191C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1. </w:t>
      </w:r>
      <w:r w:rsidR="00E71B56" w:rsidRPr="001318F3">
        <w:rPr>
          <w:rFonts w:ascii="GHEA Grapalat" w:hAnsi="GHEA Grapalat"/>
          <w:lang w:val="hy-AM"/>
        </w:rPr>
        <w:t xml:space="preserve">«Կ. Դեմիրճյանի անվան մարզահամերգային համալիր» պետական ոչ </w:t>
      </w:r>
      <w:proofErr w:type="spellStart"/>
      <w:r w:rsidR="00E71B56" w:rsidRPr="001318F3">
        <w:rPr>
          <w:rFonts w:ascii="GHEA Grapalat" w:hAnsi="GHEA Grapalat"/>
          <w:lang w:val="hy-AM"/>
        </w:rPr>
        <w:t>առևտրային</w:t>
      </w:r>
      <w:proofErr w:type="spellEnd"/>
      <w:r w:rsidR="00E71B56" w:rsidRPr="001318F3">
        <w:rPr>
          <w:rFonts w:ascii="GHEA Grapalat" w:hAnsi="GHEA Grapalat"/>
          <w:lang w:val="hy-AM"/>
        </w:rPr>
        <w:t xml:space="preserve"> կազմակերպությունից հետ վերցնել անհատույց օգտագործման իրավունքով տրամադրված</w:t>
      </w:r>
      <w:r w:rsidR="00E71B56" w:rsidRPr="001318F3">
        <w:rPr>
          <w:rFonts w:ascii="GHEA Grapalat" w:hAnsi="GHEA Grapalat"/>
          <w:bCs/>
          <w:lang w:val="hy-AM"/>
        </w:rPr>
        <w:t xml:space="preserve"> Հայաստանի Հանրապետության տարածքային կառավարման և ենթակառուցվածքների նախարարության պետական գույքի կառավարման կոմիտեին </w:t>
      </w:r>
      <w:r w:rsidR="001318F3" w:rsidRPr="001318F3">
        <w:rPr>
          <w:rFonts w:ascii="GHEA Grapalat" w:hAnsi="GHEA Grapalat"/>
          <w:bCs/>
          <w:lang w:val="hy-AM"/>
        </w:rPr>
        <w:t xml:space="preserve">ամրացված՝ 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15 000 000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սկզբնական</w:t>
      </w:r>
      <w:proofErr w:type="spellEnd"/>
      <w:r w:rsidR="003D191C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8D70E9">
        <w:rPr>
          <w:rFonts w:ascii="GHEA Grapalat" w:hAnsi="GHEA Grapalat"/>
          <w:color w:val="000000"/>
          <w:shd w:val="clear" w:color="auto" w:fill="FFFFFF"/>
          <w:lang w:val="hy-AM"/>
        </w:rPr>
        <w:t>2 250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000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հաշվեկշռային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արժեքով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«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Տոյոտա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Քեմրի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>» (T</w:t>
      </w:r>
      <w:r w:rsidR="001318F3" w:rsidRPr="001318F3">
        <w:rPr>
          <w:rFonts w:ascii="GHEA Grapalat" w:hAnsi="GHEA Grapalat"/>
          <w:color w:val="000000"/>
          <w:shd w:val="clear" w:color="auto" w:fill="FFFFFF"/>
        </w:rPr>
        <w:t>Օ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>Y</w:t>
      </w:r>
      <w:r w:rsidR="001318F3" w:rsidRPr="001318F3">
        <w:rPr>
          <w:rFonts w:ascii="GHEA Grapalat" w:hAnsi="GHEA Grapalat"/>
          <w:color w:val="000000"/>
          <w:shd w:val="clear" w:color="auto" w:fill="FFFFFF"/>
        </w:rPr>
        <w:t>Օ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TA CAMRY 2.5 GAS)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մակնիշի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1A2431">
        <w:rPr>
          <w:rFonts w:ascii="GHEA Grapalat" w:hAnsi="GHEA Grapalat"/>
          <w:color w:val="000000"/>
          <w:shd w:val="clear" w:color="auto" w:fill="FFFFFF"/>
          <w:lang w:val="hy-AM"/>
        </w:rPr>
        <w:t>676 ՏՏ 60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պետհամարանիշի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թողարկման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տարեթիվը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</w:rPr>
        <w:t>՝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2013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թվական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նույնացման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1318F3" w:rsidRPr="001318F3">
        <w:rPr>
          <w:rFonts w:ascii="GHEA Grapalat" w:hAnsi="GHEA Grapalat"/>
          <w:color w:val="000000"/>
          <w:shd w:val="clear" w:color="auto" w:fill="FFFFFF"/>
        </w:rPr>
        <w:t>համարը</w:t>
      </w:r>
      <w:proofErr w:type="spellEnd"/>
      <w:r w:rsidR="001318F3" w:rsidRPr="001318F3">
        <w:rPr>
          <w:rFonts w:ascii="GHEA Grapalat" w:hAnsi="GHEA Grapalat"/>
          <w:color w:val="000000"/>
          <w:shd w:val="clear" w:color="auto" w:fill="FFFFFF"/>
        </w:rPr>
        <w:t>՝</w:t>
      </w:r>
      <w:r w:rsidR="001318F3" w:rsidRPr="001318F3">
        <w:rPr>
          <w:rFonts w:ascii="GHEA Grapalat" w:hAnsi="GHEA Grapalat"/>
          <w:color w:val="000000"/>
          <w:shd w:val="clear" w:color="auto" w:fill="FFFFFF"/>
          <w:lang w:val="fr-FR"/>
        </w:rPr>
        <w:t xml:space="preserve"> JTNBFYFK203026141)</w:t>
      </w:r>
      <w:r w:rsidR="001318F3" w:rsidRPr="001318F3">
        <w:rPr>
          <w:rFonts w:ascii="GHEA Grapalat" w:hAnsi="GHEA Grapalat"/>
          <w:lang w:val="af-ZA"/>
        </w:rPr>
        <w:t xml:space="preserve"> </w:t>
      </w:r>
      <w:r w:rsidR="00497929">
        <w:rPr>
          <w:rFonts w:ascii="GHEA Grapalat" w:hAnsi="GHEA Grapalat"/>
          <w:lang w:val="hy-AM"/>
        </w:rPr>
        <w:t>տրանսպորտային միջոց</w:t>
      </w:r>
      <w:r w:rsidR="000E3528">
        <w:rPr>
          <w:rFonts w:ascii="GHEA Grapalat" w:hAnsi="GHEA Grapalat"/>
          <w:lang w:val="hy-AM"/>
        </w:rPr>
        <w:t>ն</w:t>
      </w:r>
      <w:r w:rsidR="00497929">
        <w:rPr>
          <w:rFonts w:ascii="GHEA Grapalat" w:hAnsi="GHEA Grapalat"/>
          <w:lang w:val="hy-AM"/>
        </w:rPr>
        <w:t xml:space="preserve"> </w:t>
      </w:r>
      <w:r w:rsidR="00E71B56" w:rsidRPr="001318F3">
        <w:rPr>
          <w:rFonts w:ascii="GHEA Grapalat" w:hAnsi="GHEA Grapalat"/>
          <w:lang w:val="af-ZA"/>
        </w:rPr>
        <w:t>(</w:t>
      </w:r>
      <w:proofErr w:type="spellStart"/>
      <w:r w:rsidR="00E71B56" w:rsidRPr="001318F3">
        <w:rPr>
          <w:rFonts w:ascii="GHEA Grapalat" w:hAnsi="GHEA Grapalat" w:cs="Tahoma"/>
          <w:lang w:val="af-ZA"/>
        </w:rPr>
        <w:t>այսուհետ</w:t>
      </w:r>
      <w:proofErr w:type="spellEnd"/>
      <w:r w:rsidR="00E71B56" w:rsidRPr="001318F3">
        <w:rPr>
          <w:rFonts w:ascii="GHEA Grapalat" w:hAnsi="GHEA Grapalat" w:cs="Tahoma"/>
          <w:lang w:val="af-ZA"/>
        </w:rPr>
        <w:t>՝</w:t>
      </w:r>
      <w:r w:rsidR="00E71B56" w:rsidRPr="001318F3">
        <w:rPr>
          <w:rFonts w:ascii="GHEA Grapalat" w:hAnsi="GHEA Grapalat"/>
          <w:lang w:val="af-ZA"/>
        </w:rPr>
        <w:t xml:space="preserve"> </w:t>
      </w:r>
      <w:r w:rsidR="00E71B56" w:rsidRPr="001318F3">
        <w:rPr>
          <w:rFonts w:ascii="GHEA Grapalat" w:hAnsi="GHEA Grapalat" w:cs="Tahoma"/>
          <w:lang w:val="hy-AM"/>
        </w:rPr>
        <w:t>Գ</w:t>
      </w:r>
      <w:proofErr w:type="spellStart"/>
      <w:r w:rsidR="00E71B56" w:rsidRPr="001318F3">
        <w:rPr>
          <w:rFonts w:ascii="GHEA Grapalat" w:hAnsi="GHEA Grapalat" w:cs="Tahoma"/>
          <w:lang w:val="af-ZA"/>
        </w:rPr>
        <w:t>ույք</w:t>
      </w:r>
      <w:proofErr w:type="spellEnd"/>
      <w:r w:rsidR="00F23B81" w:rsidRPr="001318F3">
        <w:rPr>
          <w:rFonts w:ascii="GHEA Grapalat" w:hAnsi="GHEA Grapalat" w:cs="Tahoma"/>
          <w:lang w:val="hy-AM"/>
        </w:rPr>
        <w:t xml:space="preserve"> 1</w:t>
      </w:r>
      <w:r w:rsidR="00E71B56" w:rsidRPr="001318F3">
        <w:rPr>
          <w:rFonts w:ascii="GHEA Grapalat" w:hAnsi="GHEA Grapalat"/>
          <w:lang w:val="af-ZA"/>
        </w:rPr>
        <w:t>)</w:t>
      </w:r>
      <w:r w:rsidR="00E71B56" w:rsidRPr="001318F3">
        <w:rPr>
          <w:rFonts w:ascii="GHEA Grapalat" w:hAnsi="GHEA Grapalat"/>
          <w:lang w:val="hy-AM"/>
        </w:rPr>
        <w:t>։</w:t>
      </w:r>
      <w:r w:rsidR="00E71B56" w:rsidRPr="001318F3">
        <w:rPr>
          <w:rFonts w:ascii="GHEA Grapalat" w:hAnsi="GHEA Grapalat"/>
          <w:lang w:val="af-ZA"/>
        </w:rPr>
        <w:t xml:space="preserve"> </w:t>
      </w:r>
    </w:p>
    <w:p w:rsidR="005A7FD4" w:rsidRDefault="008D70E9" w:rsidP="003D191C">
      <w:pPr>
        <w:pStyle w:val="NormalWeb"/>
        <w:tabs>
          <w:tab w:val="left" w:pos="27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2. </w:t>
      </w:r>
      <w:r w:rsidR="005A7FD4">
        <w:rPr>
          <w:rFonts w:ascii="GHEA Grapalat" w:hAnsi="GHEA Grapalat"/>
          <w:bCs/>
          <w:lang w:val="hy-AM"/>
        </w:rPr>
        <w:t xml:space="preserve">Հայաստանի Հանրապետության տարածքային կառավարման և ենթակառուցվածքների նախարարության պետական գույքի կառավարման կոմիտեին ամրացված  10 000 000 դրամ սկզբնական և </w:t>
      </w:r>
      <w:r w:rsidR="005A7FD4" w:rsidRPr="00EA7778">
        <w:rPr>
          <w:rFonts w:ascii="GHEA Grapalat" w:hAnsi="GHEA Grapalat"/>
          <w:bCs/>
          <w:lang w:val="fr-FR"/>
        </w:rPr>
        <w:t>2 143 907</w:t>
      </w:r>
      <w:r w:rsidR="005A7FD4">
        <w:rPr>
          <w:rFonts w:ascii="GHEA Grapalat" w:hAnsi="GHEA Grapalat"/>
          <w:bCs/>
          <w:lang w:val="hy-AM"/>
        </w:rPr>
        <w:t xml:space="preserve"> դրամ հաշվեկշռային արժեքով  «</w:t>
      </w:r>
      <w:r w:rsidR="005A7FD4">
        <w:rPr>
          <w:rFonts w:ascii="GHEA Grapalat" w:hAnsi="GHEA Grapalat" w:cs="Sylfaen"/>
          <w:lang w:val="fr-FR"/>
        </w:rPr>
        <w:t>TOYOTA C</w:t>
      </w:r>
      <w:r w:rsidR="005A7FD4" w:rsidRPr="00E277B8">
        <w:rPr>
          <w:rFonts w:ascii="GHEA Grapalat" w:hAnsi="GHEA Grapalat" w:cs="Sylfaen"/>
          <w:lang w:val="fr-FR"/>
        </w:rPr>
        <w:t>OROLLA</w:t>
      </w:r>
      <w:r w:rsidR="005A7FD4">
        <w:rPr>
          <w:rFonts w:ascii="GHEA Grapalat" w:hAnsi="GHEA Grapalat" w:cs="Sylfaen"/>
          <w:lang w:val="hy-AM"/>
        </w:rPr>
        <w:t xml:space="preserve"> 1.6 </w:t>
      </w:r>
      <w:r w:rsidR="005A7FD4" w:rsidRPr="00870EA0">
        <w:rPr>
          <w:rFonts w:ascii="GHEA Grapalat" w:hAnsi="GHEA Grapalat" w:cs="Sylfaen"/>
          <w:lang w:val="fr-FR"/>
        </w:rPr>
        <w:t>GAS</w:t>
      </w:r>
      <w:r w:rsidR="005A7FD4">
        <w:rPr>
          <w:rFonts w:ascii="GHEA Grapalat" w:hAnsi="GHEA Grapalat" w:cs="Sylfaen"/>
          <w:lang w:val="hy-AM"/>
        </w:rPr>
        <w:t>»</w:t>
      </w:r>
      <w:r w:rsidR="005A7FD4">
        <w:rPr>
          <w:rFonts w:ascii="GHEA Grapalat" w:hAnsi="GHEA Grapalat" w:cs="Sylfaen"/>
          <w:lang w:val="fr-FR"/>
        </w:rPr>
        <w:t xml:space="preserve"> </w:t>
      </w:r>
      <w:r w:rsidR="005A7FD4" w:rsidRPr="00870EA0">
        <w:rPr>
          <w:rFonts w:ascii="GHEA Grapalat" w:hAnsi="GHEA Grapalat" w:cs="Sylfaen"/>
          <w:lang w:val="fr-FR"/>
        </w:rPr>
        <w:t>(</w:t>
      </w:r>
      <w:r w:rsidR="005A7FD4">
        <w:rPr>
          <w:rFonts w:ascii="GHEA Grapalat" w:hAnsi="GHEA Grapalat" w:cs="Sylfaen"/>
          <w:lang w:val="hy-AM"/>
        </w:rPr>
        <w:t>«</w:t>
      </w:r>
      <w:r w:rsidR="005A7FD4">
        <w:rPr>
          <w:rFonts w:ascii="GHEA Grapalat" w:hAnsi="GHEA Grapalat" w:cs="Sylfaen"/>
          <w:lang w:val="fr-FR"/>
        </w:rPr>
        <w:t xml:space="preserve">Տոյոտա </w:t>
      </w:r>
      <w:r w:rsidR="005A7FD4">
        <w:rPr>
          <w:rFonts w:ascii="GHEA Grapalat" w:hAnsi="GHEA Grapalat" w:cs="Sylfaen"/>
          <w:lang w:val="hy-AM"/>
        </w:rPr>
        <w:t>Կորոլլա»</w:t>
      </w:r>
      <w:r w:rsidR="005A7FD4" w:rsidRPr="00870EA0">
        <w:rPr>
          <w:rFonts w:ascii="GHEA Grapalat" w:hAnsi="GHEA Grapalat" w:cs="Sylfaen"/>
          <w:lang w:val="fr-FR"/>
        </w:rPr>
        <w:t xml:space="preserve">) </w:t>
      </w:r>
      <w:r w:rsidR="005A7FD4">
        <w:rPr>
          <w:rFonts w:ascii="GHEA Grapalat" w:hAnsi="GHEA Grapalat" w:cs="Sylfaen"/>
          <w:lang w:val="fr-FR"/>
        </w:rPr>
        <w:t xml:space="preserve"> </w:t>
      </w:r>
      <w:r w:rsidR="005A7FD4">
        <w:rPr>
          <w:rFonts w:ascii="GHEA Grapalat" w:hAnsi="GHEA Grapalat" w:cs="Sylfaen"/>
          <w:lang w:val="hy-AM"/>
        </w:rPr>
        <w:t xml:space="preserve">մակնիշի, </w:t>
      </w:r>
      <w:r w:rsidR="005A7FD4" w:rsidRPr="00E277B8">
        <w:rPr>
          <w:rFonts w:ascii="GHEA Grapalat" w:hAnsi="GHEA Grapalat" w:cs="Sylfaen"/>
          <w:lang w:val="fr-FR"/>
        </w:rPr>
        <w:t>166 SS 60</w:t>
      </w:r>
      <w:r w:rsidR="005A7FD4">
        <w:rPr>
          <w:rFonts w:ascii="GHEA Grapalat" w:hAnsi="GHEA Grapalat" w:cs="Sylfaen"/>
          <w:lang w:val="hy-AM"/>
        </w:rPr>
        <w:t xml:space="preserve"> պետհամարանիշի </w:t>
      </w:r>
      <w:r w:rsidR="005A7FD4">
        <w:rPr>
          <w:rFonts w:ascii="GHEA Grapalat" w:hAnsi="GHEA Grapalat" w:cs="Sylfaen"/>
          <w:lang w:val="fr-FR"/>
        </w:rPr>
        <w:t>(</w:t>
      </w:r>
      <w:r w:rsidR="005A7FD4">
        <w:rPr>
          <w:rFonts w:ascii="GHEA Grapalat" w:hAnsi="GHEA Grapalat" w:cs="Sylfaen"/>
          <w:lang w:val="hy-AM"/>
        </w:rPr>
        <w:t xml:space="preserve">թողարկման տարեթիվը՝ </w:t>
      </w:r>
      <w:r w:rsidR="005A7FD4">
        <w:rPr>
          <w:rFonts w:ascii="GHEA Grapalat" w:hAnsi="GHEA Grapalat" w:cs="Sylfaen"/>
          <w:lang w:val="fr-FR"/>
        </w:rPr>
        <w:t xml:space="preserve">2015 </w:t>
      </w:r>
      <w:r w:rsidR="005A7FD4">
        <w:rPr>
          <w:rFonts w:ascii="GHEA Grapalat" w:hAnsi="GHEA Grapalat" w:cs="Sylfaen"/>
          <w:lang w:val="hy-AM"/>
        </w:rPr>
        <w:t xml:space="preserve">թվական, նույնացման համարը՝ </w:t>
      </w:r>
      <w:r w:rsidR="005A7FD4" w:rsidRPr="00870EA0">
        <w:rPr>
          <w:rFonts w:ascii="GHEA Grapalat" w:hAnsi="GHEA Grapalat" w:cs="Sylfaen"/>
          <w:lang w:val="fr-FR"/>
        </w:rPr>
        <w:t>NMTBB0JE70R109936</w:t>
      </w:r>
      <w:r w:rsidR="005A7FD4">
        <w:rPr>
          <w:rFonts w:ascii="GHEA Grapalat" w:hAnsi="GHEA Grapalat" w:cs="Sylfaen"/>
          <w:lang w:val="fr-FR"/>
        </w:rPr>
        <w:t xml:space="preserve">) </w:t>
      </w:r>
      <w:r w:rsidR="005A7FD4">
        <w:rPr>
          <w:rFonts w:ascii="GHEA Grapalat" w:hAnsi="GHEA Grapalat" w:cs="Sylfaen"/>
          <w:lang w:val="hy-AM"/>
        </w:rPr>
        <w:t xml:space="preserve">տրանսպորտային միջոցն </w:t>
      </w:r>
      <w:r w:rsidR="005A7FD4">
        <w:rPr>
          <w:rFonts w:ascii="GHEA Grapalat" w:hAnsi="GHEA Grapalat"/>
          <w:lang w:val="af-ZA"/>
        </w:rPr>
        <w:t>(</w:t>
      </w:r>
      <w:r w:rsidR="005A7FD4">
        <w:rPr>
          <w:rFonts w:ascii="GHEA Grapalat" w:hAnsi="GHEA Grapalat" w:cs="Tahoma"/>
          <w:lang w:val="af-ZA"/>
        </w:rPr>
        <w:t>այսուհետ՝</w:t>
      </w:r>
      <w:r w:rsidR="005A7FD4">
        <w:rPr>
          <w:rFonts w:ascii="GHEA Grapalat" w:hAnsi="GHEA Grapalat"/>
          <w:lang w:val="af-ZA"/>
        </w:rPr>
        <w:t xml:space="preserve"> </w:t>
      </w:r>
      <w:r w:rsidR="005A7FD4">
        <w:rPr>
          <w:rFonts w:ascii="GHEA Grapalat" w:hAnsi="GHEA Grapalat" w:cs="Tahoma"/>
          <w:lang w:val="hy-AM"/>
        </w:rPr>
        <w:t>Գ</w:t>
      </w:r>
      <w:r w:rsidR="005A7FD4">
        <w:rPr>
          <w:rFonts w:ascii="GHEA Grapalat" w:hAnsi="GHEA Grapalat" w:cs="Tahoma"/>
          <w:lang w:val="af-ZA"/>
        </w:rPr>
        <w:t>ույք</w:t>
      </w:r>
      <w:r w:rsidR="005A7FD4">
        <w:rPr>
          <w:rFonts w:ascii="GHEA Grapalat" w:hAnsi="GHEA Grapalat" w:cs="Tahoma"/>
          <w:lang w:val="hy-AM"/>
        </w:rPr>
        <w:t xml:space="preserve"> 2</w:t>
      </w:r>
      <w:r w:rsidR="005A7FD4">
        <w:rPr>
          <w:rFonts w:ascii="GHEA Grapalat" w:hAnsi="GHEA Grapalat"/>
          <w:lang w:val="af-ZA"/>
        </w:rPr>
        <w:t xml:space="preserve">) </w:t>
      </w:r>
      <w:r w:rsidR="005A7FD4">
        <w:rPr>
          <w:rFonts w:ascii="GHEA Grapalat" w:hAnsi="GHEA Grapalat"/>
          <w:lang w:val="hy-AM"/>
        </w:rPr>
        <w:lastRenderedPageBreak/>
        <w:t>անհատույց օգտագործման իրավունքով ամրացնել «Կ. Դեմիրճյանի անվան մարզահամերգային համալիր» պետական ոչ առևտրային կազմակերպությանը։</w:t>
      </w:r>
    </w:p>
    <w:p w:rsidR="005A7FD4" w:rsidRDefault="005A7FD4" w:rsidP="003D191C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af-ZA"/>
        </w:rPr>
        <w:t>3</w:t>
      </w:r>
      <w:r w:rsidR="00F23B81" w:rsidRPr="00F23B81">
        <w:rPr>
          <w:rFonts w:ascii="GHEA Grapalat" w:hAnsi="GHEA Grapalat" w:cs="Sylfaen"/>
          <w:lang w:val="af-ZA"/>
        </w:rPr>
        <w:t xml:space="preserve">. </w:t>
      </w:r>
      <w:r w:rsidR="00F23B81">
        <w:rPr>
          <w:rFonts w:ascii="GHEA Grapalat" w:hAnsi="GHEA Grapalat" w:cs="Sylfaen"/>
          <w:lang w:val="hy-AM"/>
        </w:rPr>
        <w:t>Պ</w:t>
      </w:r>
      <w:r w:rsidR="00F23B81" w:rsidRPr="005A7FD4">
        <w:rPr>
          <w:rFonts w:ascii="GHEA Grapalat" w:hAnsi="GHEA Grapalat" w:cs="Sylfaen"/>
          <w:shd w:val="clear" w:color="auto" w:fill="FFFFFF"/>
          <w:lang w:val="hy-AM"/>
        </w:rPr>
        <w:t>ետական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F23B81">
        <w:rPr>
          <w:rFonts w:ascii="GHEA Grapalat" w:hAnsi="GHEA Grapalat" w:cs="Sylfaen"/>
          <w:color w:val="000000"/>
          <w:shd w:val="clear" w:color="auto" w:fill="FFFFFF"/>
          <w:lang w:val="hy-AM"/>
        </w:rPr>
        <w:t>կոմիտեի նախագահին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՝</w:t>
      </w:r>
      <w:r w:rsidR="00F23B8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սույն որոշումն ուժի մեջ մտնելուց հետո,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մեկամսյա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ժամկետում</w:t>
      </w:r>
      <w:r w:rsidR="00F23B8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>«</w:t>
      </w:r>
      <w:r w:rsidR="00F23B81">
        <w:rPr>
          <w:rFonts w:ascii="GHEA Grapalat" w:hAnsi="GHEA Grapalat"/>
          <w:lang w:val="hy-AM"/>
        </w:rPr>
        <w:t>Կ. Դեմիրճյանի անվան մարզահամերգային համալիր» պետական ոչ առևտրային կազմակերպության տնօրենի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համատեղ.</w:t>
      </w:r>
    </w:p>
    <w:p w:rsidR="005A7FD4" w:rsidRDefault="005A7FD4" w:rsidP="003D191C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3.1. 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լուծել սույն որոշման 1-ին կետում նշված Գույք 1-ի </w:t>
      </w:r>
      <w:r w:rsidR="003804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23.09.2019թ. 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>կնքված</w:t>
      </w:r>
      <w:r w:rsidR="003804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շարժական գույքի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անհատույց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օգտագործման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3804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թիվ 02/0019 </w:t>
      </w:r>
      <w:r w:rsidR="00F23B81" w:rsidRPr="005A7FD4"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րը,</w:t>
      </w:r>
    </w:p>
    <w:p w:rsidR="005A7FD4" w:rsidRDefault="005A7FD4" w:rsidP="003D191C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3.2.</w:t>
      </w:r>
      <w:r w:rsidR="00F23B81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ապահովել </w:t>
      </w:r>
      <w:r w:rsidR="0052001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սույն որոշման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2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>-րդ</w:t>
      </w:r>
      <w:r w:rsidR="0052001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կետում նշված գույք</w:t>
      </w:r>
      <w:r w:rsidR="00F23B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2-</w:t>
      </w:r>
      <w:r w:rsidR="0052001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 </w:t>
      </w:r>
      <w:r w:rsidR="00520013" w:rsidRPr="00F23B81">
        <w:rPr>
          <w:rFonts w:ascii="GHEA Grapalat" w:hAnsi="GHEA Grapalat" w:cs="Sylfaen"/>
          <w:color w:val="000000"/>
          <w:shd w:val="clear" w:color="auto" w:fill="FFFFFF"/>
          <w:lang w:val="hy-AM"/>
        </w:rPr>
        <w:t>անհատույց</w:t>
      </w:r>
      <w:r w:rsidR="00520013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520013" w:rsidRPr="00F23B81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օգտագործման</w:t>
      </w:r>
      <w:r w:rsidR="00520013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520013" w:rsidRPr="00F23B81"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պայմանագրի</w:t>
      </w:r>
      <w:r w:rsidR="00520013"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520013" w:rsidRPr="00F23B81">
        <w:rPr>
          <w:rFonts w:ascii="GHEA Grapalat" w:hAnsi="GHEA Grapalat" w:cs="Sylfaen"/>
          <w:color w:val="000000"/>
          <w:shd w:val="clear" w:color="auto" w:fill="FFFFFF"/>
          <w:lang w:val="hy-AM"/>
        </w:rPr>
        <w:t>կնքումը</w:t>
      </w:r>
      <w:r w:rsidR="003E3166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</w:p>
    <w:p w:rsidR="00520013" w:rsidRDefault="005A7FD4" w:rsidP="003D191C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-630" w:firstLine="63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3.3.</w:t>
      </w:r>
      <w:r w:rsidR="005C416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սահմանել</w:t>
      </w:r>
      <w:bookmarkStart w:id="0" w:name="_GoBack"/>
      <w:bookmarkEnd w:id="0"/>
      <w:r w:rsidR="0052001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ով, որ </w:t>
      </w:r>
      <w:r w:rsidR="00F23B81" w:rsidRPr="00C22CAC">
        <w:rPr>
          <w:rFonts w:ascii="GHEA Grapalat" w:hAnsi="GHEA Grapalat" w:cs="Arial"/>
          <w:color w:val="000000"/>
          <w:shd w:val="clear" w:color="auto" w:fill="FFFFFF"/>
          <w:lang w:val="hy-AM"/>
        </w:rPr>
        <w:t>սույն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կետի հիման վրա կնքված գործարքներից բխող</w:t>
      </w:r>
      <w:r w:rsidR="00F23B81" w:rsidRPr="00C22CA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2001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ծախսերը ենթակա են իրականացման «</w:t>
      </w:r>
      <w:r w:rsidR="00520013">
        <w:rPr>
          <w:rFonts w:ascii="GHEA Grapalat" w:hAnsi="GHEA Grapalat"/>
          <w:lang w:val="hy-AM"/>
        </w:rPr>
        <w:t>Կ. Դեմիրճյանի անվան մարզահամերգային համալիր» պետական ոչ առևտրային կազմակերպության</w:t>
      </w:r>
      <w:r w:rsidR="0052001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միջոցների հաշվին։</w:t>
      </w:r>
    </w:p>
    <w:p w:rsidR="00520013" w:rsidRDefault="00520013" w:rsidP="003D191C">
      <w:pPr>
        <w:spacing w:line="360" w:lineRule="auto"/>
        <w:ind w:right="651"/>
        <w:rPr>
          <w:rFonts w:ascii="GHEA Grapalat" w:hAnsi="GHEA Grapalat" w:cs="GHEA Grapalat"/>
          <w:b/>
          <w:i w:val="0"/>
          <w:color w:val="FF0000"/>
          <w:sz w:val="24"/>
          <w:szCs w:val="24"/>
          <w:lang w:val="hy-AM"/>
        </w:rPr>
      </w:pPr>
    </w:p>
    <w:p w:rsidR="00520013" w:rsidRDefault="00520013" w:rsidP="003D191C">
      <w:pPr>
        <w:spacing w:line="360" w:lineRule="auto"/>
        <w:ind w:right="651"/>
        <w:rPr>
          <w:rFonts w:ascii="GHEA Grapalat" w:hAnsi="GHEA Grapalat" w:cs="GHEA Grapalat"/>
          <w:b/>
          <w:i w:val="0"/>
          <w:color w:val="FF0000"/>
          <w:sz w:val="24"/>
          <w:szCs w:val="24"/>
          <w:lang w:val="hy-AM"/>
        </w:rPr>
      </w:pPr>
    </w:p>
    <w:p w:rsidR="00520013" w:rsidRDefault="00520013" w:rsidP="00520013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520013" w:rsidRDefault="00520013" w:rsidP="00520013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520013" w:rsidRDefault="00520013" w:rsidP="00520013">
      <w:pPr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520013" w:rsidRDefault="00520013" w:rsidP="00520013">
      <w:pPr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3D191C" w:rsidRDefault="003D191C" w:rsidP="003D191C">
      <w:pPr>
        <w:spacing w:after="160" w:line="259" w:lineRule="auto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3D191C" w:rsidRDefault="003D191C" w:rsidP="003D191C">
      <w:pPr>
        <w:spacing w:after="160" w:line="259" w:lineRule="auto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3D191C" w:rsidRDefault="003D191C" w:rsidP="003D191C">
      <w:pPr>
        <w:spacing w:after="160" w:line="259" w:lineRule="auto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3D191C" w:rsidRDefault="003D191C" w:rsidP="003D191C">
      <w:pPr>
        <w:spacing w:after="160" w:line="259" w:lineRule="auto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AC68C7" w:rsidRDefault="00AC68C7" w:rsidP="003D191C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AC68C7" w:rsidRDefault="00AC68C7" w:rsidP="003D191C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6972B4" w:rsidRDefault="006972B4" w:rsidP="003D191C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520013" w:rsidRDefault="006972B4" w:rsidP="003D191C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Ի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Ն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Ա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Վ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="002C6F97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1E6734" w:rsidRPr="001E6734" w:rsidRDefault="00136D75" w:rsidP="003D191C">
      <w:pPr>
        <w:pStyle w:val="NormalWeb"/>
        <w:spacing w:after="0" w:afterAutospacing="0" w:line="360" w:lineRule="auto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ԳՈՒՅՔ ՀԵՏ ՎԵՐՑՆԵԼՈՒ ԵՎ ԱՆՀԱՏՈՒՅՑ ՕԳՏԱԳՈՐԾՄԱՆ ԻՐԱՎՈՒՆՔՈՎ ԳՈՒՅՔ ՀԱՆՁՆԵԼՈՒ ՄԱՍԻՆ</w:t>
      </w:r>
    </w:p>
    <w:p w:rsidR="00520013" w:rsidRDefault="00520013" w:rsidP="003D191C">
      <w:pPr>
        <w:spacing w:line="360" w:lineRule="auto"/>
        <w:ind w:firstLine="720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1318F3" w:rsidRPr="002B6D74" w:rsidRDefault="001318F3" w:rsidP="003D191C">
      <w:pPr>
        <w:pStyle w:val="norm"/>
        <w:spacing w:line="360" w:lineRule="auto"/>
        <w:ind w:left="-630" w:firstLine="540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2B6D74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2B6D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կառավարության 2019 թվականի սեպտեմբերի 12-ի «Անհատույց օգտագործման իրավունքով գույք հանձնելու մասին» </w:t>
      </w:r>
      <w:r w:rsidRPr="002B6D74">
        <w:rPr>
          <w:rFonts w:ascii="GHEA Grapalat" w:hAnsi="GHEA Grapalat" w:cs="Sylfaen"/>
          <w:sz w:val="24"/>
          <w:szCs w:val="24"/>
          <w:lang w:val="fr-FR"/>
        </w:rPr>
        <w:t>N1216-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կառավարության որոշման </w:t>
      </w:r>
      <w:r w:rsidRPr="002B6D74"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B6D74">
        <w:rPr>
          <w:rFonts w:ascii="GHEA Grapalat" w:hAnsi="GHEA Grapalat"/>
          <w:sz w:val="24"/>
          <w:szCs w:val="24"/>
          <w:lang w:val="hy-AM"/>
        </w:rPr>
        <w:t>«Կ. Դեմիրճյանի անվան մարզահամերգային համալիր» պետական ոչ առևտրային կազմակերպությանը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 օգտագործման իրավունքով տրամադրված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 ՀՀ ՏԿԵ նախարարության</w:t>
      </w:r>
      <w:r w:rsidRPr="002B6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գույքի կառավարման կոմիտեին ամրացված՝ «Տոյոտա Քեմրի» (TՕYՕTA CAMRY 2.5 GAS) մակնիշի, 014 LL 55 պետհամարանիշի</w:t>
      </w:r>
      <w:r w:rsidR="001A2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A2431" w:rsidRPr="001A24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r w:rsidR="001A2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 պետհամարանիշը՝ 676 ՏՏ 60</w:t>
      </w:r>
      <w:r w:rsidR="001A2431" w:rsidRPr="001A24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 w:rsidRPr="002B6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(թողարկման տարեթիվը՝ 2013 թվական, նույնացման համարը՝ JTNBFYF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K203026141) տրանսպորտային միջոցը հետ վերցնել</w:t>
      </w:r>
      <w:r w:rsidRPr="002B6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«Կարեն Դեմիրճյանի անվան մարզահամերգային համալիր» պետական ոչ առևտրային կազմակերպութ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</w:t>
      </w:r>
      <w:r w:rsidRPr="002B6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Pr="002B6D74">
        <w:rPr>
          <w:rFonts w:ascii="GHEA Grapalat" w:hAnsi="GHEA Grapalat"/>
          <w:sz w:val="24"/>
          <w:szCs w:val="24"/>
          <w:lang w:val="hy-AM"/>
        </w:rPr>
        <w:t>։</w:t>
      </w:r>
    </w:p>
    <w:p w:rsidR="0055549F" w:rsidRDefault="00F21D71" w:rsidP="003D191C">
      <w:pPr>
        <w:pStyle w:val="norm"/>
        <w:spacing w:line="360" w:lineRule="auto"/>
        <w:ind w:left="-630" w:firstLine="540"/>
        <w:rPr>
          <w:rFonts w:ascii="GHEA Grapalat" w:hAnsi="GHEA Grapalat"/>
          <w:sz w:val="24"/>
          <w:szCs w:val="24"/>
          <w:lang w:val="hy-AM"/>
        </w:rPr>
      </w:pPr>
      <w:r w:rsidRPr="002B6D7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B6D74">
        <w:rPr>
          <w:rFonts w:ascii="GHEA Grapalat" w:hAnsi="GHEA Grapalat"/>
          <w:bCs/>
          <w:sz w:val="24"/>
          <w:szCs w:val="24"/>
          <w:lang w:val="hy-AM"/>
        </w:rPr>
        <w:t>Նախագծով առաջարկվում է</w:t>
      </w:r>
      <w:r w:rsidR="001318F3">
        <w:rPr>
          <w:rFonts w:ascii="GHEA Grapalat" w:hAnsi="GHEA Grapalat"/>
          <w:bCs/>
          <w:sz w:val="24"/>
          <w:szCs w:val="24"/>
          <w:lang w:val="hy-AM"/>
        </w:rPr>
        <w:t xml:space="preserve"> նաև</w:t>
      </w:r>
      <w:r w:rsidRPr="002B6D74">
        <w:rPr>
          <w:rFonts w:ascii="GHEA Grapalat" w:hAnsi="GHEA Grapalat"/>
          <w:bCs/>
          <w:sz w:val="24"/>
          <w:szCs w:val="24"/>
          <w:lang w:val="hy-AM"/>
        </w:rPr>
        <w:t xml:space="preserve"> ՀՀ ՏԿԵ նախարարության պետական գույքի կառավարման կոմիտեին ամրացված  10 000 000 դրամ սկզբնական և </w:t>
      </w:r>
      <w:r w:rsidRPr="002B6D74">
        <w:rPr>
          <w:rFonts w:ascii="GHEA Grapalat" w:hAnsi="GHEA Grapalat"/>
          <w:bCs/>
          <w:sz w:val="24"/>
          <w:szCs w:val="24"/>
          <w:lang w:val="fr-FR"/>
        </w:rPr>
        <w:t>2 143 907</w:t>
      </w:r>
      <w:r w:rsidRPr="002B6D74">
        <w:rPr>
          <w:rFonts w:ascii="GHEA Grapalat" w:hAnsi="GHEA Grapalat"/>
          <w:bCs/>
          <w:sz w:val="24"/>
          <w:szCs w:val="24"/>
          <w:lang w:val="hy-AM"/>
        </w:rPr>
        <w:t xml:space="preserve"> դրամ հաշվեկշռային արժեքով  «</w:t>
      </w:r>
      <w:r w:rsidRPr="002B6D74">
        <w:rPr>
          <w:rFonts w:ascii="GHEA Grapalat" w:hAnsi="GHEA Grapalat" w:cs="Sylfaen"/>
          <w:sz w:val="24"/>
          <w:szCs w:val="24"/>
          <w:lang w:val="fr-FR"/>
        </w:rPr>
        <w:t>TOYOTA COROLLA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 1.6 </w:t>
      </w:r>
      <w:r w:rsidRPr="002B6D74">
        <w:rPr>
          <w:rFonts w:ascii="GHEA Grapalat" w:hAnsi="GHEA Grapalat" w:cs="Sylfaen"/>
          <w:sz w:val="24"/>
          <w:szCs w:val="24"/>
          <w:lang w:val="fr-FR"/>
        </w:rPr>
        <w:t>GAS</w:t>
      </w:r>
      <w:r w:rsidRPr="002B6D74">
        <w:rPr>
          <w:rFonts w:ascii="GHEA Grapalat" w:hAnsi="GHEA Grapalat" w:cs="Sylfaen"/>
          <w:sz w:val="24"/>
          <w:szCs w:val="24"/>
          <w:lang w:val="hy-AM"/>
        </w:rPr>
        <w:t>»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B6D74">
        <w:rPr>
          <w:rFonts w:ascii="GHEA Grapalat" w:hAnsi="GHEA Grapalat" w:cs="Sylfaen"/>
          <w:sz w:val="24"/>
          <w:szCs w:val="24"/>
          <w:lang w:val="hy-AM"/>
        </w:rPr>
        <w:t>«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Տոյոտա </w:t>
      </w:r>
      <w:r w:rsidRPr="002B6D74">
        <w:rPr>
          <w:rFonts w:ascii="GHEA Grapalat" w:hAnsi="GHEA Grapalat" w:cs="Sylfaen"/>
          <w:sz w:val="24"/>
          <w:szCs w:val="24"/>
          <w:lang w:val="hy-AM"/>
        </w:rPr>
        <w:t>Կորոլլա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 1.6 GAS</w:t>
      </w:r>
      <w:r w:rsidRPr="002B6D74">
        <w:rPr>
          <w:rFonts w:ascii="GHEA Grapalat" w:hAnsi="GHEA Grapalat" w:cs="Sylfaen"/>
          <w:sz w:val="24"/>
          <w:szCs w:val="24"/>
          <w:lang w:val="hy-AM"/>
        </w:rPr>
        <w:t>»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)  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մակնիշի, </w:t>
      </w:r>
      <w:r w:rsidRPr="002B6D74">
        <w:rPr>
          <w:rFonts w:ascii="GHEA Grapalat" w:hAnsi="GHEA Grapalat" w:cs="Sylfaen"/>
          <w:sz w:val="24"/>
          <w:szCs w:val="24"/>
          <w:lang w:val="fr-FR"/>
        </w:rPr>
        <w:t>166 SS 60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 պետհամարանիշի </w:t>
      </w:r>
      <w:r w:rsidRPr="002B6D74">
        <w:rPr>
          <w:rFonts w:ascii="GHEA Grapalat" w:hAnsi="GHEA Grapalat" w:cs="Sylfaen"/>
          <w:sz w:val="24"/>
          <w:szCs w:val="24"/>
          <w:lang w:val="fr-FR"/>
        </w:rPr>
        <w:t>(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թողարկման տարեթիվը՝ 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2015 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թվական, նույնացման համարը՝ </w:t>
      </w:r>
      <w:r w:rsidRPr="002B6D74">
        <w:rPr>
          <w:rFonts w:ascii="GHEA Grapalat" w:hAnsi="GHEA Grapalat" w:cs="Sylfaen"/>
          <w:sz w:val="24"/>
          <w:szCs w:val="24"/>
          <w:lang w:val="fr-FR"/>
        </w:rPr>
        <w:t xml:space="preserve">NMTBB0JE70R109936) </w:t>
      </w:r>
      <w:r w:rsidRPr="002B6D74">
        <w:rPr>
          <w:rFonts w:ascii="GHEA Grapalat" w:hAnsi="GHEA Grapalat" w:cs="Sylfaen"/>
          <w:sz w:val="24"/>
          <w:szCs w:val="24"/>
          <w:lang w:val="hy-AM"/>
        </w:rPr>
        <w:t xml:space="preserve">տրանսպորտային միջոցն </w:t>
      </w:r>
      <w:r w:rsidRPr="002B6D74">
        <w:rPr>
          <w:rFonts w:ascii="GHEA Grapalat" w:hAnsi="GHEA Grapalat"/>
          <w:sz w:val="24"/>
          <w:szCs w:val="24"/>
          <w:lang w:val="hy-AM"/>
        </w:rPr>
        <w:t>անհատույց օգտագործման իրավունքով ամրացնել «Կ. Դեմիրճյանի անվան մարզահամերգային համալիր» պետական ոչ առևտրային կազմակերպությանը։</w:t>
      </w:r>
    </w:p>
    <w:p w:rsidR="001E6734" w:rsidRPr="00AC68C7" w:rsidRDefault="0055549F" w:rsidP="00AC68C7">
      <w:pPr>
        <w:pStyle w:val="norm"/>
        <w:spacing w:line="360" w:lineRule="auto"/>
        <w:ind w:left="-630" w:firstLine="540"/>
        <w:rPr>
          <w:rFonts w:ascii="GHEA Grapalat" w:hAnsi="GHEA Grapalat"/>
          <w:sz w:val="24"/>
          <w:szCs w:val="24"/>
          <w:lang w:val="hy-AM"/>
        </w:rPr>
      </w:pPr>
      <w:r w:rsidRPr="001E6734">
        <w:rPr>
          <w:rFonts w:ascii="GHEA Grapalat" w:hAnsi="GHEA Grapalat"/>
          <w:b/>
          <w:i/>
          <w:sz w:val="24"/>
          <w:szCs w:val="24"/>
          <w:lang w:val="hy-AM"/>
        </w:rPr>
        <w:t>«Գույք հետ վերցնելու և անհատույց օգտագործման իրավունքով գույք հանձնելու մասին»</w:t>
      </w:r>
      <w:r w:rsidRPr="0055549F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Հայաստանի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որոշման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նախագծի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ընդունումը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Հայաստանի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պետական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բյուջեում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ծախսերի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և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եկամուտների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էական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ավելացում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կամ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նվազեցում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չի</w:t>
      </w:r>
      <w:r w:rsidRPr="005554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49F">
        <w:rPr>
          <w:rFonts w:ascii="GHEA Grapalat" w:hAnsi="GHEA Grapalat"/>
          <w:sz w:val="24"/>
          <w:szCs w:val="24"/>
          <w:lang w:val="hy-AM"/>
        </w:rPr>
        <w:t>առաջացնի</w:t>
      </w:r>
      <w:r w:rsidR="00AC68C7">
        <w:rPr>
          <w:rFonts w:ascii="GHEA Grapalat" w:hAnsi="GHEA Grapalat"/>
          <w:sz w:val="24"/>
          <w:szCs w:val="24"/>
          <w:lang w:val="hy-AM"/>
        </w:rPr>
        <w:t>։</w:t>
      </w:r>
    </w:p>
    <w:p w:rsidR="00AC68C7" w:rsidRDefault="00AC68C7" w:rsidP="00AC68C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</w:pPr>
    </w:p>
    <w:p w:rsidR="001E6734" w:rsidRDefault="001E6734" w:rsidP="0055549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</w:pPr>
    </w:p>
    <w:p w:rsidR="0055549F" w:rsidRDefault="0055549F" w:rsidP="0055549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55549F" w:rsidRPr="00C22CAC" w:rsidRDefault="0055549F" w:rsidP="0055549F">
      <w:pPr>
        <w:pStyle w:val="NormalWeb"/>
        <w:spacing w:after="0" w:afterAutospacing="0" w:line="276" w:lineRule="auto"/>
        <w:jc w:val="center"/>
        <w:rPr>
          <w:rStyle w:val="Strong"/>
          <w:rFonts w:ascii="GHEA Grapalat" w:hAnsi="GHEA Grapalat"/>
          <w:color w:val="FF0000"/>
          <w:lang w:val="fr-FR"/>
        </w:rPr>
      </w:pPr>
      <w:r w:rsidRPr="00136D7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ԳՈՒՅՔ ՀԵՏ ՎԵՐՑՆԵԼՈՒ ԵՎ ԱՆՀԱՏՈՒՅՑ ՕԳՏԱԳՈՐԾՄԱՆ ԻՐԱՎՈՒՆՔՈՎ ԳՈՒՅՔ ՀԱՆՁՆԵԼՈՒ ՄԱՍԻՆ</w:t>
      </w:r>
    </w:p>
    <w:p w:rsidR="0055549F" w:rsidRDefault="0055549F" w:rsidP="0055549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ՀՀ ԿԱՌԱՎԱՐՈՒԹՅԱՆ ՈՐՈՇՄԱՆ ՆԱԽԱԳԾԻ</w:t>
      </w:r>
    </w:p>
    <w:p w:rsidR="0055549F" w:rsidRDefault="0055549F" w:rsidP="0055549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</w:t>
      </w:r>
    </w:p>
    <w:tbl>
      <w:tblPr>
        <w:tblW w:w="104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2"/>
        <w:gridCol w:w="3330"/>
      </w:tblGrid>
      <w:tr w:rsidR="0055549F" w:rsidTr="008B3E45">
        <w:trPr>
          <w:tblCellSpacing w:w="0" w:type="dxa"/>
          <w:jc w:val="center"/>
        </w:trPr>
        <w:tc>
          <w:tcPr>
            <w:tcW w:w="7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5549F" w:rsidRPr="006972B4" w:rsidRDefault="0055549F" w:rsidP="006972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1. ՀՀ տարածքային կառավարման և ենթակառուցվածքների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5549F" w:rsidRPr="006972B4" w:rsidRDefault="00CB5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24.02.</w:t>
            </w:r>
            <w:r w:rsidR="0055549F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55549F" w:rsidTr="008B3E4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5549F" w:rsidRPr="006972B4" w:rsidRDefault="0055549F" w:rsidP="00CB5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</w:t>
            </w:r>
            <w:r w:rsidR="00CB54D0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ՍՊ/21.1/4270-2021</w:t>
            </w:r>
          </w:p>
        </w:tc>
      </w:tr>
      <w:tr w:rsidR="0055549F" w:rsidTr="008B3E45">
        <w:trPr>
          <w:tblCellSpacing w:w="0" w:type="dxa"/>
          <w:jc w:val="center"/>
        </w:trPr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9F" w:rsidRPr="006972B4" w:rsidRDefault="0055549F" w:rsidP="006972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Հանձնարարվել է սահմանված կարգով ընթացք տալ։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5549F" w:rsidRPr="006972B4" w:rsidRDefault="0055549F" w:rsidP="00CB5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Calibri" w:eastAsia="Times New Roman" w:hAnsi="Calibri" w:cs="Calibri"/>
                <w:bCs w:val="0"/>
                <w:i w:val="0"/>
                <w:color w:val="000000"/>
                <w:sz w:val="24"/>
                <w:szCs w:val="24"/>
                <w:lang w:val="hy-AM"/>
              </w:rPr>
              <w:t> 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Ընդունվել է ի գիտություն։</w:t>
            </w:r>
          </w:p>
        </w:tc>
      </w:tr>
      <w:tr w:rsidR="0055549F" w:rsidTr="0055549F">
        <w:trPr>
          <w:tblCellSpacing w:w="0" w:type="dxa"/>
          <w:jc w:val="center"/>
        </w:trPr>
        <w:tc>
          <w:tcPr>
            <w:tcW w:w="7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55549F" w:rsidRPr="006972B4" w:rsidRDefault="00CB5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26.02.</w:t>
            </w:r>
            <w:r w:rsidR="0055549F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55549F" w:rsidTr="0055549F">
        <w:trPr>
          <w:trHeight w:val="19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55549F" w:rsidRPr="006972B4" w:rsidRDefault="00CB5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N01/8-2/2806-2021</w:t>
            </w:r>
          </w:p>
        </w:tc>
      </w:tr>
      <w:tr w:rsidR="0055549F" w:rsidTr="0055549F">
        <w:trPr>
          <w:trHeight w:val="192"/>
          <w:tblCellSpacing w:w="0" w:type="dxa"/>
          <w:jc w:val="center"/>
        </w:trPr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  Առաջարկություններ և դիտողություններ չունի։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5549F" w:rsidRPr="006972B4" w:rsidRDefault="0055549F">
            <w:pP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</w:tr>
      <w:tr w:rsidR="0055549F" w:rsidTr="0083124F">
        <w:trPr>
          <w:trHeight w:val="237"/>
          <w:tblCellSpacing w:w="0" w:type="dxa"/>
          <w:jc w:val="center"/>
        </w:trPr>
        <w:tc>
          <w:tcPr>
            <w:tcW w:w="7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3.</w:t>
            </w:r>
            <w:r w:rsidR="008B3E45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«</w:t>
            </w:r>
            <w:r w:rsidR="008B3E45" w:rsidRPr="006972B4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Կ. Դեմիրճյանի անվան մարզահամերգային համալիր»</w:t>
            </w:r>
            <w:r w:rsidR="008B3E45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ՊՈԱԿ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55549F" w:rsidRPr="006972B4" w:rsidRDefault="0083124F" w:rsidP="008312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10.03.2021թ.</w:t>
            </w:r>
          </w:p>
        </w:tc>
      </w:tr>
      <w:tr w:rsidR="0055549F" w:rsidTr="0055549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55549F" w:rsidRPr="006972B4" w:rsidRDefault="008312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Ե47</w:t>
            </w:r>
          </w:p>
        </w:tc>
      </w:tr>
      <w:tr w:rsidR="0055549F" w:rsidRPr="005C416A" w:rsidTr="0055549F">
        <w:trPr>
          <w:tblCellSpacing w:w="0" w:type="dxa"/>
          <w:jc w:val="center"/>
        </w:trPr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Առաջարկություններ չունի։</w:t>
            </w:r>
          </w:p>
          <w:p w:rsidR="0083124F" w:rsidRPr="006972B4" w:rsidRDefault="0083124F" w:rsidP="006972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Միաժամանակ առաջարկվել է «TOYOTA CAMRY 2.5 GAS» մակնիշի, 014 LL 55 պետհամարանիշի (թողարկման տարեթիվը՝ 2013 թվական, նույնացման համարը՝ </w:t>
            </w:r>
            <w:r w:rsidR="001E6734" w:rsidRPr="00697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E6734" w:rsidRPr="006972B4">
              <w:rPr>
                <w:rFonts w:ascii="GHEA Grapalat" w:hAnsi="GHEA Grapalat"/>
                <w:i w:val="0"/>
                <w:color w:val="000000"/>
                <w:sz w:val="24"/>
                <w:szCs w:val="24"/>
                <w:shd w:val="clear" w:color="auto" w:fill="FFFFFF"/>
                <w:lang w:val="hy-AM"/>
              </w:rPr>
              <w:t>JTNBFYFK203026141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)</w:t>
            </w:r>
            <w:r w:rsidR="001E6734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տրանսպորտային միջոցի հաշվեկշռային արժեքը ճշգրտել։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49F" w:rsidRPr="006972B4" w:rsidRDefault="001E67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>Ընդունվել է։</w:t>
            </w:r>
            <w:r w:rsidR="003D191C" w:rsidRPr="006972B4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                            Նախագծի 1-ին կետում նշված «TOYOTA CAMRY 2.5 GAS</w:t>
            </w:r>
            <w:r w:rsidR="003D191C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» մակնիշի, 014 LL 55 պետհամարանիշի տրանսպորտային միջոցի արժեքը ճշտվել է։</w:t>
            </w:r>
          </w:p>
        </w:tc>
      </w:tr>
      <w:tr w:rsidR="0055549F" w:rsidTr="0055549F">
        <w:trPr>
          <w:trHeight w:val="435"/>
          <w:tblCellSpacing w:w="0" w:type="dxa"/>
          <w:jc w:val="center"/>
        </w:trPr>
        <w:tc>
          <w:tcPr>
            <w:tcW w:w="7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5549F" w:rsidRPr="006972B4" w:rsidRDefault="001E6734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4</w:t>
            </w:r>
            <w:r w:rsidR="0055549F"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. ՀՀ արդարադատության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55549F" w:rsidRPr="006972B4" w:rsidRDefault="001E67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17.03.2021թ.</w:t>
            </w:r>
          </w:p>
        </w:tc>
      </w:tr>
      <w:tr w:rsidR="0055549F" w:rsidTr="0055549F">
        <w:trPr>
          <w:trHeight w:val="81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9F" w:rsidRPr="006972B4" w:rsidRDefault="0055549F" w:rsidP="006972B4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55549F" w:rsidRPr="006972B4" w:rsidRDefault="001E67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01/27.4/6245-2021</w:t>
            </w:r>
          </w:p>
        </w:tc>
      </w:tr>
      <w:tr w:rsidR="0055549F" w:rsidRPr="001E6734" w:rsidTr="0055549F">
        <w:trPr>
          <w:trHeight w:val="813"/>
          <w:tblCellSpacing w:w="0" w:type="dxa"/>
          <w:jc w:val="center"/>
        </w:trPr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734" w:rsidRPr="006972B4" w:rsidRDefault="001E6734" w:rsidP="006972B4">
            <w:pPr>
              <w:spacing w:after="0" w:line="360" w:lineRule="auto"/>
              <w:ind w:left="330" w:firstLine="420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Հայաստանի Հանրապետության կառավարության 2021 թվականի փետրվարի 25-ի թիվ 252-Լ որոշմամբ հաստատված աշխատակարգի 15-րդ կետում ամրագրված կարգավորման համաձայն՝ նախագծերը նախապես </w:t>
            </w: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>կարծիքի են ուղարկվում շահագրգիռ մարմիններին նախագիծը ներկայացնողի կողմից: Ոչ նորմատիվ բնույթի նախագծերը կարծիքի են ուղարկվում նաև արդարադատության նախարարություն, բացառությամբ օրենքի կիրարկումն ապահովող միջոցառումների մասին, աշխատանքային խմբերի (հանձնաժողովների, հանձնախմբերի) մասին, գույք հետ վերցնելու կամ ամրացնելու մասին նախագծերի:</w:t>
            </w:r>
          </w:p>
          <w:p w:rsidR="001E6734" w:rsidRPr="006972B4" w:rsidRDefault="001E6734" w:rsidP="006972B4">
            <w:pPr>
              <w:spacing w:after="0" w:line="360" w:lineRule="auto"/>
              <w:ind w:left="330" w:firstLine="420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Տվյալ դեպքում նկատի ունենալով այն հանգամանքը, որ ներկայացված նախագծի պարագայում ՀՀ արդարադատության նախարարությունը շահագրգիռ մարմին չի հանդիսանում և,միևնույն ժամանակ, ղեկավարվելով Հայաստանի Հանրապետության կառավարության 2021 թվականի փետրվարի 25-ի թիվ 252-Լ որոշմամբ հաստատված աշխատակարգի 15-րդ կետի պահանջներով՝ հարկ ենք համարում նշել, որ ներկայացված «Գույք հետ վերցնելու և անհատույց օգտագործման իրավունքով գույք հանձնելու մասին» Հայաստանի Հանրապետության կառավարության որոշման նախագծի վերաբերյալ Հայաստանի Հանրապետության արդարադատության նախարարության կողմից կարծիք չի ներկայացվելու:</w:t>
            </w:r>
          </w:p>
          <w:p w:rsidR="0055549F" w:rsidRPr="006972B4" w:rsidRDefault="0055549F" w:rsidP="006972B4">
            <w:pPr>
              <w:spacing w:after="0" w:line="360" w:lineRule="auto"/>
              <w:ind w:left="330" w:firstLine="420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E6734" w:rsidRPr="006972B4" w:rsidRDefault="001E6734">
            <w:pPr>
              <w:spacing w:after="0" w:line="252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1E6734" w:rsidRPr="006972B4" w:rsidRDefault="001E6734">
            <w:pPr>
              <w:spacing w:after="0" w:line="252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  <w:p w:rsidR="0055549F" w:rsidRPr="006972B4" w:rsidRDefault="001E6734" w:rsidP="006972B4">
            <w:pPr>
              <w:spacing w:after="0" w:line="252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6972B4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</w:tbl>
    <w:p w:rsidR="0055549F" w:rsidRDefault="0055549F" w:rsidP="0055549F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520013" w:rsidRDefault="00520013" w:rsidP="006972B4">
      <w:pPr>
        <w:spacing w:after="0" w:line="360" w:lineRule="auto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D3020" w:rsidRPr="006972B4" w:rsidRDefault="008D3020">
      <w:pPr>
        <w:rPr>
          <w:rFonts w:asciiTheme="minorHAnsi" w:hAnsiTheme="minorHAnsi"/>
          <w:lang w:val="hy-AM"/>
        </w:rPr>
      </w:pPr>
    </w:p>
    <w:sectPr w:rsidR="008D3020" w:rsidRPr="006972B4" w:rsidSect="00AC68C7">
      <w:pgSz w:w="12240" w:h="15840"/>
      <w:pgMar w:top="13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61B"/>
    <w:multiLevelType w:val="hybridMultilevel"/>
    <w:tmpl w:val="6C58F0CC"/>
    <w:lvl w:ilvl="0" w:tplc="51E891BC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3E"/>
    <w:rsid w:val="000E3528"/>
    <w:rsid w:val="00100529"/>
    <w:rsid w:val="001318F3"/>
    <w:rsid w:val="00136D75"/>
    <w:rsid w:val="001A2431"/>
    <w:rsid w:val="001B124C"/>
    <w:rsid w:val="001E6734"/>
    <w:rsid w:val="00230E70"/>
    <w:rsid w:val="002B6D74"/>
    <w:rsid w:val="002C6F97"/>
    <w:rsid w:val="0038042E"/>
    <w:rsid w:val="003A336E"/>
    <w:rsid w:val="003D191C"/>
    <w:rsid w:val="003E3166"/>
    <w:rsid w:val="00497929"/>
    <w:rsid w:val="00520013"/>
    <w:rsid w:val="0055549F"/>
    <w:rsid w:val="005A7FD4"/>
    <w:rsid w:val="005C416A"/>
    <w:rsid w:val="006972B4"/>
    <w:rsid w:val="0083124F"/>
    <w:rsid w:val="00870EA0"/>
    <w:rsid w:val="008B3E45"/>
    <w:rsid w:val="008D3020"/>
    <w:rsid w:val="008D70E9"/>
    <w:rsid w:val="00933C55"/>
    <w:rsid w:val="00AC5B6C"/>
    <w:rsid w:val="00AC68C7"/>
    <w:rsid w:val="00C22CAC"/>
    <w:rsid w:val="00CB54D0"/>
    <w:rsid w:val="00D421B4"/>
    <w:rsid w:val="00E277B8"/>
    <w:rsid w:val="00E71B56"/>
    <w:rsid w:val="00EA7778"/>
    <w:rsid w:val="00F21D71"/>
    <w:rsid w:val="00F23B81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6E65"/>
  <w15:chartTrackingRefBased/>
  <w15:docId w15:val="{CE184ECD-FD48-4693-AE5E-B1933BC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13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52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character" w:customStyle="1" w:styleId="normChar">
    <w:name w:val="norm Char"/>
    <w:link w:val="norm"/>
    <w:locked/>
    <w:rsid w:val="00520013"/>
    <w:rPr>
      <w:rFonts w:ascii="Arial Armenian" w:eastAsia="Times New Roman" w:hAnsi="Arial Armenian" w:cs="Times New Roman"/>
    </w:rPr>
  </w:style>
  <w:style w:type="paragraph" w:customStyle="1" w:styleId="norm">
    <w:name w:val="norm"/>
    <w:basedOn w:val="Normal"/>
    <w:link w:val="normChar"/>
    <w:rsid w:val="0052001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52001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520013"/>
    <w:pPr>
      <w:spacing w:after="0" w:line="240" w:lineRule="auto"/>
      <w:jc w:val="center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200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AC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751C-B2E3-4066-B34E-278D47A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https://mul2.gov.am/tasks/410956/oneclick/naxagic.docx?token=e2fb5cac94f6f62c87a333a5e773adac</cp:keywords>
  <dc:description/>
  <cp:lastModifiedBy>Liana Chanakhchyan</cp:lastModifiedBy>
  <cp:revision>42</cp:revision>
  <cp:lastPrinted>2021-02-18T11:57:00Z</cp:lastPrinted>
  <dcterms:created xsi:type="dcterms:W3CDTF">2021-02-12T10:38:00Z</dcterms:created>
  <dcterms:modified xsi:type="dcterms:W3CDTF">2021-03-29T07:12:00Z</dcterms:modified>
</cp:coreProperties>
</file>