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549" w:rsidRPr="00A072FC" w:rsidRDefault="002B2549" w:rsidP="00A072FC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A072FC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2B2549" w:rsidRPr="00A072FC" w:rsidRDefault="002B2549" w:rsidP="00A072FC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</w:p>
    <w:p w:rsidR="008D5DAC" w:rsidRPr="00A072FC" w:rsidRDefault="008D5DAC" w:rsidP="00A072FC">
      <w:pPr>
        <w:pStyle w:val="ListParagraph"/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A072F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ՆՈՐ</w:t>
      </w:r>
      <w:r w:rsidRPr="00A072FC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ԿԱՌՈՒՑՎՈՂ</w:t>
      </w:r>
      <w:r w:rsidRPr="00A072FC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ՓՈՔՐ</w:t>
      </w:r>
      <w:r w:rsidRPr="00A072FC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ՀԻԴՐՈԷԼԵԿՏՐԱԿԱՅԱՆՆԵՐԻ</w:t>
      </w:r>
      <w:r w:rsidRPr="00A072FC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ՋՐՕԳՏԱԳՈՐԾՄԱՆ</w:t>
      </w:r>
      <w:r w:rsidRPr="00A072FC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ԹՈՒՅԼՏՎՈՒԹՅՈՒՆՆԵՐԻ</w:t>
      </w:r>
      <w:r w:rsidRPr="00A072FC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ՀԱՅՏԵՐԻ</w:t>
      </w:r>
      <w:r w:rsidRPr="00A072FC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ՄԵՐԺՈՒՄ</w:t>
      </w:r>
      <w:r w:rsidRPr="00A072FC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ՆԱԽԱՏԵՍՎԱԾ՝ ՀԱՅԱՍՏԱՆԻ</w:t>
      </w:r>
      <w:r w:rsidRPr="00A072FC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ՀԱՆՐԱՊԵՏՈՒԹՅԱՆ</w:t>
      </w:r>
      <w:r w:rsidRPr="00A072FC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ԿԱՐՄԻՐ</w:t>
      </w:r>
      <w:r w:rsidRPr="00A072FC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ԳՐՔՈՒՄ</w:t>
      </w:r>
      <w:r w:rsidRPr="00A072FC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ԳՐԱՆՑՎԱԾ</w:t>
      </w:r>
      <w:r w:rsidRPr="00A072FC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ԿԱՄ</w:t>
      </w:r>
      <w:r w:rsidRPr="00A072FC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ՏԱՐԱԾՔԻՆ</w:t>
      </w:r>
      <w:r w:rsidRPr="00A072FC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ԲՆՈՐՈՇ՝</w:t>
      </w:r>
      <w:r w:rsidRPr="00A072FC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ԷՆԴԵՄԻԿ</w:t>
      </w:r>
      <w:r w:rsidRPr="00A072FC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ՁԿՆԱՏԵՍԱԿՆԵՐԻ</w:t>
      </w:r>
      <w:r w:rsidRPr="00A072FC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ՁՎԱԴՐԱՎԱՅՐԵՐ ՀԱՆԴԻՍԱՑՈՂ ԿԱՄ ԴԵՐԻՎԱՑԻՈՆ ԽՈՂՈՎԱԿՆԵՐՈՎ 40 ՏՈԿՈՍ և ԱՎԵԼԻ ԾԱՆՐԱԲԵՌՆՎԱԾ ԳԵՏԵՐԻ</w:t>
      </w:r>
    </w:p>
    <w:p w:rsidR="002B2549" w:rsidRPr="00A072FC" w:rsidRDefault="002B2549" w:rsidP="00A072FC">
      <w:pPr>
        <w:spacing w:after="0" w:line="360" w:lineRule="auto"/>
        <w:ind w:firstLine="706"/>
        <w:jc w:val="center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</w:p>
    <w:p w:rsidR="002B2549" w:rsidRPr="00A072FC" w:rsidRDefault="002B2549" w:rsidP="00A072FC">
      <w:pPr>
        <w:spacing w:after="0" w:line="360" w:lineRule="auto"/>
        <w:ind w:left="720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</w:pPr>
      <w:r w:rsidRPr="00A072FC"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  <w:t>1. Ընթացիկ իրավիճակը և իրավական ակտի ընդունման անհրաժեշտությունը</w:t>
      </w:r>
    </w:p>
    <w:p w:rsidR="002B2549" w:rsidRPr="00A072FC" w:rsidRDefault="008D5DAC" w:rsidP="00A072FC">
      <w:pPr>
        <w:shd w:val="clear" w:color="auto" w:fill="FFFFFF"/>
        <w:spacing w:line="360" w:lineRule="auto"/>
        <w:ind w:firstLine="45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A072FC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A072F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Նոր</w:t>
      </w:r>
      <w:r w:rsidRPr="00A072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կառուցվող</w:t>
      </w:r>
      <w:r w:rsidRPr="00A072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փոքր</w:t>
      </w:r>
      <w:r w:rsidRPr="00A072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հիդրոէլեկտրակայանների</w:t>
      </w:r>
      <w:r w:rsidRPr="00A072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ջրօգտագործման</w:t>
      </w:r>
      <w:r w:rsidRPr="00A072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թույլտվությունների</w:t>
      </w:r>
      <w:r w:rsidRPr="00A072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հայտերի</w:t>
      </w:r>
      <w:r w:rsidRPr="00A072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մերժում</w:t>
      </w:r>
      <w:r w:rsidRPr="00A072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նախատեսված՝</w:t>
      </w:r>
      <w:r w:rsidRPr="00A072F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Հայաստանի Հանրապետության Կարմիր գրքում գրանցված կամ տարածքին բնորոշ՝ էնդեմիկ ձկնատեսակների ձվադրավայրեր հանդիսացող կամ դերիվացիոն խողովակներով 40 տոկոս և ավելի ծանրաբեռնված գետերի ցանկը սահմանելու մասին» </w:t>
      </w:r>
      <w:r w:rsidR="002B2549" w:rsidRPr="00A072FC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 որոշման նախագծի մշակման համար հիմք է հանդիսացել Հայաստանի Հանրապետության ջրային օրենս</w:t>
      </w:r>
      <w:r w:rsidR="002B2549" w:rsidRPr="00A072FC">
        <w:rPr>
          <w:rFonts w:ascii="GHEA Grapalat" w:hAnsi="GHEA Grapalat"/>
          <w:bCs/>
          <w:color w:val="000000"/>
          <w:sz w:val="24"/>
          <w:szCs w:val="24"/>
          <w:lang w:val="hy-AM"/>
        </w:rPr>
        <w:softHyphen/>
        <w:t>գրքի 30.1-ին հոդվածի 3-րդ մասը</w:t>
      </w:r>
      <w:r w:rsidR="00B2446C" w:rsidRPr="00A072FC">
        <w:rPr>
          <w:rFonts w:ascii="GHEA Grapalat" w:hAnsi="GHEA Grapalat"/>
          <w:bCs/>
          <w:color w:val="000000"/>
          <w:sz w:val="24"/>
          <w:szCs w:val="24"/>
          <w:lang w:val="hy-AM"/>
        </w:rPr>
        <w:t>։</w:t>
      </w:r>
      <w:r w:rsidR="002B2549" w:rsidRPr="00A072F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</w:p>
    <w:p w:rsidR="002B2549" w:rsidRPr="00A072FC" w:rsidRDefault="002B2549" w:rsidP="00A072FC">
      <w:pPr>
        <w:pStyle w:val="NormalWeb"/>
        <w:spacing w:before="0" w:beforeAutospacing="0" w:after="0" w:afterAutospacing="0" w:line="360" w:lineRule="auto"/>
        <w:ind w:left="360" w:firstLine="349"/>
        <w:jc w:val="both"/>
        <w:rPr>
          <w:rFonts w:ascii="GHEA Grapalat" w:hAnsi="GHEA Grapalat" w:cs="GHEA Grapalat"/>
          <w:b/>
          <w:bCs/>
          <w:color w:val="000000"/>
          <w:u w:val="single"/>
          <w:lang w:val="hy-AM"/>
        </w:rPr>
      </w:pPr>
      <w:r w:rsidRPr="00A072FC">
        <w:rPr>
          <w:rFonts w:ascii="GHEA Grapalat" w:hAnsi="GHEA Grapalat" w:cs="GHEA Grapalat"/>
          <w:b/>
          <w:bCs/>
          <w:color w:val="000000"/>
          <w:u w:val="single"/>
          <w:lang w:val="hy-AM"/>
        </w:rPr>
        <w:t>2. Առաջարկվող կարգավորման բնույթը</w:t>
      </w:r>
    </w:p>
    <w:p w:rsidR="002B2549" w:rsidRPr="00A072FC" w:rsidRDefault="008D5DAC" w:rsidP="00A072FC">
      <w:pPr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A072FC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A072F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Նոր</w:t>
      </w:r>
      <w:r w:rsidRPr="00A072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72F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կառուցվող փոքր հիդրոէլեկտրակայանների ջրօգտագործման թույլտվությունների հայտերի մերժում նախատեսված՝ Հայաստանի Հանրապետության Կարմիր գրքում գրանցված կամ տարածքին բնորոշ՝ էնդեմիկ ձկնատեսակների ձվադրավայրեր հանդիսացող կամ դերիվացիոն խողովակներով 40 տոկոս և ավելի ծանրաբեռնված գետերի ցանկը սահմանելու մասին» </w:t>
      </w:r>
      <w:r w:rsidR="002B2549" w:rsidRPr="00A072FC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 որոշման նախագծով սահմանվել է փոքր հիդրոէլեկտրակայանների կառուցման համար արգելված գետերի ցանկը՝ հաշվի առնելով ՀՀ ջրային օրենսգրքի 30.1-ին հոդվածի 2-րդ մասի 1-ին կետի «ա» և «բ» ենթակետերի դրույթները։</w:t>
      </w:r>
    </w:p>
    <w:p w:rsidR="002B2549" w:rsidRPr="00A072FC" w:rsidRDefault="002B2549" w:rsidP="00A072FC">
      <w:pPr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A072F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Վերոնշյալ գետերի ցանկի սահմանման համար համադրվել են ՀՀ Գիտությունների ազգային ակադեմիայի Կենդանաբանության և հիդրոէկոլոգիայի գիտական կենտրոնի Հիդրոէկոլոգիայի և ձկնաբուծության ինստիտուտի և Խ. Աբովյանի անվան հայկական պետական մանկավարժական համալսարանի կենսաբանության, քիմիայի և նրանց </w:t>
      </w:r>
      <w:r w:rsidRPr="00A072FC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 xml:space="preserve">դասավանդման մեթոդիկայի ամբիոնի կողմից վերջին ժամանակաշրջանում իրականացված համակողմանի ուսումնասիրությունների  արդյունքները, ինչպես նաև շրջակա միջավայրի նախարարության </w:t>
      </w:r>
      <w:r w:rsidR="0007140D" w:rsidRPr="00A072F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լիցենզիաների,թույլտվությունների և համաձայնեցումների վարչության </w:t>
      </w:r>
      <w:r w:rsidRPr="00A072FC">
        <w:rPr>
          <w:rFonts w:ascii="GHEA Grapalat" w:hAnsi="GHEA Grapalat"/>
          <w:bCs/>
          <w:color w:val="000000"/>
          <w:sz w:val="24"/>
          <w:szCs w:val="24"/>
          <w:lang w:val="hy-AM"/>
        </w:rPr>
        <w:t>կողմից ներկայացված գետերի վրա փոքր հիդրոէլեկտրակայաններով ծանրաբեռնվածության արդյունքները: Ծանրաբեռնվածությունը հաշվարկվել է փոքր հիդրոէլեկտրակայանների դերիվացիայի գումարային երկարության և գետի երկարության հարաբերությամբ՝ արտահայտված տոկոսներով: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75"/>
        <w:gridCol w:w="1350"/>
        <w:gridCol w:w="1890"/>
        <w:gridCol w:w="2023"/>
      </w:tblGrid>
      <w:tr w:rsidR="002B2549" w:rsidRPr="00A072FC" w:rsidTr="00F94FCE">
        <w:trPr>
          <w:jc w:val="center"/>
        </w:trPr>
        <w:tc>
          <w:tcPr>
            <w:tcW w:w="3775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Ջրային ռեսուրսի անվանումը</w:t>
            </w:r>
          </w:p>
        </w:tc>
        <w:tc>
          <w:tcPr>
            <w:tcW w:w="1350" w:type="dxa"/>
            <w:shd w:val="clear" w:color="auto" w:fill="auto"/>
          </w:tcPr>
          <w:p w:rsidR="002B2549" w:rsidRPr="00A072FC" w:rsidRDefault="002B2549" w:rsidP="00A072FC">
            <w:pPr>
              <w:pStyle w:val="Default"/>
              <w:spacing w:line="360" w:lineRule="auto"/>
              <w:jc w:val="center"/>
              <w:rPr>
                <w:rFonts w:ascii="GHEA Grapalat" w:eastAsiaTheme="minorEastAsia" w:hAnsi="GHEA Grapalat" w:cstheme="minorBidi"/>
                <w:bCs/>
                <w:lang w:val="hy-AM"/>
              </w:rPr>
            </w:pPr>
            <w:r w:rsidRPr="00A072FC">
              <w:rPr>
                <w:rFonts w:ascii="GHEA Grapalat" w:eastAsiaTheme="minorEastAsia" w:hAnsi="GHEA Grapalat" w:cstheme="minorBidi"/>
                <w:bCs/>
                <w:lang w:val="hy-AM"/>
              </w:rPr>
              <w:t>Երկարությունը, կմ</w:t>
            </w:r>
          </w:p>
        </w:tc>
        <w:tc>
          <w:tcPr>
            <w:tcW w:w="1890" w:type="dxa"/>
            <w:shd w:val="clear" w:color="auto" w:fill="auto"/>
          </w:tcPr>
          <w:p w:rsidR="002B2549" w:rsidRPr="00A072FC" w:rsidRDefault="002B2549" w:rsidP="00A072FC">
            <w:pPr>
              <w:pStyle w:val="Default"/>
              <w:spacing w:line="360" w:lineRule="auto"/>
              <w:jc w:val="center"/>
              <w:rPr>
                <w:rFonts w:ascii="GHEA Grapalat" w:eastAsiaTheme="minorEastAsia" w:hAnsi="GHEA Grapalat" w:cstheme="minorBidi"/>
                <w:bCs/>
                <w:lang w:val="hy-AM"/>
              </w:rPr>
            </w:pPr>
            <w:r w:rsidRPr="00A072FC">
              <w:rPr>
                <w:rFonts w:ascii="GHEA Grapalat" w:eastAsiaTheme="minorEastAsia" w:hAnsi="GHEA Grapalat" w:cstheme="minorBidi"/>
                <w:bCs/>
                <w:lang w:val="hy-AM"/>
              </w:rPr>
              <w:t>Դերիվացիայի երկարություն, կմ</w:t>
            </w:r>
          </w:p>
        </w:tc>
        <w:tc>
          <w:tcPr>
            <w:tcW w:w="2023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Դերիվացիոն ծանրաբեռնվածություն, %</w:t>
            </w:r>
          </w:p>
        </w:tc>
      </w:tr>
      <w:tr w:rsidR="002B2549" w:rsidRPr="00A072FC" w:rsidTr="00F94FCE">
        <w:trPr>
          <w:jc w:val="center"/>
        </w:trPr>
        <w:tc>
          <w:tcPr>
            <w:tcW w:w="3775" w:type="dxa"/>
            <w:shd w:val="clear" w:color="auto" w:fill="auto"/>
          </w:tcPr>
          <w:p w:rsidR="002B2549" w:rsidRPr="00A072FC" w:rsidRDefault="002B2549" w:rsidP="00A072FC">
            <w:pPr>
              <w:pStyle w:val="Default"/>
              <w:spacing w:line="360" w:lineRule="auto"/>
              <w:rPr>
                <w:rFonts w:ascii="GHEA Grapalat" w:eastAsiaTheme="minorEastAsia" w:hAnsi="GHEA Grapalat" w:cstheme="minorBidi"/>
                <w:bCs/>
                <w:lang w:val="hy-AM"/>
              </w:rPr>
            </w:pPr>
            <w:r w:rsidRPr="00A072FC">
              <w:rPr>
                <w:rFonts w:ascii="GHEA Grapalat" w:eastAsiaTheme="minorEastAsia" w:hAnsi="GHEA Grapalat" w:cstheme="minorBidi"/>
                <w:bCs/>
                <w:lang w:val="hy-AM"/>
              </w:rPr>
              <w:t>Որոտան գետ</w:t>
            </w:r>
          </w:p>
        </w:tc>
        <w:tc>
          <w:tcPr>
            <w:tcW w:w="1350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111,0</w:t>
            </w:r>
          </w:p>
        </w:tc>
        <w:tc>
          <w:tcPr>
            <w:tcW w:w="1890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65,0</w:t>
            </w:r>
          </w:p>
        </w:tc>
        <w:tc>
          <w:tcPr>
            <w:tcW w:w="2023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58,6</w:t>
            </w:r>
          </w:p>
        </w:tc>
      </w:tr>
      <w:tr w:rsidR="002B2549" w:rsidRPr="00A072FC" w:rsidTr="00F94FCE">
        <w:trPr>
          <w:jc w:val="center"/>
        </w:trPr>
        <w:tc>
          <w:tcPr>
            <w:tcW w:w="3775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Որոտան գետի Դալի վտակ</w:t>
            </w:r>
          </w:p>
        </w:tc>
        <w:tc>
          <w:tcPr>
            <w:tcW w:w="1350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26.0</w:t>
            </w:r>
          </w:p>
        </w:tc>
        <w:tc>
          <w:tcPr>
            <w:tcW w:w="1890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10.39</w:t>
            </w:r>
          </w:p>
        </w:tc>
        <w:tc>
          <w:tcPr>
            <w:tcW w:w="2023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40.0</w:t>
            </w:r>
          </w:p>
        </w:tc>
      </w:tr>
      <w:tr w:rsidR="002B2549" w:rsidRPr="00A072FC" w:rsidTr="00F94FCE">
        <w:trPr>
          <w:trHeight w:val="413"/>
          <w:jc w:val="center"/>
        </w:trPr>
        <w:tc>
          <w:tcPr>
            <w:tcW w:w="3775" w:type="dxa"/>
            <w:shd w:val="clear" w:color="auto" w:fill="auto"/>
          </w:tcPr>
          <w:p w:rsidR="002B2549" w:rsidRPr="00A072FC" w:rsidRDefault="002B2549" w:rsidP="00A072FC">
            <w:pPr>
              <w:spacing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Եղեգիս գետ </w:t>
            </w:r>
          </w:p>
        </w:tc>
        <w:tc>
          <w:tcPr>
            <w:tcW w:w="1350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47</w:t>
            </w:r>
          </w:p>
        </w:tc>
        <w:tc>
          <w:tcPr>
            <w:tcW w:w="1890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37.77</w:t>
            </w:r>
          </w:p>
        </w:tc>
        <w:tc>
          <w:tcPr>
            <w:tcW w:w="2023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80.3</w:t>
            </w:r>
          </w:p>
        </w:tc>
      </w:tr>
      <w:tr w:rsidR="002B2549" w:rsidRPr="00A072FC" w:rsidTr="00F94FCE">
        <w:trPr>
          <w:trHeight w:val="458"/>
          <w:jc w:val="center"/>
        </w:trPr>
        <w:tc>
          <w:tcPr>
            <w:tcW w:w="3775" w:type="dxa"/>
            <w:shd w:val="clear" w:color="auto" w:fill="auto"/>
          </w:tcPr>
          <w:p w:rsidR="002B2549" w:rsidRPr="00A072FC" w:rsidRDefault="002B2549" w:rsidP="00A072FC">
            <w:pPr>
              <w:spacing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Եղեգիս գետի Կարակայա վտակ</w:t>
            </w:r>
          </w:p>
        </w:tc>
        <w:tc>
          <w:tcPr>
            <w:tcW w:w="1350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15</w:t>
            </w:r>
          </w:p>
        </w:tc>
        <w:tc>
          <w:tcPr>
            <w:tcW w:w="1890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10.17</w:t>
            </w:r>
          </w:p>
        </w:tc>
        <w:tc>
          <w:tcPr>
            <w:tcW w:w="2023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67.8</w:t>
            </w:r>
          </w:p>
        </w:tc>
      </w:tr>
      <w:tr w:rsidR="002B2549" w:rsidRPr="00A072FC" w:rsidTr="00F94FCE">
        <w:trPr>
          <w:jc w:val="center"/>
        </w:trPr>
        <w:tc>
          <w:tcPr>
            <w:tcW w:w="3775" w:type="dxa"/>
            <w:shd w:val="clear" w:color="auto" w:fill="auto"/>
          </w:tcPr>
          <w:p w:rsidR="002B2549" w:rsidRPr="00A072FC" w:rsidRDefault="002B2549" w:rsidP="00A072FC">
            <w:pPr>
              <w:spacing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Կարակայա վտակի Այսաս վտակ </w:t>
            </w:r>
          </w:p>
        </w:tc>
        <w:tc>
          <w:tcPr>
            <w:tcW w:w="1350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12</w:t>
            </w:r>
          </w:p>
        </w:tc>
        <w:tc>
          <w:tcPr>
            <w:tcW w:w="1890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6.03</w:t>
            </w:r>
          </w:p>
        </w:tc>
        <w:tc>
          <w:tcPr>
            <w:tcW w:w="2023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50.25</w:t>
            </w:r>
          </w:p>
        </w:tc>
      </w:tr>
      <w:tr w:rsidR="002B2549" w:rsidRPr="00A072FC" w:rsidTr="00F94FCE">
        <w:trPr>
          <w:jc w:val="center"/>
        </w:trPr>
        <w:tc>
          <w:tcPr>
            <w:tcW w:w="3775" w:type="dxa"/>
            <w:shd w:val="clear" w:color="auto" w:fill="auto"/>
          </w:tcPr>
          <w:p w:rsidR="002B2549" w:rsidRPr="00A072FC" w:rsidRDefault="002B2549" w:rsidP="00A072FC">
            <w:pPr>
              <w:spacing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Ազատ գետի Գողթ վտակ</w:t>
            </w:r>
          </w:p>
        </w:tc>
        <w:tc>
          <w:tcPr>
            <w:tcW w:w="1350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16</w:t>
            </w:r>
          </w:p>
        </w:tc>
        <w:tc>
          <w:tcPr>
            <w:tcW w:w="1890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9.9</w:t>
            </w:r>
          </w:p>
        </w:tc>
        <w:tc>
          <w:tcPr>
            <w:tcW w:w="2023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61.88</w:t>
            </w:r>
          </w:p>
        </w:tc>
      </w:tr>
      <w:tr w:rsidR="002B2549" w:rsidRPr="00A072FC" w:rsidTr="00F94FCE">
        <w:trPr>
          <w:jc w:val="center"/>
        </w:trPr>
        <w:tc>
          <w:tcPr>
            <w:tcW w:w="3775" w:type="dxa"/>
            <w:shd w:val="clear" w:color="auto" w:fill="auto"/>
          </w:tcPr>
          <w:p w:rsidR="002B2549" w:rsidRPr="00A072FC" w:rsidRDefault="002B2549" w:rsidP="00A072FC">
            <w:pPr>
              <w:spacing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Դեբեդ գետի Կիստում  վտակ</w:t>
            </w:r>
          </w:p>
        </w:tc>
        <w:tc>
          <w:tcPr>
            <w:tcW w:w="1350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13</w:t>
            </w:r>
          </w:p>
        </w:tc>
        <w:tc>
          <w:tcPr>
            <w:tcW w:w="1890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6.46</w:t>
            </w:r>
          </w:p>
        </w:tc>
        <w:tc>
          <w:tcPr>
            <w:tcW w:w="2023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49.73</w:t>
            </w:r>
          </w:p>
        </w:tc>
      </w:tr>
      <w:tr w:rsidR="002B2549" w:rsidRPr="00A072FC" w:rsidTr="00F94FCE">
        <w:trPr>
          <w:jc w:val="center"/>
        </w:trPr>
        <w:tc>
          <w:tcPr>
            <w:tcW w:w="3775" w:type="dxa"/>
            <w:shd w:val="clear" w:color="auto" w:fill="auto"/>
          </w:tcPr>
          <w:p w:rsidR="002B2549" w:rsidRPr="00A072FC" w:rsidRDefault="002B2549" w:rsidP="00A072FC">
            <w:pPr>
              <w:spacing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Ոսկեպար գետ </w:t>
            </w:r>
          </w:p>
        </w:tc>
        <w:tc>
          <w:tcPr>
            <w:tcW w:w="1350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38</w:t>
            </w:r>
          </w:p>
        </w:tc>
        <w:tc>
          <w:tcPr>
            <w:tcW w:w="1890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19.95</w:t>
            </w:r>
          </w:p>
        </w:tc>
        <w:tc>
          <w:tcPr>
            <w:tcW w:w="2023" w:type="dxa"/>
            <w:shd w:val="clear" w:color="auto" w:fill="auto"/>
          </w:tcPr>
          <w:p w:rsidR="002B2549" w:rsidRPr="00A072FC" w:rsidRDefault="002B2549" w:rsidP="00A072FC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072F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52.5</w:t>
            </w:r>
          </w:p>
        </w:tc>
      </w:tr>
    </w:tbl>
    <w:p w:rsidR="002B2549" w:rsidRPr="00A072FC" w:rsidRDefault="002B2549" w:rsidP="00A072FC">
      <w:pPr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2B2549" w:rsidRPr="00A072FC" w:rsidRDefault="002B2549" w:rsidP="00A072FC">
      <w:pPr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A072FC">
        <w:rPr>
          <w:rFonts w:ascii="GHEA Grapalat" w:hAnsi="GHEA Grapalat"/>
          <w:bCs/>
          <w:color w:val="000000"/>
          <w:sz w:val="24"/>
          <w:szCs w:val="24"/>
          <w:lang w:val="hy-AM"/>
        </w:rPr>
        <w:t>Ցանկում ընդգրկվել են այն գետերը, որոնք Հայաստանի Հանրապետության Կարմիր գրքում գրանցված կամ տարածքին բնորոշ՝ էնդեմիկ ձկնատեսակների համար համարվում են և կարող են համարվել պոտենցիալ ձվադրավայրեր, եթե իրականացվեն բնապահպանական միջոցառումներ այդ գետերի հոսանքներում էկոլոգիական թողքի ապահովման, կենցաղային և այլ թափոնների մաքրման,  որսագողության դեմ պայքարի համար։</w:t>
      </w:r>
    </w:p>
    <w:p w:rsidR="002B2549" w:rsidRPr="00A072FC" w:rsidRDefault="002B2549" w:rsidP="00A072FC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u w:val="single"/>
          <w:lang w:val="hy-AM"/>
        </w:rPr>
      </w:pPr>
      <w:r w:rsidRPr="00A072FC">
        <w:rPr>
          <w:rFonts w:ascii="GHEA Grapalat" w:hAnsi="GHEA Grapalat"/>
          <w:b/>
          <w:bCs/>
          <w:color w:val="000000"/>
          <w:sz w:val="24"/>
          <w:szCs w:val="24"/>
          <w:u w:val="single"/>
          <w:lang w:val="hy-AM"/>
        </w:rPr>
        <w:lastRenderedPageBreak/>
        <w:t>3. Նախագծի մշակման գործընթացում ներգրավված ինստիտուտները, անձինք և նրանց դիրքորոշումը</w:t>
      </w:r>
    </w:p>
    <w:p w:rsidR="002B2549" w:rsidRPr="00A072FC" w:rsidRDefault="002B2549" w:rsidP="00A072FC">
      <w:pPr>
        <w:spacing w:after="24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A072FC">
        <w:rPr>
          <w:rFonts w:ascii="GHEA Grapalat" w:hAnsi="GHEA Grapalat"/>
          <w:bCs/>
          <w:color w:val="000000"/>
          <w:sz w:val="24"/>
          <w:szCs w:val="24"/>
          <w:lang w:val="hy-AM"/>
        </w:rPr>
        <w:t>Նախագիծը մշակվել է շրջակա միջավայրի նախարարության կողմից:</w:t>
      </w:r>
    </w:p>
    <w:p w:rsidR="002B2549" w:rsidRPr="00A072FC" w:rsidRDefault="002B2549" w:rsidP="00A072FC">
      <w:pPr>
        <w:pStyle w:val="NormalWeb"/>
        <w:spacing w:before="0" w:beforeAutospacing="0" w:after="0" w:afterAutospacing="0" w:line="360" w:lineRule="auto"/>
        <w:ind w:left="567"/>
        <w:jc w:val="both"/>
        <w:rPr>
          <w:rFonts w:ascii="GHEA Grapalat" w:eastAsiaTheme="minorEastAsia" w:hAnsi="GHEA Grapalat" w:cstheme="minorBidi"/>
          <w:b/>
          <w:bCs/>
          <w:color w:val="000000"/>
          <w:u w:val="single"/>
          <w:lang w:val="hy-AM"/>
        </w:rPr>
      </w:pPr>
      <w:r w:rsidRPr="00A072FC">
        <w:rPr>
          <w:rFonts w:ascii="GHEA Grapalat" w:eastAsiaTheme="minorEastAsia" w:hAnsi="GHEA Grapalat" w:cstheme="minorBidi"/>
          <w:b/>
          <w:bCs/>
          <w:color w:val="000000"/>
          <w:u w:val="single"/>
          <w:lang w:val="hy-AM"/>
        </w:rPr>
        <w:t>4. Ակնկալվող արդյունքը</w:t>
      </w:r>
    </w:p>
    <w:p w:rsidR="002B2549" w:rsidRPr="00A072FC" w:rsidRDefault="00361A85" w:rsidP="00A072FC">
      <w:pPr>
        <w:spacing w:after="24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A072F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«Նոր կառուցվող փոքր հիդրոէլեկտրակայանների ջրօգտագործման թույլտվությունների հայտերի մերժում նախատեսված՝ Հայաստանի Հանրապետության Կարմիր գրքում գրանցված կամ տարածքին բնորոշ՝ էնդեմիկ ձկնատեսակների ձվադրավայրեր հանդիսացող կամ դերիվացիոն խողովակներով 40 տոկոս և ավելի ծանրաբեռնված գետերի ցանկը սահմանելու մասին» </w:t>
      </w:r>
      <w:r w:rsidR="002B2549" w:rsidRPr="00A072FC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 որոշման նախագծի ընդունումը կնպաստի ջրաէկոհամակարգի պահպանությանը և հավասարակշռության ապահովմանը:</w:t>
      </w:r>
    </w:p>
    <w:p w:rsidR="00211CED" w:rsidRPr="00A072FC" w:rsidRDefault="00211CED" w:rsidP="00067A1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eastAsiaTheme="minorEastAsia" w:hAnsi="GHEA Grapalat" w:cstheme="minorBidi"/>
          <w:b/>
          <w:bCs/>
          <w:color w:val="000000"/>
          <w:u w:val="single"/>
          <w:lang w:val="hy-AM"/>
        </w:rPr>
      </w:pPr>
      <w:bookmarkStart w:id="0" w:name="_GoBack"/>
      <w:bookmarkEnd w:id="0"/>
      <w:r w:rsidRPr="00A072FC">
        <w:rPr>
          <w:rFonts w:ascii="GHEA Grapalat" w:eastAsiaTheme="minorEastAsia" w:hAnsi="GHEA Grapalat" w:cstheme="minorBidi"/>
          <w:b/>
          <w:bCs/>
          <w:color w:val="000000"/>
          <w:u w:val="single"/>
          <w:lang w:val="hy-AM"/>
        </w:rPr>
        <w:t>5. 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8A4974" w:rsidRPr="00A072FC" w:rsidRDefault="00211CED" w:rsidP="00A072FC">
      <w:pPr>
        <w:pStyle w:val="NormalWeb"/>
        <w:spacing w:before="0" w:beforeAutospacing="0" w:after="240" w:afterAutospacing="0" w:line="360" w:lineRule="auto"/>
        <w:ind w:firstLine="567"/>
        <w:jc w:val="both"/>
        <w:rPr>
          <w:rFonts w:ascii="GHEA Grapalat" w:eastAsiaTheme="minorEastAsia" w:hAnsi="GHEA Grapalat" w:cstheme="minorBidi"/>
          <w:bCs/>
          <w:color w:val="000000"/>
          <w:lang w:val="hy-AM"/>
        </w:rPr>
      </w:pPr>
      <w:r w:rsidRPr="00A072FC">
        <w:rPr>
          <w:rFonts w:ascii="GHEA Grapalat" w:eastAsiaTheme="minorEastAsia" w:hAnsi="GHEA Grapalat" w:cstheme="minorBidi"/>
          <w:bCs/>
          <w:color w:val="000000"/>
          <w:lang w:val="hy-AM"/>
        </w:rPr>
        <w:t>«Նոր կառուցվող փոքր հիդրոէլեկտրակայանների ջրօգտագործման թույլտվությունների հայտերի մերժում նախատեսված՝ Հայաստանի Հանրապետության Կարմիր գրքում գրանցված կամ տարածքին բնորոշ՝ էնդեմիկ ձկնատեսակների ձվադրավայրեր հանդիսացող կամ դերիվացիոն խողովակներով 40 տոկոս և ավելի ծանրաբեռնված գետերի ցանկը սահմանելու մասին» Կառավարության որոշման նախագծի ընդունման կապակցությամբ լրացուցիչ ֆինանսական միջոցների անհրաժեշտություն, պետական բյուջեի եկամուտներում և ծախսերում  փոփոխություններ չի նախատեսվում։</w:t>
      </w:r>
      <w:r w:rsidR="002B2549" w:rsidRPr="00A072FC">
        <w:rPr>
          <w:rFonts w:ascii="GHEA Grapalat" w:eastAsiaTheme="minorEastAsia" w:hAnsi="GHEA Grapalat" w:cstheme="minorBidi"/>
          <w:bCs/>
          <w:noProof/>
          <w:color w:val="000000"/>
        </w:rPr>
        <w:drawing>
          <wp:anchor distT="0" distB="0" distL="114300" distR="114300" simplePos="0" relativeHeight="251659264" behindDoc="1" locked="0" layoutInCell="1" allowOverlap="1" wp14:anchorId="6908A7EA" wp14:editId="0C1EBD30">
            <wp:simplePos x="0" y="0"/>
            <wp:positionH relativeFrom="column">
              <wp:posOffset>5090160</wp:posOffset>
            </wp:positionH>
            <wp:positionV relativeFrom="paragraph">
              <wp:posOffset>6889750</wp:posOffset>
            </wp:positionV>
            <wp:extent cx="1596390" cy="821055"/>
            <wp:effectExtent l="19050" t="0" r="3810" b="0"/>
            <wp:wrapNone/>
            <wp:docPr id="2" name="Picture 2" descr="LOGO-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-2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821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A4974" w:rsidRPr="00A072FC" w:rsidSect="00211CED">
      <w:pgSz w:w="12240" w:h="15840"/>
      <w:pgMar w:top="810" w:right="720" w:bottom="99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FBD"/>
    <w:rsid w:val="0000253D"/>
    <w:rsid w:val="00067A1E"/>
    <w:rsid w:val="0007140D"/>
    <w:rsid w:val="000C3FBD"/>
    <w:rsid w:val="001240AD"/>
    <w:rsid w:val="00211CED"/>
    <w:rsid w:val="002B2549"/>
    <w:rsid w:val="00361A85"/>
    <w:rsid w:val="007B2E4E"/>
    <w:rsid w:val="008A4974"/>
    <w:rsid w:val="008D5DAC"/>
    <w:rsid w:val="009D5C23"/>
    <w:rsid w:val="00A072FC"/>
    <w:rsid w:val="00B2446C"/>
    <w:rsid w:val="00BD5114"/>
    <w:rsid w:val="00C45969"/>
    <w:rsid w:val="00C84BE0"/>
    <w:rsid w:val="00C916BB"/>
    <w:rsid w:val="00F66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549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2549"/>
    <w:pPr>
      <w:spacing w:after="0" w:line="240" w:lineRule="auto"/>
      <w:ind w:left="720"/>
      <w:contextualSpacing/>
    </w:pPr>
    <w:rPr>
      <w:rFonts w:ascii="Cambria" w:eastAsia="MS Mincho" w:hAnsi="Cambria" w:cs="Times New Roman"/>
      <w:sz w:val="24"/>
      <w:szCs w:val="24"/>
    </w:rPr>
  </w:style>
  <w:style w:type="character" w:customStyle="1" w:styleId="apple-style-span">
    <w:name w:val="apple-style-span"/>
    <w:rsid w:val="002B2549"/>
    <w:rPr>
      <w:rFonts w:cs="Times New Roman"/>
    </w:rPr>
  </w:style>
  <w:style w:type="paragraph" w:styleId="NormalWeb">
    <w:name w:val="Normal (Web)"/>
    <w:basedOn w:val="Normal"/>
    <w:unhideWhenUsed/>
    <w:rsid w:val="002B2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2B2549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2B2549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customStyle="1" w:styleId="mechtex">
    <w:name w:val="mechtex"/>
    <w:basedOn w:val="Normal"/>
    <w:link w:val="mechtexChar"/>
    <w:rsid w:val="002B2549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mechtexChar">
    <w:name w:val="mechtex Char"/>
    <w:link w:val="mechtex"/>
    <w:rsid w:val="002B2549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Default">
    <w:name w:val="Default"/>
    <w:rsid w:val="002B2549"/>
    <w:pPr>
      <w:autoSpaceDE w:val="0"/>
      <w:autoSpaceDN w:val="0"/>
      <w:adjustRightInd w:val="0"/>
      <w:spacing w:after="0" w:line="240" w:lineRule="auto"/>
    </w:pPr>
    <w:rPr>
      <w:rFonts w:ascii="Sylfaen" w:eastAsia="Calibri" w:hAnsi="Sylfaen" w:cs="Sylfaen"/>
      <w:color w:val="000000"/>
      <w:sz w:val="24"/>
      <w:szCs w:val="24"/>
    </w:rPr>
  </w:style>
  <w:style w:type="character" w:styleId="Strong">
    <w:name w:val="Strong"/>
    <w:uiPriority w:val="22"/>
    <w:qFormat/>
    <w:rsid w:val="00211CE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549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2549"/>
    <w:pPr>
      <w:spacing w:after="0" w:line="240" w:lineRule="auto"/>
      <w:ind w:left="720"/>
      <w:contextualSpacing/>
    </w:pPr>
    <w:rPr>
      <w:rFonts w:ascii="Cambria" w:eastAsia="MS Mincho" w:hAnsi="Cambria" w:cs="Times New Roman"/>
      <w:sz w:val="24"/>
      <w:szCs w:val="24"/>
    </w:rPr>
  </w:style>
  <w:style w:type="character" w:customStyle="1" w:styleId="apple-style-span">
    <w:name w:val="apple-style-span"/>
    <w:rsid w:val="002B2549"/>
    <w:rPr>
      <w:rFonts w:cs="Times New Roman"/>
    </w:rPr>
  </w:style>
  <w:style w:type="paragraph" w:styleId="NormalWeb">
    <w:name w:val="Normal (Web)"/>
    <w:basedOn w:val="Normal"/>
    <w:unhideWhenUsed/>
    <w:rsid w:val="002B2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2B2549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2B2549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customStyle="1" w:styleId="mechtex">
    <w:name w:val="mechtex"/>
    <w:basedOn w:val="Normal"/>
    <w:link w:val="mechtexChar"/>
    <w:rsid w:val="002B2549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mechtexChar">
    <w:name w:val="mechtex Char"/>
    <w:link w:val="mechtex"/>
    <w:rsid w:val="002B2549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Default">
    <w:name w:val="Default"/>
    <w:rsid w:val="002B2549"/>
    <w:pPr>
      <w:autoSpaceDE w:val="0"/>
      <w:autoSpaceDN w:val="0"/>
      <w:adjustRightInd w:val="0"/>
      <w:spacing w:after="0" w:line="240" w:lineRule="auto"/>
    </w:pPr>
    <w:rPr>
      <w:rFonts w:ascii="Sylfaen" w:eastAsia="Calibri" w:hAnsi="Sylfaen" w:cs="Sylfaen"/>
      <w:color w:val="000000"/>
      <w:sz w:val="24"/>
      <w:szCs w:val="24"/>
    </w:rPr>
  </w:style>
  <w:style w:type="character" w:styleId="Strong">
    <w:name w:val="Strong"/>
    <w:uiPriority w:val="22"/>
    <w:qFormat/>
    <w:rsid w:val="00211C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607</Words>
  <Characters>3465</Characters>
  <Application>Microsoft Office Word</Application>
  <DocSecurity>0</DocSecurity>
  <Lines>28</Lines>
  <Paragraphs>8</Paragraphs>
  <ScaleCrop>false</ScaleCrop>
  <Company/>
  <LinksUpToDate>false</LinksUpToDate>
  <CharactersWithSpaces>4064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18</cp:revision>
  <dcterms:created xsi:type="dcterms:W3CDTF">2020-11-30T06:15:00Z</dcterms:created>
  <dcterms:modified xsi:type="dcterms:W3CDTF">2021-03-23T07:29:00Z</dcterms:modified>
</cp:coreProperties>
</file>