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7B" w:rsidRDefault="003C067B" w:rsidP="00305E7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3C067B" w:rsidRDefault="003C067B" w:rsidP="00305E7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3C067B" w:rsidRPr="003C067B" w:rsidRDefault="003C067B" w:rsidP="003C067B">
      <w:pPr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C067B">
        <w:rPr>
          <w:rFonts w:ascii="GHEA Grapalat" w:hAnsi="GHEA Grapalat" w:cs="Sylfaen"/>
          <w:b/>
          <w:sz w:val="24"/>
          <w:szCs w:val="24"/>
          <w:lang w:val="hy-AM"/>
        </w:rPr>
        <w:t>ԱՄՓՈՓԱԹԵՐԹ</w:t>
      </w:r>
    </w:p>
    <w:p w:rsidR="003C067B" w:rsidRPr="003C067B" w:rsidRDefault="003C067B" w:rsidP="003C067B">
      <w:pPr>
        <w:spacing w:line="276" w:lineRule="auto"/>
        <w:ind w:firstLine="48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067B">
        <w:rPr>
          <w:rFonts w:ascii="GHEA Grapalat" w:hAnsi="GHEA Grapalat" w:cs="GHEA Grapalat"/>
          <w:b/>
          <w:bCs/>
          <w:sz w:val="24"/>
          <w:szCs w:val="24"/>
        </w:rPr>
        <w:t>«ՀԱՅԱUՏԱՆԻ</w:t>
      </w:r>
      <w:r w:rsidRPr="003C067B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3C067B">
        <w:rPr>
          <w:rFonts w:ascii="GHEA Grapalat" w:hAnsi="GHEA Grapalat" w:cs="GHEA Grapalat"/>
          <w:b/>
          <w:bCs/>
          <w:sz w:val="24"/>
          <w:szCs w:val="24"/>
        </w:rPr>
        <w:t>ՀԱՆՐԱՊԵՏՈՒԹՅԱՆ</w:t>
      </w:r>
      <w:r w:rsidRPr="003C067B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3C067B">
        <w:rPr>
          <w:rFonts w:ascii="GHEA Grapalat" w:hAnsi="GHEA Grapalat" w:cs="GHEA Grapalat"/>
          <w:b/>
          <w:bCs/>
          <w:sz w:val="24"/>
          <w:szCs w:val="24"/>
        </w:rPr>
        <w:t xml:space="preserve">ԿԱՌԱՎԱՐՈՒԹՅԱՆ </w:t>
      </w:r>
      <w:r w:rsidRPr="003C067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2020 ԹՎԱԿԱՆԻ ՀՈՒՆԻՍԻ 4-Ի </w:t>
      </w:r>
      <w:r w:rsidRPr="003C067B">
        <w:rPr>
          <w:rFonts w:ascii="GHEA Grapalat" w:hAnsi="GHEA Grapalat" w:cs="GHEA Grapalat"/>
          <w:b/>
          <w:bCs/>
          <w:sz w:val="24"/>
          <w:szCs w:val="24"/>
        </w:rPr>
        <w:t xml:space="preserve">N 885-Ն </w:t>
      </w:r>
      <w:r w:rsidRPr="003C067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և ՀՀ ԿԱՌԱՎԱՐՈՒԹՅԱՆ 2020 ԹՎԱԿԱՆԻ ԴԵԿՏԵՄԲԵՐԻ 30-Ի N 2206-Ն </w:t>
      </w:r>
      <w:r w:rsidRPr="003C067B">
        <w:rPr>
          <w:rFonts w:ascii="GHEA Grapalat" w:hAnsi="GHEA Grapalat" w:cs="GHEA Grapalat"/>
          <w:b/>
          <w:bCs/>
          <w:sz w:val="24"/>
          <w:szCs w:val="24"/>
        </w:rPr>
        <w:t>ՈՐՈՇՈՒՄՆԵՐՈՒՄ ՓՈՓՈԽՈՒԹՅՈՒՆՆԵՐ և ԼՐԱՑՈՒՄՆԵՐ ԿԱՏԱՐԵԼՈՒ ՄԱՍԻՆ» ԿԱՌԱՎԱՐՈՒԹՅԱՆ ՈՐՈՇՄԱՆ</w:t>
      </w:r>
      <w:r w:rsidRPr="003C067B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3C067B">
        <w:rPr>
          <w:rFonts w:ascii="GHEA Grapalat" w:hAnsi="GHEA Grapalat" w:cs="GHEA Grapalat"/>
          <w:b/>
          <w:bCs/>
          <w:sz w:val="24"/>
          <w:szCs w:val="24"/>
        </w:rPr>
        <w:t>ՆԱԽԱԳԾԻ</w:t>
      </w:r>
      <w:r w:rsidRPr="003C067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C067B" w:rsidRDefault="003C067B" w:rsidP="00305E7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305E7C" w:rsidRPr="00305E7C" w:rsidRDefault="00305E7C" w:rsidP="003C067B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05E7C">
        <w:rPr>
          <w:rFonts w:ascii="Calibri" w:eastAsia="Times New Roman" w:hAnsi="Calibri" w:cs="Calibri"/>
          <w:color w:val="000000"/>
          <w:sz w:val="21"/>
          <w:szCs w:val="21"/>
        </w:rPr>
        <w:t>     </w:t>
      </w:r>
      <w:r w:rsidRPr="00305E7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05E7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110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2"/>
        <w:gridCol w:w="35"/>
        <w:gridCol w:w="5185"/>
      </w:tblGrid>
      <w:tr w:rsidR="00305E7C" w:rsidRPr="00305E7C" w:rsidTr="00D57533">
        <w:trPr>
          <w:tblCellSpacing w:w="0" w:type="dxa"/>
          <w:jc w:val="center"/>
        </w:trPr>
        <w:tc>
          <w:tcPr>
            <w:tcW w:w="5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05E7C" w:rsidRPr="00305E7C" w:rsidRDefault="00305E7C" w:rsidP="003C067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05E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C067B" w:rsidRPr="003C06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05E7C" w:rsidRPr="00305E7C" w:rsidRDefault="003C067B" w:rsidP="00305E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06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24.02.2021</w:t>
            </w:r>
            <w:r w:rsidR="00305E7C" w:rsidRPr="00305E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305E7C" w:rsidRPr="00305E7C" w:rsidTr="00D57533">
        <w:trPr>
          <w:tblCellSpacing w:w="0" w:type="dxa"/>
          <w:jc w:val="center"/>
        </w:trPr>
        <w:tc>
          <w:tcPr>
            <w:tcW w:w="5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E7C" w:rsidRPr="00305E7C" w:rsidRDefault="00305E7C" w:rsidP="00305E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05E7C" w:rsidRPr="00305E7C" w:rsidRDefault="00305E7C" w:rsidP="003C06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05E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3C067B" w:rsidRPr="003C067B">
              <w:rPr>
                <w:rFonts w:ascii="GHEA Grapalat" w:hAnsi="GHEA Grapalat" w:cs="Sylfaen"/>
                <w:sz w:val="24"/>
                <w:szCs w:val="24"/>
                <w:lang w:val="hy-AM"/>
              </w:rPr>
              <w:t>01/29/2609-2021</w:t>
            </w:r>
          </w:p>
        </w:tc>
      </w:tr>
      <w:tr w:rsidR="003C067B" w:rsidRPr="003C067B" w:rsidTr="00D57533">
        <w:trPr>
          <w:tblCellSpacing w:w="0" w:type="dxa"/>
          <w:jc w:val="center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67B" w:rsidRPr="003C067B" w:rsidRDefault="003C067B" w:rsidP="002C56A5">
            <w:pPr>
              <w:spacing w:after="0" w:line="276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1.</w:t>
            </w:r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Պետության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քննարկվող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երաշխավոր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թյան</w:t>
            </w:r>
            <w:proofErr w:type="spellEnd"/>
            <w:r w:rsid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տրամադրումը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նպատակաուղղված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կառավարելու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Վարկատուի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Կառուցապատողի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ռիսկերը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քանի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կառուցապատողին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ընտրում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Պետությունը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ոչ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թե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Վարկատուն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),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որոնք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ըստ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էության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դադարում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գոյություն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ունենալ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հիմնական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պայմանագրի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կնքումից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հետո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երբ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համալիրները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հանձնվում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շահագործման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).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մինչդեռ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Վարկատուի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Վարկառուի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ռիսկերի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կառավարումը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տրամաբանությամբ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Վարկատուի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խնդիրն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է,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քանի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Որոշումներով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Վարկատուն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ազատ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վարկի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գործընթացում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թվում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շահառուին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վարկը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թե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ոչ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ինչպիսի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տոկոսադրույք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սահմանել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այլն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>).</w:t>
            </w:r>
          </w:p>
          <w:p w:rsidR="003C067B" w:rsidRPr="003C067B" w:rsidRDefault="003C067B" w:rsidP="002C56A5">
            <w:pPr>
              <w:spacing w:after="0" w:line="276" w:lineRule="auto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Մյուս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համալիրները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շահագործման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հանձնելիս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քննարկվող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երաշխավորության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տրամադրումը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ևս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5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տարով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շարունակելու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առկա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ռիսկ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պահին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գրավի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առարկայի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շուկայական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իրացվելի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արժեքը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կարող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փոքր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լինել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երաշխավորության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մեծությունից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առաջացնելով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ծախսեր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3C067B" w:rsidRPr="003C067B" w:rsidRDefault="003C067B" w:rsidP="002C56A5">
            <w:pPr>
              <w:spacing w:after="0" w:line="276" w:lineRule="auto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lastRenderedPageBreak/>
              <w:t>Վերոգրյալը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առնելով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նշված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երաշխավորության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տրամադրումը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համալիրների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շահագործումից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հետո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ևս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5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տարի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շարունակելու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մոտեցմամբ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համարում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ենք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տրամաբանությանը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հակասող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իսկ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դրանից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պայմանական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պարտավորության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ռիսկը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ոչ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բավականաչափ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կառավարելի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ուստի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ենք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խմբագրել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այնպես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որպեսզի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քննարկվող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երաշխավորությունը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տարածվի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միայն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նախնական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պայմանագրի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ժամանակահատվածի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մինչև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շենքային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համալիրների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կառուցման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ավարտը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3C067B" w:rsidRPr="003C067B" w:rsidRDefault="003C067B" w:rsidP="002C56A5">
            <w:pPr>
              <w:spacing w:after="0"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C067B" w:rsidRPr="00305E7C" w:rsidRDefault="003C067B" w:rsidP="002C56A5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05E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67B" w:rsidRDefault="003C067B" w:rsidP="0015488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  <w:proofErr w:type="spellStart"/>
            <w:r w:rsidRPr="00901C8F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>Չի</w:t>
            </w:r>
            <w:proofErr w:type="spellEnd"/>
            <w:r w:rsidRPr="00901C8F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1C8F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>ընդունվել</w:t>
            </w:r>
            <w:proofErr w:type="spellEnd"/>
            <w:r w:rsidR="00D57533" w:rsidRPr="00901C8F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>:</w:t>
            </w:r>
          </w:p>
          <w:p w:rsidR="0015488C" w:rsidRPr="0015488C" w:rsidRDefault="0015488C" w:rsidP="0015488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</w:p>
          <w:p w:rsidR="003C067B" w:rsidRPr="003C067B" w:rsidRDefault="0015488C" w:rsidP="002C56A5">
            <w:pPr>
              <w:spacing w:after="0" w:line="276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bookmarkStart w:id="0" w:name="_GoBack"/>
            <w:bookmarkEnd w:id="0"/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ստացումից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հետո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Բնակարանի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հետգնման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երաշխավորության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տարածումը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նպատակահարմար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նրանով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գրավի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առարկայի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բռնագանձման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գործընթացը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Բանկի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5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տարի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շարունակ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կիրառվում</w:t>
            </w:r>
            <w:proofErr w:type="spellEnd"/>
            <w:r w:rsidR="003C067B" w:rsidRPr="003C067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3C067B" w:rsidRPr="00305E7C" w:rsidRDefault="003C067B" w:rsidP="002C56A5">
            <w:pPr>
              <w:spacing w:after="0"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կանոնակարգումը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նվազեցնում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Բանկի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գրավի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առարկայի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բռնագանձման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իրացման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C067B">
              <w:rPr>
                <w:rFonts w:ascii="GHEA Grapalat" w:hAnsi="GHEA Grapalat" w:cs="Sylfaen"/>
                <w:sz w:val="24"/>
                <w:szCs w:val="24"/>
              </w:rPr>
              <w:t>ռիսկերը</w:t>
            </w:r>
            <w:proofErr w:type="spellEnd"/>
            <w:r w:rsidRPr="003C067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3C067B" w:rsidRPr="00305E7C" w:rsidTr="00D57533">
        <w:trPr>
          <w:tblCellSpacing w:w="0" w:type="dxa"/>
          <w:jc w:val="center"/>
        </w:trPr>
        <w:tc>
          <w:tcPr>
            <w:tcW w:w="5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C067B" w:rsidRPr="00305E7C" w:rsidRDefault="003C067B" w:rsidP="002C56A5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05E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  <w:r w:rsidRPr="00305E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3C06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արդարդատության նախարարություն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C067B" w:rsidRPr="00305E7C" w:rsidRDefault="00D57533" w:rsidP="002C56A5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26.02.2021</w:t>
            </w:r>
            <w:r w:rsidR="003C067B" w:rsidRPr="00305E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3C067B" w:rsidRPr="00305E7C" w:rsidTr="00D57533">
        <w:trPr>
          <w:tblCellSpacing w:w="0" w:type="dxa"/>
          <w:jc w:val="center"/>
        </w:trPr>
        <w:tc>
          <w:tcPr>
            <w:tcW w:w="5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67B" w:rsidRPr="00305E7C" w:rsidRDefault="003C067B" w:rsidP="002C56A5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C067B" w:rsidRPr="00305E7C" w:rsidRDefault="003C067B" w:rsidP="002C56A5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05E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D5753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01/27.2/4522-2021</w:t>
            </w:r>
          </w:p>
        </w:tc>
      </w:tr>
      <w:tr w:rsidR="003C067B" w:rsidRPr="003C067B" w:rsidTr="00D57533">
        <w:trPr>
          <w:tblCellSpacing w:w="0" w:type="dxa"/>
          <w:jc w:val="center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533" w:rsidRPr="00D57533" w:rsidRDefault="003C067B" w:rsidP="002C56A5">
            <w:pPr>
              <w:spacing w:after="0" w:line="276" w:lineRule="auto"/>
              <w:ind w:right="-43"/>
              <w:rPr>
                <w:rFonts w:ascii="GHEA Grapalat" w:hAnsi="GHEA Grapalat" w:cs="Sylfaen"/>
                <w:sz w:val="24"/>
                <w:szCs w:val="24"/>
              </w:rPr>
            </w:pPr>
            <w:r w:rsidRPr="00305E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1-ին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ենթակետով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առաջարկվում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2020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հունիսի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4-ի N 885-Ն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Որոշում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20-րդ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ենթակետը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լրացնել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«գ»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պարբերությամբ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D57533" w:rsidRPr="00D57533" w:rsidRDefault="00D57533" w:rsidP="002C56A5">
            <w:pPr>
              <w:spacing w:after="0" w:line="276" w:lineRule="auto"/>
              <w:ind w:right="-43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Այս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առումով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նկատի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ունենալով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20-րդ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ենթակետի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«ա» և «բ»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պարբերություններով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կարգավորումների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բովանդակությունը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բովանդակային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առումով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ենք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1-ին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ենթակետով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կարգավորումը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ամրագրել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առանձին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տեսքով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Նույն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դիտարկումը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վերաբերելի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ենթակետով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կարգավորմանը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3C067B" w:rsidRPr="00305E7C" w:rsidRDefault="003C067B" w:rsidP="002C56A5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C067B" w:rsidRPr="00305E7C" w:rsidRDefault="003C067B" w:rsidP="002C56A5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05E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533" w:rsidRDefault="00D57533" w:rsidP="0015488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  <w:proofErr w:type="spellStart"/>
            <w:r w:rsidRPr="00901C8F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>Ընդունվել</w:t>
            </w:r>
            <w:proofErr w:type="spellEnd"/>
            <w:r w:rsidRPr="00901C8F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 xml:space="preserve"> է:</w:t>
            </w:r>
          </w:p>
          <w:p w:rsidR="0015488C" w:rsidRPr="0015488C" w:rsidRDefault="0015488C" w:rsidP="0015488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</w:p>
          <w:p w:rsidR="00D57533" w:rsidRPr="00305E7C" w:rsidRDefault="0015488C" w:rsidP="002C56A5">
            <w:pPr>
              <w:spacing w:after="0"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57533" w:rsidRPr="00D57533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Կատարվել</w:t>
            </w:r>
            <w:proofErr w:type="spellEnd"/>
            <w:r w:rsidR="00D57533" w:rsidRPr="00D57533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57533" w:rsidRPr="00D57533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առաջարկվող</w:t>
            </w:r>
            <w:proofErr w:type="spellEnd"/>
            <w:r w:rsidR="00D57533" w:rsidRPr="00D57533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լրացումը</w:t>
            </w:r>
            <w:proofErr w:type="spellEnd"/>
            <w:r w:rsidR="00D57533" w:rsidRPr="00D57533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:</w:t>
            </w:r>
          </w:p>
        </w:tc>
      </w:tr>
      <w:tr w:rsidR="003C067B" w:rsidRPr="003C067B" w:rsidTr="00D57533">
        <w:trPr>
          <w:tblCellSpacing w:w="0" w:type="dxa"/>
          <w:jc w:val="center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533" w:rsidRPr="00D57533" w:rsidRDefault="003C067B" w:rsidP="002C56A5">
            <w:pPr>
              <w:spacing w:after="0" w:line="276" w:lineRule="auto"/>
              <w:ind w:right="-43"/>
              <w:rPr>
                <w:rFonts w:ascii="GHEA Grapalat" w:hAnsi="GHEA Grapalat" w:cs="Sylfaen"/>
                <w:sz w:val="24"/>
                <w:szCs w:val="24"/>
              </w:rPr>
            </w:pPr>
            <w:r w:rsidRPr="00305E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3-րդ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ենթակետով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առաջարկվում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2020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30-ի N 2206-Ն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Որոշում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28-րդ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10-րդ և 11-րդ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ենթակետերում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«20»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թիվը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«10»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թվով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Միաժամանակ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4-րդ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ենթակետով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առաջարկվում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28-րդ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11-րդ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ենթակետը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շարադրել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խմբագրությամբ</w:t>
            </w:r>
            <w:proofErr w:type="spellEnd"/>
            <w:r w:rsidR="00D57533" w:rsidRPr="00D5753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D57533" w:rsidRPr="00D57533" w:rsidRDefault="00D57533" w:rsidP="002C56A5">
            <w:pPr>
              <w:spacing w:after="0" w:line="276" w:lineRule="auto"/>
              <w:ind w:right="-43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պարագայում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նկատի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ունենալով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այն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հանգամանքը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4-րդ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ենթակետով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առաջարկվում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28-րդ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11-րդ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ենթակետն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ամբողջությամբ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շարադրել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խմբագրությամբ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3-րդ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ենթակետում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ամրագրված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կարգավորումն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D57533">
              <w:rPr>
                <w:rFonts w:ascii="GHEA Grapalat" w:hAnsi="GHEA Grapalat" w:cs="Sylfaen"/>
                <w:sz w:val="24"/>
                <w:szCs w:val="24"/>
              </w:rPr>
              <w:t>վերանայել</w:t>
            </w:r>
            <w:proofErr w:type="spellEnd"/>
            <w:r w:rsidRPr="00D5753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3C067B" w:rsidRPr="00305E7C" w:rsidRDefault="003C067B" w:rsidP="002C56A5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C067B" w:rsidRPr="00305E7C" w:rsidRDefault="003C067B" w:rsidP="002C56A5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05E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533" w:rsidRDefault="00D57533" w:rsidP="0015488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  <w:proofErr w:type="spellStart"/>
            <w:r w:rsidRPr="00901C8F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>Ընդունվել</w:t>
            </w:r>
            <w:proofErr w:type="spellEnd"/>
            <w:r w:rsidRPr="00901C8F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 xml:space="preserve"> է</w:t>
            </w:r>
            <w:r w:rsidRPr="00901C8F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>:</w:t>
            </w:r>
          </w:p>
          <w:p w:rsidR="0015488C" w:rsidRPr="0015488C" w:rsidRDefault="0015488C" w:rsidP="0015488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</w:p>
          <w:p w:rsidR="003C067B" w:rsidRPr="00305E7C" w:rsidRDefault="0015488C" w:rsidP="002C56A5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D57533" w:rsidRPr="00D575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 է առաջարկվող ճշտումը:</w:t>
            </w:r>
          </w:p>
        </w:tc>
      </w:tr>
    </w:tbl>
    <w:p w:rsidR="00D57533" w:rsidRDefault="00D57533" w:rsidP="00D57533"/>
    <w:sectPr w:rsidR="00D5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B2C"/>
    <w:multiLevelType w:val="hybridMultilevel"/>
    <w:tmpl w:val="D742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610D"/>
    <w:multiLevelType w:val="hybridMultilevel"/>
    <w:tmpl w:val="EB888624"/>
    <w:lvl w:ilvl="0" w:tplc="B170A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7C"/>
    <w:rsid w:val="000C1F67"/>
    <w:rsid w:val="0015488C"/>
    <w:rsid w:val="002C56A5"/>
    <w:rsid w:val="00305E7C"/>
    <w:rsid w:val="00356560"/>
    <w:rsid w:val="003C067B"/>
    <w:rsid w:val="00901C8F"/>
    <w:rsid w:val="00D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3306"/>
  <w15:chartTrackingRefBased/>
  <w15:docId w15:val="{BAC03888-C024-4C27-956C-DB6BA53F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E7C"/>
    <w:rPr>
      <w:b/>
      <w:bCs/>
    </w:rPr>
  </w:style>
  <w:style w:type="paragraph" w:styleId="ListParagraph">
    <w:name w:val="List Paragraph"/>
    <w:basedOn w:val="Normal"/>
    <w:uiPriority w:val="34"/>
    <w:qFormat/>
    <w:rsid w:val="003C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Nersisyan</dc:creator>
  <cp:keywords/>
  <dc:description/>
  <cp:lastModifiedBy>Hasmik Nersisyan</cp:lastModifiedBy>
  <cp:revision>14</cp:revision>
  <dcterms:created xsi:type="dcterms:W3CDTF">2021-03-17T06:50:00Z</dcterms:created>
  <dcterms:modified xsi:type="dcterms:W3CDTF">2021-03-17T07:26:00Z</dcterms:modified>
</cp:coreProperties>
</file>