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95" w:rsidRDefault="003F1578">
      <w:pPr>
        <w:pStyle w:val="headingtitleStyle"/>
      </w:pPr>
      <w:bookmarkStart w:id="0" w:name="_Toc1"/>
      <w:r>
        <w:t>Ամփոփաթերթ</w:t>
      </w:r>
      <w:bookmarkEnd w:id="0"/>
    </w:p>
    <w:p w:rsidR="005F5095" w:rsidRDefault="003F1578">
      <w:pPr>
        <w:pStyle w:val="headingtitleStyle"/>
      </w:pPr>
      <w:bookmarkStart w:id="1" w:name="_Toc2"/>
      <w:r>
        <w:t xml:space="preserve">«Ճանապարհային </w:t>
      </w:r>
      <w:proofErr w:type="spellStart"/>
      <w:r>
        <w:t>երթևեկության</w:t>
      </w:r>
      <w:proofErr w:type="spellEnd"/>
      <w:r>
        <w:t xml:space="preserve"> անվտանգության ապահովման մասին» Հայաստանի Հանրապետության օրենքում լրացում կատարելու մասին», ««Ավտոմոբիլային տրանսպորտի մասին» Հայաստանի Հանրապետության օրենքում փոփոխություն և լրացումներ կատարելու մասին» և ««Վարչական իրավախախտումների վերաբերյալ» Հայաստանի Հանրապետության օրենսգրքում փոփոխություններ և լրացում կատարելու մասին» ՀՀ օրենքների նախագծերի նախագծի վերաբերյալ</w:t>
      </w:r>
      <w:bookmarkEnd w:id="1"/>
    </w:p>
    <w:p w:rsidR="005F5095" w:rsidRDefault="005F5095"/>
    <w:p w:rsidR="005F5095" w:rsidRDefault="005F5095"/>
    <w:p w:rsidR="005F5095" w:rsidRDefault="005F5095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534"/>
        <w:gridCol w:w="4622"/>
        <w:gridCol w:w="3490"/>
        <w:gridCol w:w="2825"/>
      </w:tblGrid>
      <w:tr w:rsidR="005F5095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95" w:rsidRDefault="003F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:rsidR="005F5095" w:rsidRDefault="003F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95" w:rsidRDefault="003F15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95" w:rsidRDefault="003F15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95" w:rsidRDefault="003F15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95" w:rsidRDefault="003F15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5F5095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5095" w:rsidRDefault="005F5095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5095" w:rsidRDefault="003F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5095" w:rsidRDefault="003F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5095" w:rsidRDefault="003F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5095" w:rsidRDefault="003F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5F5095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95" w:rsidRDefault="003F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95" w:rsidRDefault="003F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 ՀԿ</w:t>
            </w:r>
          </w:p>
          <w:p w:rsidR="005F5095" w:rsidRDefault="003F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07.05.2020 22:10:18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792" w:rsidRDefault="003F1578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Ավտոմոբիլային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՝</w:t>
            </w:r>
          </w:p>
          <w:p w:rsidR="00EB3792" w:rsidRDefault="003F1578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1-ին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հասկացությունները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համապատասխանեցնել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Միջազգային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ավտոճանապարհային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փոխադրումներ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անձնակազմի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համաձայնագրով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այսուհետ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Համաձայնագիր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հասկացություններին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մասնավորպես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անձնակազմ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հասկացությունը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անձնակազմի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անդամներին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ինքնազբաղված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ավտովարորդ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բառերը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իմաստային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առումով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ավտովարորդը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ինքնազբաղ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տե՛ս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վարորդ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հասկացությունը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Միևնույն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մյուս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հասկացությունները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շաբաթ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հանգիստ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ժամանակահատված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հասկացությունը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</w:p>
          <w:p w:rsidR="00EB3792" w:rsidRDefault="003F1578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  <w:t xml:space="preserve">3-րդ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1-ին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ներհանրապետական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ուղևորափոխադրումներ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երթուղու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երկարությունը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գերազանցում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150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կիլոմետրը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և 2-րդ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«40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/ժ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առավելագույն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թույլատրելի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արագությունը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...................»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Համաձայնագրով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50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կիլոմետր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թույլատրելի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առավելագույն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արագություն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30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/ժ: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շեղումները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միջազգային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Համաձայնագրով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ստանձնած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պարտավորություններին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կխոչընդոտեն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ճանապարհային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երթևեկության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անվտանգության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մակարդակին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հասնելուն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ուղևորների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օգտագործվող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իրենց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կառուցվածքով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սարքավորումների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առանձնահատկությամբ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ուղևորների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ներառյալ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վարորդը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Հակառակ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տաքսամոտորային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փոխադրումներում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ներգրավված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կահավորված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տախոգրաֆով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հետապնդում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վերահսկել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տաքսու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վարորդների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աշխատաժամանակը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անվերահսկելի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տաքսամոտորային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փոխադրումներում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ներգրավված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կահավորանքը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- 3-րդ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9-րդ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առևտրային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ապրանքների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բառերը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փոխարինել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առևտրային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օգտագործման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բառերով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-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Հստակեցման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կարիք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թույլատրելի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առավելագույն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զանգվածը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գերազանցում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7,5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տոննան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-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7-րդ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կարգավորումներ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բխում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անվտանգության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սկզբունքներից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ՀՀ-ի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փոխադրողներին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կդարձնի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ԻԻՀ-ի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փոխադրողների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իրավախախտումների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                    -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բացառություններն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ըստ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լիարժեք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-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4-րդ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միկրոավտոբուսներով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ուղևորափոխադրումներում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ներգրավված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վարորդների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ռեժիմը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կանոնակարգման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  </w:t>
            </w:r>
          </w:p>
          <w:p w:rsidR="00EB3792" w:rsidRDefault="003F1578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2-րդ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1-ից 7-րդ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համապատասխանեցնելով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ժամանակահատվածները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Ընդմիջումներ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Հանգստի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ժամանակահատվածներ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Բացառություններ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</w:p>
          <w:p w:rsidR="00EB3792" w:rsidRDefault="003F1578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պարտադիր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տախոգրաֆների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ներհանրապետական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ներառյալ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ներհամայնքային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ուղևորափոխադրումներում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ներգրավված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վարորդների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ռեժիմի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վերահսկողություն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իրականացնելու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Չնայած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հանգամանքին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երթուղու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երկարությունը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գերազանցում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50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կիլոմետրը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բազմաթիվ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վարորդի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աշխատաժամանակի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խախտումները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Սահմանափակումները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օրենսդրությամբ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բայց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պատշաճ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վերահսկողություն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մեխանիզմները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</w:p>
          <w:p w:rsidR="005F5095" w:rsidRDefault="003F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Ավտոմոբիլային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28-րդ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կորցրած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ճանաչել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ամենից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իրավախախտումների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1-ին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2.1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սկզբունքորեն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կրկնում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իրավախախտումների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137.8-րդ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1-ին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Հակառակ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իրավախախտման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կսահմանվեն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պատասխանատվություններ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Միաժամանակ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մշակման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ուսումնասիրություններ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ի՞նչ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ազդեցություն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կունենան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ճանապարհային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երթևեկության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անվտանգության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բեռնափոխադրումների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ուղևորափոխադրումների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գնագոյացման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ուղևորափոխադրումների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փոխադրավարձի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ուսումնասիրություններ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հանրությանը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տեսքով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3F1578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3F1578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2.Օրենսդրական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փաթեթի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համապատասխանցվել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ԵՎՐՈՊԱԿԱՆ ՊԱՌԼԱՄԵՆՏԻ ԵՎ ԽՈՐՀՐԴԻ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կանոնակարգրի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Երթուղու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երկարությունը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սահմանվել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երթուղիների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կարճ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հեռավորությունները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ներպետական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ուղևորափոխադրումներ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լրացուցիչ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ֆինանսական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ծախսերի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չառաջացնելը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3F1578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ներառված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օրենսդրական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փաթեթում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համաձայնագիրն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ամբողջությամբ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կրկնվի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Ավտոմոբիլային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3F1578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Օրենսդրական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փաթեթում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ներառված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ներհանրապետական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ուղևորափոխադրումների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կարգավորումները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5F5095" w:rsidRDefault="003F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Օրենսդրական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փաթեթի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մշակման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3F1578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1-ին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է: </w:t>
            </w: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3F1578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3-ը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հստակեցվել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bookmarkStart w:id="2" w:name="_GoBack"/>
            <w:bookmarkEnd w:id="2"/>
          </w:p>
          <w:p w:rsidR="00EB3792" w:rsidRDefault="00EB3792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  <w:p w:rsidR="005F5095" w:rsidRDefault="003F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5.Նախագծով 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Ավտոմոբիլային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28-րդ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կորցրած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ճանաչվել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-«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իրավախախտումների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137.8-րդ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1-ին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Միջազգային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ավտոճանապարհային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փոխադրումներ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անձնակազմի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վարորդի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ռեժիմի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պահպանման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բառերը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</w:tr>
    </w:tbl>
    <w:p w:rsidR="006B5D50" w:rsidRDefault="006B5D50"/>
    <w:sectPr w:rsidR="006B5D50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5"/>
    <w:rsid w:val="003F1578"/>
    <w:rsid w:val="005F5095"/>
    <w:rsid w:val="006B5D50"/>
    <w:rsid w:val="00E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EE1C8-0C02-4720-9F4D-9B646D4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himarhamakarg@outlook.com</dc:creator>
  <cp:keywords/>
  <dc:description/>
  <cp:lastModifiedBy>himarhamakarg@outlook.com</cp:lastModifiedBy>
  <cp:revision>3</cp:revision>
  <dcterms:created xsi:type="dcterms:W3CDTF">2020-05-18T06:23:00Z</dcterms:created>
  <dcterms:modified xsi:type="dcterms:W3CDTF">2020-05-18T06:28:00Z</dcterms:modified>
  <cp:category/>
</cp:coreProperties>
</file>