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49274E">
        <w:rPr>
          <w:rFonts w:ascii="GHEA Grapalat" w:hAnsi="GHEA Grapalat" w:cs="Sylfaen"/>
          <w:sz w:val="24"/>
          <w:lang w:val="hy-AM"/>
        </w:rPr>
        <w:t>մարտ</w:t>
      </w:r>
      <w:r w:rsidR="00E60912">
        <w:rPr>
          <w:rFonts w:ascii="GHEA Grapalat" w:hAnsi="GHEA Grapalat" w:cs="Sylfaen"/>
          <w:sz w:val="24"/>
          <w:lang w:val="en-US"/>
        </w:rPr>
        <w:t>ի</w:t>
      </w:r>
      <w:r w:rsidR="0012342A">
        <w:rPr>
          <w:rFonts w:ascii="GHEA Grapalat" w:hAnsi="GHEA Grapalat"/>
          <w:sz w:val="24"/>
        </w:rPr>
        <w:t xml:space="preserve">  202</w:t>
      </w:r>
      <w:r w:rsidR="00E60912" w:rsidRPr="00CD2193">
        <w:rPr>
          <w:rFonts w:ascii="GHEA Grapalat" w:hAnsi="GHEA Grapalat"/>
          <w:sz w:val="24"/>
        </w:rPr>
        <w:t>1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49274E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49274E">
        <w:rPr>
          <w:rFonts w:ascii="GHEA Grapalat" w:hAnsi="GHEA Grapalat" w:cs="Sylfaen"/>
          <w:spacing w:val="10"/>
          <w:lang w:val="hy-AM"/>
        </w:rPr>
        <w:t>«ԿՈՌՈՒՊՑԻԱՅԻ ԿԱՆԽԱՐԳԵԼՄԱՆ ՀԱՆՁՆԱԺՈՂՈՎԻ ՄԱՍԻՆ» ՀԱՅԱՍՏԱՆԻ ՀԱՆՐԱՊԵՏՈՒԹՅԱՆ ՕՐԵՆՔՈՒՄ ՓՈՓՈԽՈՒԹՅՈՒՆՆԵՐ ԿԱՏԱՐԵԼՈՒ ՄԱՍԻՆ»</w:t>
      </w:r>
      <w:r w:rsidR="00CD2193" w:rsidRPr="00CD2193">
        <w:rPr>
          <w:rFonts w:ascii="GHEA Grapalat" w:hAnsi="GHEA Grapalat" w:cs="Sylfaen"/>
          <w:spacing w:val="10"/>
          <w:lang w:val="hy-AM"/>
        </w:rPr>
        <w:t xml:space="preserve"> ՕՐԵՆՔԻ ՆԱԽԱԳԻԾԻ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124CCE">
        <w:rPr>
          <w:rFonts w:ascii="GHEA Grapalat" w:hAnsi="GHEA Grapalat" w:cs="Sylfaen"/>
          <w:spacing w:val="10"/>
          <w:lang w:val="hy-AM"/>
        </w:rPr>
        <w:t xml:space="preserve">ԱՆ </w:t>
      </w:r>
      <w:r w:rsidR="007E481E" w:rsidRPr="00000629">
        <w:rPr>
          <w:rFonts w:ascii="GHEA Grapalat" w:hAnsi="GHEA Grapalat" w:cs="Sylfaen"/>
          <w:spacing w:val="10"/>
          <w:lang w:val="hy-AM"/>
        </w:rPr>
        <w:t>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49274E" w:rsidRPr="0049274E">
        <w:rPr>
          <w:rFonts w:ascii="GHEA Grapalat" w:eastAsia="Times New Roman" w:hAnsi="GHEA Grapalat" w:cs="Tahoma"/>
          <w:lang w:val="hy-AM" w:eastAsia="ru-RU"/>
        </w:rPr>
        <w:t>«Կոռուպցիայի կանխարգելման հանձնաժողովի մասին» Հայաստանի Հանրապետության օրենքում փոփոխություններ կատարելու մասին»</w:t>
      </w:r>
      <w:r w:rsidR="0049274E">
        <w:rPr>
          <w:rFonts w:ascii="GHEA Grapalat" w:eastAsia="Times New Roman" w:hAnsi="GHEA Grapalat" w:cs="Tahoma"/>
          <w:lang w:val="hy-AM" w:eastAsia="ru-RU"/>
        </w:rPr>
        <w:t xml:space="preserve"> </w:t>
      </w:r>
      <w:r w:rsidR="00D4597A" w:rsidRPr="00D4597A">
        <w:rPr>
          <w:rFonts w:ascii="GHEA Grapalat" w:eastAsia="Times New Roman" w:hAnsi="GHEA Grapalat" w:cs="Tahoma"/>
          <w:lang w:val="hy-AM" w:eastAsia="ru-RU"/>
        </w:rPr>
        <w:t>Հայաստանի Հանրապետության օրենքի նախագծի</w:t>
      </w:r>
      <w:r w:rsidR="00D4597A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="003C7B97" w:rsidRPr="003C7B97">
        <w:rPr>
          <w:rFonts w:ascii="GHEA Grapalat" w:eastAsia="Times New Roman" w:hAnsi="GHEA Grapalat" w:cs="Tahoma"/>
          <w:lang w:val="hy-AM" w:eastAsia="ru-RU"/>
        </w:rPr>
        <w:t>(</w:t>
      </w:r>
      <w:r w:rsidR="0049274E" w:rsidRPr="0049274E">
        <w:rPr>
          <w:rFonts w:ascii="GHEA Grapalat" w:eastAsia="Times New Roman" w:hAnsi="GHEA Grapalat" w:cs="Tahoma"/>
          <w:lang w:val="hy-AM" w:eastAsia="ru-RU"/>
        </w:rPr>
        <w:t>Խ-856-05.02.2021-ՊԻ-011/0</w:t>
      </w:r>
      <w:r w:rsidR="00CD1179">
        <w:rPr>
          <w:rFonts w:ascii="GHEA Grapalat" w:eastAsia="Times New Roman" w:hAnsi="GHEA Grapalat" w:cs="Tahoma"/>
          <w:lang w:val="hy-AM" w:eastAsia="ru-RU"/>
        </w:rPr>
        <w:t xml:space="preserve">) 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վերաբերյալ </w:t>
      </w:r>
      <w:r w:rsidR="003F4D2D">
        <w:rPr>
          <w:rFonts w:ascii="GHEA Grapalat" w:eastAsia="Times New Roman" w:hAnsi="GHEA Grapalat" w:cs="Tahoma"/>
          <w:lang w:val="hy-AM" w:eastAsia="ru-RU"/>
        </w:rPr>
        <w:t xml:space="preserve">Հայաստանի </w:t>
      </w:r>
      <w:proofErr w:type="spellStart"/>
      <w:r w:rsidR="003F4D2D">
        <w:rPr>
          <w:rFonts w:ascii="GHEA Grapalat" w:eastAsia="Times New Roman" w:hAnsi="GHEA Grapalat" w:cs="Tahoma"/>
          <w:lang w:val="hy-AM" w:eastAsia="ru-RU"/>
        </w:rPr>
        <w:t>Հանրապտության</w:t>
      </w:r>
      <w:proofErr w:type="spellEnd"/>
      <w:r w:rsidR="003F4D2D">
        <w:rPr>
          <w:rFonts w:ascii="GHEA Grapalat" w:eastAsia="Times New Roman" w:hAnsi="GHEA Grapalat" w:cs="Tahoma"/>
          <w:lang w:val="hy-AM" w:eastAsia="ru-RU"/>
        </w:rPr>
        <w:t xml:space="preserve"> կառավարության առաջարկությանը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CD2193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</w:t>
      </w:r>
      <w:r w:rsidR="00E60912">
        <w:rPr>
          <w:rFonts w:ascii="GHEA Grapalat" w:hAnsi="GHEA Grapalat"/>
          <w:lang w:val="af-ZA"/>
        </w:rPr>
        <w:t>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49274E">
        <w:rPr>
          <w:rFonts w:ascii="GHEA Grapalat" w:hAnsi="GHEA Grapalat" w:cs="IRTEK Courier"/>
          <w:spacing w:val="-4"/>
          <w:lang w:val="hy-AM"/>
        </w:rPr>
        <w:t>մարտ</w:t>
      </w:r>
      <w:r w:rsidR="00E60912" w:rsidRPr="00CD2193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B5D4C" w:rsidRPr="00EB5D4C" w:rsidRDefault="0049274E" w:rsidP="00EB5D4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49274E">
        <w:rPr>
          <w:rFonts w:ascii="GHEA Grapalat" w:hAnsi="GHEA Grapalat" w:cs="Sylfaen"/>
          <w:spacing w:val="10"/>
          <w:lang w:val="hy-AM"/>
        </w:rPr>
        <w:t>«ԿՈՌՈՒՊՑԻԱՅԻ ԿԱՆԽԱՐԳԵԼՄԱՆ ՀԱՆՁՆԱԺՈՂՈՎԻ ՄԱՍԻՆ» ՀԱՅԱՍՏԱՆԻ ՀԱՆՐԱՊԵՏՈՒԹՅԱՆ ՕՐԵՆՔՈՒՄ ՓՈՓՈԽՈՒԹՅՈՒՆՆԵՐ ԿԱՏԱՐԵԼՈՒ ՄԱՍԻՆ»</w:t>
      </w:r>
      <w:r w:rsidR="00D4597A" w:rsidRPr="00CD2193">
        <w:rPr>
          <w:rFonts w:ascii="GHEA Grapalat" w:hAnsi="GHEA Grapalat" w:cs="Sylfaen"/>
          <w:spacing w:val="10"/>
          <w:lang w:val="hy-AM"/>
        </w:rPr>
        <w:t xml:space="preserve"> ՕՐԵՆՔԻ ՆԱԽԱԳԻԾԻ </w:t>
      </w:r>
      <w:r w:rsidR="003C7B97" w:rsidRPr="003C7B97">
        <w:rPr>
          <w:rFonts w:ascii="GHEA Grapalat" w:hAnsi="GHEA Grapalat" w:cs="Sylfaen"/>
          <w:spacing w:val="10"/>
          <w:lang w:val="hy-AM"/>
        </w:rPr>
        <w:t>(</w:t>
      </w:r>
      <w:r w:rsidRPr="0049274E">
        <w:rPr>
          <w:rFonts w:ascii="GHEA Grapalat" w:hAnsi="GHEA Grapalat" w:cs="Sylfaen"/>
          <w:spacing w:val="10"/>
          <w:lang w:val="hy-AM"/>
        </w:rPr>
        <w:t>Խ-856-05.02.2021-ՊԻ-011/0</w:t>
      </w:r>
      <w:r w:rsidR="003C7B97" w:rsidRPr="003C7B97">
        <w:rPr>
          <w:rFonts w:ascii="GHEA Grapalat" w:hAnsi="GHEA Grapalat" w:cs="Sylfaen"/>
          <w:spacing w:val="10"/>
          <w:lang w:val="hy-AM"/>
        </w:rPr>
        <w:t>)</w:t>
      </w:r>
      <w:r w:rsidR="003C7B97" w:rsidRPr="003C7B97">
        <w:rPr>
          <w:rFonts w:ascii="GHEA Grapalat" w:hAnsi="GHEA Grapalat" w:cs="Sylfaen"/>
          <w:spacing w:val="10"/>
          <w:lang w:val="af-ZA"/>
        </w:rPr>
        <w:t xml:space="preserve"> </w:t>
      </w:r>
      <w:r w:rsidR="00D4597A" w:rsidRPr="00000629">
        <w:rPr>
          <w:rFonts w:ascii="GHEA Grapalat" w:hAnsi="GHEA Grapalat" w:cs="Sylfaen"/>
          <w:spacing w:val="10"/>
          <w:lang w:val="hy-AM"/>
        </w:rPr>
        <w:t>ՎԵՐԱ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</w:r>
      <w:r w:rsidR="00D4597A" w:rsidRPr="00000629">
        <w:rPr>
          <w:rFonts w:ascii="GHEA Grapalat" w:hAnsi="GHEA Grapalat" w:cs="Sylfaen"/>
          <w:spacing w:val="10"/>
          <w:lang w:val="hy-AM"/>
        </w:rPr>
        <w:softHyphen/>
        <w:t>ԹՅԱՆ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 xml:space="preserve">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թյՈՒՆ</w:t>
      </w:r>
      <w:r w:rsidR="005C1E5A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EB5D4C" w:rsidRPr="00EB5D4C" w:rsidRDefault="00EB5D4C" w:rsidP="00EB5D4C">
      <w:pPr>
        <w:spacing w:after="0" w:line="360" w:lineRule="auto"/>
        <w:ind w:firstLine="720"/>
        <w:jc w:val="both"/>
        <w:rPr>
          <w:rFonts w:ascii="GHEA Grapalat" w:hAnsi="GHEA Grapalat"/>
          <w:noProof/>
          <w:lang w:val="hy-AM"/>
        </w:rPr>
      </w:pPr>
    </w:p>
    <w:p w:rsidR="002C069D" w:rsidRPr="002C069D" w:rsidRDefault="002C069D" w:rsidP="002C069D">
      <w:pPr>
        <w:spacing w:after="0" w:line="360" w:lineRule="auto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         </w:t>
      </w:r>
      <w:bookmarkStart w:id="0" w:name="_GoBack"/>
      <w:bookmarkEnd w:id="0"/>
      <w:r w:rsidRPr="002C069D">
        <w:rPr>
          <w:rFonts w:ascii="GHEA Grapalat" w:hAnsi="GHEA Grapalat"/>
          <w:noProof/>
          <w:lang w:val="hy-AM"/>
        </w:rPr>
        <w:t xml:space="preserve">Նախագծով առաջարկվում է </w:t>
      </w:r>
      <w:r w:rsidRPr="002C069D">
        <w:rPr>
          <w:rFonts w:ascii="GHEA Grapalat" w:hAnsi="GHEA Grapalat" w:cs="Sylfaen"/>
          <w:noProof/>
          <w:lang w:val="hy-AM"/>
        </w:rPr>
        <w:t xml:space="preserve">«Կոռուպցիայի կանխարգելման հանձաժողովի մասին» </w:t>
      </w:r>
      <w:r w:rsidRPr="002C069D">
        <w:rPr>
          <w:rFonts w:ascii="GHEA Grapalat" w:hAnsi="GHEA Grapalat" w:cs="Times Armenian"/>
          <w:bCs/>
          <w:lang w:val="hy-AM"/>
        </w:rPr>
        <w:t xml:space="preserve">Հայաստանի Հանրապետության </w:t>
      </w:r>
      <w:r w:rsidRPr="002C069D">
        <w:rPr>
          <w:rFonts w:ascii="GHEA Grapalat" w:hAnsi="GHEA Grapalat" w:cs="Sylfaen"/>
          <w:noProof/>
          <w:lang w:val="hy-AM"/>
        </w:rPr>
        <w:t xml:space="preserve">օրենքի (այսուհետ՝ Օրենք) 23-րդ հոդվածի 1-ին մասի 6-րդ և 7-րդ կետերից հանել «որոնք ենթակա չեն հրապարակման» բառերը, ինչը փաստացի կհանգեցնի Կոռուպցիայի կանխարգելման հանձնաժողովի (այսուհետ նաև՝ Հանձնաժողով) կողմից ընդունվող բարեվարքության վերաբերյալ խորհրդատվական բնույթ կրող եզրակացությունների հրապարակման պարտավորության սահմանմանը: 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>Նախագծի հիմնավորումներում, ի թիվս այլնի, նշվում է, որ գործող կարգավորումների պարագայում սահմանափակվում է անձանց՝ տեղեկություններ ու գաղափարներ փնտրելու, ստանալու և տարածելու ազատությունը, անկատար են դառնում Օրենքի 3-րդ հոդվածով սահմանված՝ Հանձնաժողովի գործունեության թափանցիկության ապահովման և հանրային հաշվետվողականության սկզբունքները, խոչընդոտներ են ստեղծվում հանրային ծառայության պաշտոնների հավակնող անձանց նշանակման գործընթացի նկատմամբ հանրային վերահսկողության իրականացման, Սահմանադրության 1-ին հոդվածով ամրագրված՝ ժողովրդավարական և իրավական պետության, քաղաքացիական հասարակության կայացման համար: Որպես վերոնշյալի հիմնավորում՝ վկայակոչվում են նաև Սահմանադրական դատարանի՝ թիվ ՍԴՈ-1010 և ՍԴՈ-1374 որոշումները: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>Վերոնշյալի կապակցությամբ հարկ ենք համարում նշել հետևյալը.</w:t>
      </w:r>
    </w:p>
    <w:p w:rsidR="002C069D" w:rsidRPr="002C069D" w:rsidRDefault="002C069D" w:rsidP="002C069D">
      <w:pPr>
        <w:numPr>
          <w:ilvl w:val="0"/>
          <w:numId w:val="3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>Սահմանադրության 31-րդ և 34-րդ հոդվածները, ինչպես նաև «</w:t>
      </w:r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Մարդու իրավունքների և հիմնարար ազատությունների պաշտպանության մասին» </w:t>
      </w:r>
      <w:proofErr w:type="spellStart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>եվրոպական</w:t>
      </w:r>
      <w:proofErr w:type="spellEnd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2C069D">
        <w:rPr>
          <w:rFonts w:ascii="GHEA Grapalat" w:hAnsi="GHEA Grapalat" w:cs="Sylfaen"/>
          <w:noProof/>
          <w:lang w:val="hy-AM"/>
        </w:rPr>
        <w:t xml:space="preserve">կոնվենցիայի (այսուհետ՝ ՄԻԵԿ) 8-րդ հոդվածը Հայաստանի Հանրապետության համար սահմանում են պոզիտիվ պարտականություն՝ ապահովելու անձանց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մասնավոր և ընտանեկան կյանքի, պատվի ու բարի համբավի անձեռնմխելիության, անձնական տվյալների պաշտպանության հիմնարար իրավունքների պատշաճ և արդյունավետ իրացումը:</w:t>
      </w:r>
    </w:p>
    <w:p w:rsidR="002C069D" w:rsidRPr="002C069D" w:rsidRDefault="002C069D" w:rsidP="002C069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Անձնական կյանքի գաղտնիության վերաբերյալ 1998 թվականի թիվ 1165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բանաձևի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footnoteReference w:id="1"/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շրջանակներում դիրքորոշում է արտահայտել ԵԽ խորհրդարանական վեհաժողովը՝ արձանագրելով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հետևյալը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. </w:t>
      </w:r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11. Վեհաժողովը վերահաստատում է յուրաքանչյուր մարդու անձնական կյանքի և խոսքի ազատության իրավունքի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կարևորությունը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՝ որպես հիմնաքար </w:t>
      </w:r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lastRenderedPageBreak/>
        <w:t xml:space="preserve">ժողովրդավարական հասարակության համար: Այս իրավունքները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ո´չ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բացարձակ են և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ո´չ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էլ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հիերարխիկ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փոխհարաբերակցության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մեջ են գտնվում, քանի որ դրանք հավասար արժեք ունեն: 12. Սակայն, Վեհաժողովը ընդգծում է, որ Մարդու իրավունքների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եվրոպական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կոնվենցիայի 8-րդ հոդվածով նախատեսված մասնավոր կյանքի գաղտնիության իրավունքը ոչ միայն պետք է պաշտպանի անձին պետական մարմինների միջամտությունից, այլ նաև մասնավոր անձանց կամ հաստատությունների միջամտությունից:</w:t>
      </w:r>
    </w:p>
    <w:p w:rsidR="002C069D" w:rsidRPr="002C069D" w:rsidRDefault="002C069D" w:rsidP="002C069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Մարդու իրավունքների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դատարանը (այսուհետ նաև՝ ՄԻԵԴ)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Վոն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Հաննովերն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ընդդեմ Գերմանիայի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գործի</w:t>
      </w:r>
      <w:r w:rsidRPr="002C069D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footnoteReference w:id="2"/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շրջանակներում արտահայտել է դիրքորոշում առ այն, որ </w:t>
      </w:r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պետությունը ոչ միայն պարտավոր է չմիջամտել անհատի անձնական կյանքին, </w:t>
      </w:r>
      <w:proofErr w:type="spellStart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այլև</w:t>
      </w:r>
      <w:proofErr w:type="spellEnd"/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ունի պոզիտիվ պարտավորություններ՝ երաշխավորելու անձնական և ընտանեկան կյանքի նկատմամբ արդյունավետ հարգանքը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: ՄԻԵԴ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նախադեպային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դիրքորոշումների</w:t>
      </w:r>
      <w:r w:rsidRPr="002C069D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footnoteReference w:id="3"/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համաձայն՝ 8-րդ հոդվածով ապահովված անձնական կյանքի գաղտնիության իրավունքը նույնքան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կարևոր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է, որքան 10-րդ հոդվածով ապահովված արտահայտվելու ազատությունը:</w:t>
      </w:r>
    </w:p>
    <w:p w:rsidR="002C069D" w:rsidRPr="002C069D" w:rsidRDefault="002C069D" w:rsidP="002C069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Վերոգրյալից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հետևում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է, որ անդամ պետությունները կրում են պոզիտիվ պարտականություն՝ ապահովելու իրենց քաղաքացիների պաշտպանությունը անձնական կյանքի գաղտնիության անհիմն սահմանափակումներից, ու առնվազն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նույնարժեք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իրավաչափ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նպատակով չհիմնավորված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իրավակարգավորումներ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չեն կարող սահմանել: Այս դիրքորոշումը ՄԻԵԴ-ի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նախադեպային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իրավունքի հիման վրա է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ձևավորվել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, քանի որ մշտապես ՄԻԵԴ-ը փորձել է ապահովել հավասարակշռությունը անձնական կյանքի գաղտնիության և ազատ արտահայտվելու, տվյալներ փնտրելու, գտնելու իրավունքների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միջև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՝ ողջամիտ սահմանափակումներ սահմանելով հանրային գործունեությամբ զբաղվող անձանց համար: Դեռ ավելին՝ Դատարանի կարծիքով՝ անձնական և ընտանեկան կյանքի նկատմամբ հարգանքի իրավունքը ներառում է անձի ֆիզիկական և հոգեբանական անձեռնմխելիությունը: Կոնվենցիայի 8-րդ հոդվածով նախատեսված երաշխիքը առաջնային նպատակ ունի ապահովելու յուրաքանչյուր մարդու անհատականության զարգացումը` առանց արտաքին միջամտության, այլ մարդկանց հետ իր հարաբերություններում: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Հետևաբար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, գոյություն ունի այլ անձանց հետ փոխհարաբերությունների գոտի, որը նույնիսկ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հասարակական բնույթ կրելու համատեքստում կարող է ընկնել «մասնավոր կյանքի» տիրույթ</w:t>
      </w:r>
      <w:r w:rsidRPr="002C069D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footnoteReference w:id="4"/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2C069D" w:rsidRPr="002C069D" w:rsidRDefault="002C069D" w:rsidP="002C069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Համաձայնելով այն դիրքորոշմանը, որ պետական մարմինների գործունեության թափանցիկությունը,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հաշվետվողականությունը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դրական ազդեցություն են ունենում ժողովրդավարական ինստիտուտների կայացման գործընթացի վրա՝ այնուամենայնիվ, պետք է ընդգծենք, որ առկա են ողջամիտ սահմանափակումներ, այն է՝ օրենքով պաշտպանվող գաղտնիքներ, այդ թվում՝ պետական,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գաղտնիքները, մարդու անձնական և ընտանեկան կյանքի գաղտնիությունը և այլն, որոնք պետք է պահպանվեն, քանի որ ժողովրդական հասարակարգի կենսական նշանակություն ունեցող տարրերից են նաև ազատ շուկայական հարաբերությունները՝ հիմնված մրցակցության սկզբունքի, հանրության ու դրա յուրաքանչյուր անդամի անվտանգության, անհատի անձնական շփումների, մենակ մնալու իրավունքի նկատմամբ հարգանքի վրա: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Հատկանշական է, որ Սահմանադրության 31-րդ, 34-րդ, 42-րդ, 51-րդ հոդվածների, ՄԻԵԿ-ի 8-րդ և 10-րդ հոդվածներով, </w:t>
      </w:r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>«Անձնական տվյալների պաշտպանության մասին» ՀՀ օրենքի 3-րդ, 4-րդ և 5-րդ հոդվածներով</w:t>
      </w:r>
      <w:r w:rsidRPr="002C069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2C069D">
        <w:rPr>
          <w:rFonts w:ascii="GHEA Grapalat" w:hAnsi="GHEA Grapalat" w:cs="Sylfaen"/>
          <w:noProof/>
          <w:lang w:val="hy-AM"/>
        </w:rPr>
        <w:t xml:space="preserve"> </w:t>
      </w:r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«Տեղեկատվության ազատության մասին» ՀՀ օրենքի 8-րդ հոդվածով սահմանված </w:t>
      </w:r>
      <w:proofErr w:type="spellStart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>կարգավորումները</w:t>
      </w:r>
      <w:proofErr w:type="spellEnd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ՀՀ սահմանադրական դատարանի` թիվ ՍԴՈ-997, ՍԴՈ-1010, ՍԴՈ-1234, ՍԴՈ-1374, ՍԴՈ-1546 որոշումներով արտահայտած իրավական դիրքորոշումները, ՄԻԵԿ 8-րդ և 10-րդ հոդվածների վերաբերյալ ՄԻԵԴ </w:t>
      </w:r>
      <w:proofErr w:type="spellStart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նախադեպային</w:t>
      </w:r>
      <w:proofErr w:type="spellEnd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որոշումներում ՄԻԵԴ արտահայտած դիրքորոշումները</w:t>
      </w:r>
      <w:r w:rsidRPr="002C069D">
        <w:rPr>
          <w:rFonts w:ascii="GHEA Grapalat" w:hAnsi="GHEA Grapalat"/>
          <w:bCs/>
          <w:color w:val="000000"/>
          <w:shd w:val="clear" w:color="auto" w:fill="FFFFFF"/>
          <w:vertAlign w:val="superscript"/>
          <w:lang w:val="hy-AM"/>
        </w:rPr>
        <w:footnoteReference w:id="5"/>
      </w:r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փաստում են, որ անձի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մասնավոր և ընտանեկան կյանքի, պատվի ու բարի համբավի անձեռնմխելիության, անձնական տվյալների պաշտպանության, ինչպես նաև անձին</w:t>
      </w:r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վերաբերող տեղեկատվության </w:t>
      </w:r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պաշտպանության և ազատ արտահայտվելու, այդ թվում՝ տեղեկություններ ստանալու և տարածելու իրավունքները բացարձակ չեն և ենթակա են </w:t>
      </w:r>
      <w:proofErr w:type="spellStart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>իրավաչափ</w:t>
      </w:r>
      <w:proofErr w:type="spellEnd"/>
      <w:r w:rsidRPr="002C06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սահմանափակումների:</w:t>
      </w:r>
      <w:r w:rsidRPr="002C069D">
        <w:rPr>
          <w:rFonts w:ascii="Arial" w:hAnsi="Arial" w:cs="Arial"/>
          <w:bCs/>
          <w:color w:val="000000"/>
          <w:shd w:val="clear" w:color="auto" w:fill="FFFFFF"/>
          <w:lang w:val="hy-AM"/>
        </w:rPr>
        <w:t> 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Սահմանադրական վերոնշյալ հիմնարար իրավունքների ողջամիտ, իրավաչափ և համաչափ հարաբերակցությունը Օրենսդիրը ամրագրել է Օրենքով սահմանված կարգավորումներում: Այսպես, համաձայն Օրենքի 3-րդ հոդվածի՝ Հանձնաժողովն իր գործունեությունն իրականացնում է, ի թիվս այլնի, թափանցիկության սկզբունքի հիման վրա: Օրենքի 2-րդ հոդվածի 2-րդ մասի համաձայն՝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Հանձնաժողովն իր պաշտոնական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կայքէջում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հրապարակում է իր ընդունած որոշումները և եզրակացությունները, ինչպես նաև իր ներկայացրած առաջարկությունները և դրանց քննարկման արդյունքների վերաբերյալ տեղեկությունները:</w:t>
      </w:r>
      <w:r w:rsidRPr="002C069D">
        <w:rPr>
          <w:rFonts w:ascii="GHEA Grapalat" w:hAnsi="GHEA Grapalat" w:cs="Sylfaen"/>
          <w:noProof/>
          <w:lang w:val="hy-AM"/>
        </w:rPr>
        <w:t xml:space="preserve">  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Միևնույն ժամանակ, հաշվի առնելով հիմնարար իրավունքների ողջամիտ, իրավաչափ և համաչափ հարաբերակցության ապահովման անհրաժեշտությունը՝ օրենսդիրը Հանձնաժողովի գործունեության թափանցիկության ապահովման պահանջին զուգահեռ Օրենքի 21-րդ հոդվածի 18-րդ մասով սահմանել է պարտավորություն, համաձայն որի՝ հրապարակման ենթակա չեն Հանձնաժողովի այն որոշումները և եզրակացությունները, որոնք պարունակում են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պետական կամ օրենքով պահպանվող այլ գաղտնիք:</w:t>
      </w:r>
      <w:r w:rsidRPr="002C069D">
        <w:rPr>
          <w:rFonts w:ascii="GHEA Grapalat" w:hAnsi="GHEA Grapalat" w:cs="Sylfaen"/>
          <w:noProof/>
          <w:lang w:val="hy-AM"/>
        </w:rPr>
        <w:t xml:space="preserve"> Բացի այդ, համաձայն Օրենքի 23-րդ հոդվածի 1-ին մասի 6-րդ և 7-րդ կետերի՝ Հանձնաժողովի կողմից տրամադրված՝ բարեվարքության վերաբերյալ խորհրդատվական բյութի եզրակացությունները ենթակա չեն հրապարակման: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Օրենքի 26.1-րդ հոդվածի և Հանձնաժողովի՝ 2020 թվականի մայիսի 22-ի Ն-02 որոշման ուսումնասիրությունից պարզ է դառնում, որ Հանձնաժողովի կողմից բարեվարքության ուսումնասիրությունը ներառում է անձի վերաբերյալ անձնական տվյալների, մասնավոր և ընտանեկան կյանքի վերաբերյալ տեղեկատվության վերլուծություն, և դրանց արժանահավատության պարզում օրենքով սահմանված գաղտնիք հանդիսացող տեղեկությունների՝ տվյալ անձի և նրա հետ փոխկապակցված անձանց բանկային գաղտնիքի, ապահովագրական գաղտնիքի, առևտրային գաղտնիքի, անձնական տվյալներին առնչվող գաղտնի տեղեկությունների, որոշ դեպքերում նաև պետական և ծառայողական գաղտնիք հանդիսացող տեղեկությունների ստացման, վերլուծության և համադրության գործընթացի հիման վրա, իսկ բարեվարքության վերաբերյալ եզրակացությունը ներառում է բարեվարքության վերաբերյալ եզրակացության արդյունքները՝ համապատասխան հիմնավորումներով, որը ևս պարունակում է օրենքով սահմանված կարգով պահպանման ենթակա տեղեկություններ: Ուստի բարեվարքության վերաբերյալ եզրակացության հրապարակումը կարող է հանգեցնել անձանց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մասնավոր և ընտանեկան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կյանքի, անձնական տվյալների պաշտպանության, պատվի ու բարի համբավի անձեռնմխելիության հիմնարար իրավունքների խախտմանը, բացասական եզրակացության դեպքում՝ անգամ տվյալ անձի պատվի և բարի համբավի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վնասմանը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Մինդեռ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, ինչպես արդեն վերը վկայակոչվեց, Հայաստանի Հանրապետությունն ունի պոզիտիվ պարտականություն՝ ապահովելու նշված իրավունքների արդյունավետ իրացումը: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հարկ է նշել, որ </w:t>
      </w:r>
      <w:r w:rsidRPr="002C069D">
        <w:rPr>
          <w:rFonts w:ascii="GHEA Grapalat" w:hAnsi="GHEA Grapalat"/>
          <w:color w:val="000000"/>
          <w:lang w:val="hy-AM"/>
        </w:rPr>
        <w:t xml:space="preserve">համաձայն Սահմանադրության 34-րդ հոդվածի 2-րդ մասի՝ </w:t>
      </w:r>
      <w:r w:rsidRPr="002C069D">
        <w:rPr>
          <w:rFonts w:ascii="GHEA Grapalat" w:hAnsi="GHEA Grapalat"/>
          <w:i/>
          <w:color w:val="000000"/>
          <w:lang w:val="hy-AM"/>
        </w:rPr>
        <w:t xml:space="preserve">անձնական տվյալների մշակումը պետք է կատարվի բարեխղճորեն, օրենքով սահմանված նպատակով, անձի համաձայնությամբ կամ առանց այդ համաձայնության` օրենքով սահմանված այլ </w:t>
      </w:r>
      <w:proofErr w:type="spellStart"/>
      <w:r w:rsidRPr="002C069D">
        <w:rPr>
          <w:rFonts w:ascii="GHEA Grapalat" w:hAnsi="GHEA Grapalat"/>
          <w:i/>
          <w:color w:val="000000"/>
          <w:lang w:val="hy-AM"/>
        </w:rPr>
        <w:t>իրավաչափ</w:t>
      </w:r>
      <w:proofErr w:type="spellEnd"/>
      <w:r w:rsidRPr="002C069D">
        <w:rPr>
          <w:rFonts w:ascii="GHEA Grapalat" w:hAnsi="GHEA Grapalat"/>
          <w:i/>
          <w:color w:val="000000"/>
          <w:lang w:val="hy-AM"/>
        </w:rPr>
        <w:t xml:space="preserve"> հիմքի առկայությամբ: 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 xml:space="preserve">«Անձնական տվյալների պաշտպանության մասին» օրենքի 4-րդ և 5-րդ հոդվածներից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ևս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 բխում է, որ պետությունը բոլոր դեպքերում պարտավոր է ապահովել անձնական տվյալների պաշտպանությունը, անձնական</w:t>
      </w:r>
      <w:r w:rsidRPr="002C069D">
        <w:rPr>
          <w:rFonts w:ascii="Arial" w:eastAsia="Times New Roman" w:hAnsi="Arial" w:cs="Arial"/>
          <w:color w:val="000000"/>
          <w:lang w:val="hy-AM"/>
        </w:rPr>
        <w:t> </w:t>
      </w:r>
      <w:r w:rsidRPr="002C069D">
        <w:rPr>
          <w:rFonts w:ascii="GHEA Grapalat" w:eastAsia="Times New Roman" w:hAnsi="GHEA Grapalat" w:cs="Arial Unicode"/>
          <w:color w:val="000000"/>
          <w:lang w:val="hy-AM"/>
        </w:rPr>
        <w:t>տվյալները մշակել օրինական նպատակով՝ ապահովելով դրան հասնելու միջոցների պիտանի, անհրաժեշտ և չափավոր լինելը, և անձնական տվյալները առանց</w:t>
      </w:r>
      <w:r w:rsidRPr="002C069D">
        <w:rPr>
          <w:rFonts w:ascii="Arial" w:eastAsia="Times New Roman" w:hAnsi="Arial" w:cs="Arial"/>
          <w:color w:val="000000"/>
          <w:lang w:val="hy-AM"/>
        </w:rPr>
        <w:t> </w:t>
      </w:r>
      <w:r w:rsidRPr="002C069D">
        <w:rPr>
          <w:rFonts w:ascii="GHEA Grapalat" w:eastAsia="Times New Roman" w:hAnsi="GHEA Grapalat" w:cs="Arial Unicode"/>
          <w:color w:val="000000"/>
          <w:lang w:val="hy-AM"/>
        </w:rPr>
        <w:t>դրանց</w:t>
      </w:r>
      <w:r w:rsidRPr="002C069D">
        <w:rPr>
          <w:rFonts w:ascii="Arial" w:eastAsia="Times New Roman" w:hAnsi="Arial" w:cs="Arial"/>
          <w:color w:val="000000"/>
          <w:lang w:val="hy-AM"/>
        </w:rPr>
        <w:t> </w:t>
      </w:r>
      <w:r w:rsidRPr="002C069D">
        <w:rPr>
          <w:rFonts w:ascii="GHEA Grapalat" w:eastAsia="Times New Roman" w:hAnsi="GHEA Grapalat" w:cs="Arial Unicode"/>
          <w:color w:val="000000"/>
          <w:lang w:val="hy-AM"/>
        </w:rPr>
        <w:t>սուբյեկտի համաձայնության՝ չեն կարող օգտագործվել այլ նպատակներով: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 xml:space="preserve">Բացի այդ, </w:t>
      </w:r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նույն օրենքի 26-րդ հոդվածի 1-ին մասի համաձայն՝ </w:t>
      </w:r>
      <w:r w:rsidRPr="002C069D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առանց</w:t>
      </w:r>
      <w:r w:rsidRPr="002C069D">
        <w:rPr>
          <w:rFonts w:ascii="Arial" w:eastAsia="Times New Roman" w:hAnsi="Arial" w:cs="Arial"/>
          <w:i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անձնական</w:t>
      </w:r>
      <w:r w:rsidRPr="002C069D">
        <w:rPr>
          <w:rFonts w:ascii="Arial" w:eastAsia="Times New Roman" w:hAnsi="Arial" w:cs="Arial"/>
          <w:i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տվյալների</w:t>
      </w:r>
      <w:r w:rsidRPr="002C069D">
        <w:rPr>
          <w:rFonts w:ascii="Arial" w:eastAsia="Times New Roman" w:hAnsi="Arial" w:cs="Arial"/>
          <w:i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eastAsia="Times New Roman" w:hAnsi="GHEA Grapalat" w:cs="Arial Unicode"/>
          <w:i/>
          <w:color w:val="000000"/>
          <w:shd w:val="clear" w:color="auto" w:fill="FFFFFF"/>
          <w:lang w:val="hy-AM"/>
        </w:rPr>
        <w:t xml:space="preserve">սուբյեկտի համաձայնության </w:t>
      </w:r>
      <w:proofErr w:type="spellStart"/>
      <w:r w:rsidRPr="002C069D">
        <w:rPr>
          <w:rFonts w:ascii="GHEA Grapalat" w:eastAsia="Times New Roman" w:hAnsi="GHEA Grapalat" w:cs="Arial Unicode"/>
          <w:i/>
          <w:color w:val="000000"/>
          <w:shd w:val="clear" w:color="auto" w:fill="FFFFFF"/>
          <w:lang w:val="hy-AM"/>
        </w:rPr>
        <w:t>մշակողը</w:t>
      </w:r>
      <w:proofErr w:type="spellEnd"/>
      <w:r w:rsidRPr="002C069D">
        <w:rPr>
          <w:rFonts w:ascii="GHEA Grapalat" w:eastAsia="Times New Roman" w:hAnsi="GHEA Grapalat" w:cs="Arial Unicode"/>
          <w:i/>
          <w:color w:val="000000"/>
          <w:shd w:val="clear" w:color="auto" w:fill="FFFFFF"/>
          <w:lang w:val="hy-AM"/>
        </w:rPr>
        <w:t xml:space="preserve"> կարող</w:t>
      </w:r>
      <w:r w:rsidRPr="002C069D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 xml:space="preserve"> է</w:t>
      </w:r>
      <w:r w:rsidRPr="002C069D">
        <w:rPr>
          <w:rFonts w:ascii="Arial" w:eastAsia="Times New Roman" w:hAnsi="Arial" w:cs="Arial"/>
          <w:i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անձնական</w:t>
      </w:r>
      <w:r w:rsidRPr="002C069D">
        <w:rPr>
          <w:rFonts w:ascii="Arial" w:eastAsia="Times New Roman" w:hAnsi="Arial" w:cs="Arial"/>
          <w:i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eastAsia="Times New Roman" w:hAnsi="GHEA Grapalat" w:cs="Arial Unicode"/>
          <w:i/>
          <w:color w:val="000000"/>
          <w:shd w:val="clear" w:color="auto" w:fill="FFFFFF"/>
          <w:lang w:val="hy-AM"/>
        </w:rPr>
        <w:t>տվյալները փոխանցել երրորդ անձանց կամ</w:t>
      </w:r>
      <w:r w:rsidRPr="002C069D">
        <w:rPr>
          <w:rFonts w:ascii="Arial" w:eastAsia="Times New Roman" w:hAnsi="Arial" w:cs="Arial"/>
          <w:i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տվյալներից օգտվելու հնարավորություն տրամադրել, եթե դա նախատեսված է օրենքով և ունի բավարար պաշտպանության մակարդակ</w:t>
      </w:r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: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Այսինքն՝ օրենքով սահմանված դեպքերում, անձնական տվյալների՝ երրորդ անձանց տրամադրվելու դեպքում անգամ պետք է ապահովվի անձնական տվյալների պաշտպանության բավարար մակարդակ, ինչից </w:t>
      </w:r>
      <w:proofErr w:type="spellStart"/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հետևում</w:t>
      </w:r>
      <w:proofErr w:type="spellEnd"/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է, որ անգամ օրենքով սահմանված դեպքում երրորդ անձանց անձնական տվյալների տրամադրումը չպետք է հանգեցնի այդ տվյալների հրապարակմանը:  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noProof/>
          <w:lang w:val="hy-AM"/>
        </w:rPr>
      </w:pPr>
      <w:r w:rsidRPr="002C069D">
        <w:rPr>
          <w:rFonts w:ascii="GHEA Grapalat" w:eastAsia="Times New Roman" w:hAnsi="GHEA Grapalat" w:cs="Sylfaen"/>
          <w:noProof/>
          <w:lang w:val="hy-AM"/>
        </w:rPr>
        <w:t xml:space="preserve">Միևնույն ժամանակ, հարկ է նշել, որ </w:t>
      </w:r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Սահմանադրության 31-րդ հոդվածի 2-րդ մասի համաձայն՝ </w:t>
      </w:r>
      <w:r w:rsidRPr="002C069D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մ</w:t>
      </w:r>
      <w:r w:rsidRPr="002C069D">
        <w:rPr>
          <w:rFonts w:ascii="GHEA Grapalat" w:eastAsia="Times New Roman" w:hAnsi="GHEA Grapalat"/>
          <w:i/>
          <w:color w:val="000000"/>
          <w:lang w:val="hy-AM"/>
        </w:rPr>
        <w:t>ասնավոր և ընտանեկան կյանքի անձեռնմխելիության իրավունքը կարող է սահմանափակվել միայն օրենքով` պետական անվտանգության, երկրի տնտեսական բարեկեցության, հանցագործությունների կանխման կամ բացահայտման, հասարակական կարգի, առողջության և բարոյականության կամ այլոց հիմնական իրավունքների և ազատությունների պաշտպանության նպատակով</w:t>
      </w:r>
      <w:r w:rsidRPr="002C069D">
        <w:rPr>
          <w:rFonts w:ascii="GHEA Grapalat" w:eastAsia="Times New Roman" w:hAnsi="GHEA Grapalat"/>
          <w:color w:val="000000"/>
          <w:lang w:val="hy-AM"/>
        </w:rPr>
        <w:t>:</w:t>
      </w:r>
      <w:r w:rsidRPr="002C069D">
        <w:rPr>
          <w:rFonts w:ascii="GHEA Grapalat" w:eastAsia="Times New Roman" w:hAnsi="GHEA Grapalat" w:cs="Sylfaen"/>
          <w:noProof/>
          <w:lang w:val="hy-AM"/>
        </w:rPr>
        <w:t xml:space="preserve"> Իսկ Սահմանադրության 42-րդ հոդվածի համաձայն՝ </w:t>
      </w:r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կարծիքի արտահայտման ազատությունը, ներառյալ առանց պետական և տեղական ինքնակառավարման մարմինների միջամտության և անկախ պետական սահմաններից` տեղեկատվության </w:t>
      </w:r>
      <w:proofErr w:type="spellStart"/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որևէ</w:t>
      </w:r>
      <w:proofErr w:type="spellEnd"/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միջոցով տեղեկություններ ու գաղափարներ </w:t>
      </w:r>
      <w:r w:rsidRPr="002C069D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lastRenderedPageBreak/>
        <w:t>փնտրելու, ստանալու և տարածելու ազատությունը կարող է սահմանափակվել միայն օրենքով` պետական անվտանգության, հասարակական կարգի, առողջության և բարոյականության կամ այլոց պատվի ու բարի համբավի և այլ հիմնական իրավունքների և ազատությունների պաշտպանության նպատակով: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noProof/>
          <w:lang w:val="hy-AM"/>
        </w:rPr>
      </w:pPr>
      <w:r w:rsidRPr="002C069D">
        <w:rPr>
          <w:rFonts w:ascii="GHEA Grapalat" w:eastAsia="Times New Roman" w:hAnsi="GHEA Grapalat" w:cs="Sylfaen"/>
          <w:noProof/>
          <w:lang w:val="hy-AM"/>
        </w:rPr>
        <w:t>«Տեղեկատվության ազատության մասին» օրենքի 8-րդ հոդվածի 1-ին մասի համաձայն՝ տեղեկատվությունը ենթակա չէ տրամադրման, եթե՝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 xml:space="preserve">1) պարունակում է պետական, ծառայողական, բանկային,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առևտրային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 գաղտնիք.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>2) խախտում է մարդու անձնական և ընտանեկան կյանքի գաղտնիությունը, այդ թվում՝ նամակագրության, հեռախոսային խոսակցությունների, փոստային, հեռագրական և այլ հաղորդումների գաղտնիությունը.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>3) պարունակում է հրապարակման ոչ ենթակա նախնական քննության տվյալները.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>4) բացահայտում է մասնագիտական գործունեությամբ պայմանավորված մատչելիության սահմանափակում պահանջող տվյալներ (բժշկական, նոտարական, փաստաբանական գաղտնիք).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 xml:space="preserve">5) խախտում է հեղինակային իրավունքը և (կամ) հարակից իրավունքները։ </w:t>
      </w:r>
      <w:r w:rsidRPr="002C069D">
        <w:rPr>
          <w:rFonts w:ascii="Arial" w:eastAsia="Times New Roman" w:hAnsi="Arial" w:cs="Arial"/>
          <w:color w:val="000000"/>
          <w:lang w:val="hy-AM"/>
        </w:rPr>
        <w:t>  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C069D">
        <w:rPr>
          <w:rFonts w:ascii="GHEA Grapalat" w:hAnsi="GHEA Grapalat" w:cs="Sylfaen"/>
          <w:lang w:val="hy-AM"/>
        </w:rPr>
        <w:t>Սահմանադրության</w:t>
      </w:r>
      <w:r w:rsidRPr="002C069D">
        <w:rPr>
          <w:rFonts w:ascii="GHEA Grapalat" w:hAnsi="GHEA Grapalat"/>
          <w:lang w:val="hy-AM"/>
        </w:rPr>
        <w:t xml:space="preserve"> 78-</w:t>
      </w:r>
      <w:r w:rsidRPr="002C069D">
        <w:rPr>
          <w:rFonts w:ascii="GHEA Grapalat" w:hAnsi="GHEA Grapalat" w:cs="Sylfaen"/>
          <w:lang w:val="hy-AM"/>
        </w:rPr>
        <w:t>րդ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հոդվածի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համաձայն</w:t>
      </w:r>
      <w:r w:rsidRPr="002C069D">
        <w:rPr>
          <w:rFonts w:ascii="GHEA Grapalat" w:hAnsi="GHEA Grapalat"/>
          <w:lang w:val="hy-AM"/>
        </w:rPr>
        <w:t xml:space="preserve">` </w:t>
      </w:r>
      <w:r w:rsidRPr="002C069D">
        <w:rPr>
          <w:rFonts w:ascii="GHEA Grapalat" w:hAnsi="GHEA Grapalat" w:cs="Sylfaen"/>
          <w:i/>
          <w:lang w:val="hy-AM"/>
        </w:rPr>
        <w:t>հիմնական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իրավունքների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և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ազատությունների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սահմանափակման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համար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ընտրված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միջոցները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պետք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է</w:t>
      </w:r>
      <w:r w:rsidRPr="002C069D">
        <w:rPr>
          <w:rFonts w:ascii="GHEA Grapalat" w:hAnsi="GHEA Grapalat"/>
          <w:i/>
          <w:lang w:val="hy-AM"/>
        </w:rPr>
        <w:t xml:space="preserve"> պ</w:t>
      </w:r>
      <w:r w:rsidRPr="002C069D">
        <w:rPr>
          <w:rFonts w:ascii="GHEA Grapalat" w:hAnsi="GHEA Grapalat" w:cs="Sylfaen"/>
          <w:i/>
          <w:lang w:val="hy-AM"/>
        </w:rPr>
        <w:t>իտանի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և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անհրաժեշտ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լինեն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Սահմանադրությամբ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սահմանված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նպատակին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հասնելու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համար</w:t>
      </w:r>
      <w:r w:rsidRPr="002C069D">
        <w:rPr>
          <w:rFonts w:ascii="GHEA Grapalat" w:hAnsi="GHEA Grapalat"/>
          <w:i/>
          <w:lang w:val="hy-AM"/>
        </w:rPr>
        <w:t xml:space="preserve">: </w:t>
      </w:r>
      <w:r w:rsidRPr="002C069D">
        <w:rPr>
          <w:rFonts w:ascii="GHEA Grapalat" w:hAnsi="GHEA Grapalat" w:cs="Sylfaen"/>
          <w:i/>
          <w:lang w:val="hy-AM"/>
        </w:rPr>
        <w:t>Սահմանափակման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համար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ընտրված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միջոցները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պետք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է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համարժեք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լինեն</w:t>
      </w:r>
      <w:r w:rsidRPr="002C069D">
        <w:rPr>
          <w:rFonts w:ascii="GHEA Grapalat" w:hAnsi="GHEA Grapalat"/>
          <w:i/>
          <w:lang w:val="hy-AM"/>
        </w:rPr>
        <w:t xml:space="preserve"> </w:t>
      </w:r>
      <w:proofErr w:type="spellStart"/>
      <w:r w:rsidRPr="002C069D">
        <w:rPr>
          <w:rFonts w:ascii="GHEA Grapalat" w:hAnsi="GHEA Grapalat" w:cs="Sylfaen"/>
          <w:i/>
          <w:lang w:val="hy-AM"/>
        </w:rPr>
        <w:t>սահմանափակվող</w:t>
      </w:r>
      <w:proofErr w:type="spellEnd"/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հիմնական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իրավունքի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և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ազատության</w:t>
      </w:r>
      <w:r w:rsidRPr="002C069D">
        <w:rPr>
          <w:rFonts w:ascii="GHEA Grapalat" w:hAnsi="GHEA Grapalat"/>
          <w:i/>
          <w:lang w:val="hy-AM"/>
        </w:rPr>
        <w:t xml:space="preserve"> </w:t>
      </w:r>
      <w:r w:rsidRPr="002C069D">
        <w:rPr>
          <w:rFonts w:ascii="GHEA Grapalat" w:hAnsi="GHEA Grapalat" w:cs="Sylfaen"/>
          <w:i/>
          <w:lang w:val="hy-AM"/>
        </w:rPr>
        <w:t>նշանակությանը: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>Սահմանադրական դատարանը, իր բազմաթիվ որոշումներում</w:t>
      </w:r>
      <w:r w:rsidRPr="002C069D">
        <w:rPr>
          <w:rFonts w:ascii="GHEA Grapalat" w:hAnsi="GHEA Grapalat" w:cs="Sylfaen"/>
          <w:noProof/>
          <w:vertAlign w:val="superscript"/>
          <w:lang w:val="hy-AM"/>
        </w:rPr>
        <w:footnoteReference w:id="6"/>
      </w:r>
      <w:r w:rsidRPr="002C069D">
        <w:rPr>
          <w:rFonts w:ascii="GHEA Grapalat" w:hAnsi="GHEA Grapalat" w:cs="Sylfaen"/>
          <w:noProof/>
          <w:lang w:val="hy-AM"/>
        </w:rPr>
        <w:t xml:space="preserve"> անդրադառնալով հիմնական իրավունքների սահմանափակման համաչափությանը, </w:t>
      </w:r>
      <w:r w:rsidRPr="002C069D">
        <w:rPr>
          <w:rFonts w:ascii="GHEA Grapalat" w:hAnsi="GHEA Grapalat" w:cs="Sylfaen"/>
          <w:lang w:val="hy-AM"/>
        </w:rPr>
        <w:t>արտահայտել է այն իրավական դիրքորոշումը</w:t>
      </w:r>
      <w:r w:rsidRPr="002C069D">
        <w:rPr>
          <w:rFonts w:ascii="GHEA Grapalat" w:hAnsi="GHEA Grapalat"/>
          <w:lang w:val="hy-AM"/>
        </w:rPr>
        <w:t xml:space="preserve">, </w:t>
      </w:r>
      <w:r w:rsidRPr="002C069D">
        <w:rPr>
          <w:rFonts w:ascii="GHEA Grapalat" w:hAnsi="GHEA Grapalat" w:cs="Sylfaen"/>
          <w:lang w:val="hy-AM"/>
        </w:rPr>
        <w:t>որ</w:t>
      </w:r>
      <w:r w:rsidRPr="002C069D">
        <w:rPr>
          <w:rFonts w:ascii="GHEA Grapalat" w:hAnsi="GHEA Grapalat"/>
          <w:lang w:val="hy-AM"/>
        </w:rPr>
        <w:t xml:space="preserve"> </w:t>
      </w:r>
      <w:proofErr w:type="spellStart"/>
      <w:r w:rsidRPr="002C069D">
        <w:rPr>
          <w:rFonts w:ascii="GHEA Grapalat" w:hAnsi="GHEA Grapalat" w:cs="Sylfaen"/>
          <w:lang w:val="hy-AM"/>
        </w:rPr>
        <w:t>որևէ</w:t>
      </w:r>
      <w:proofErr w:type="spellEnd"/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հիմնական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իրավունքի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սահմանափակում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հնարավոր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է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միայն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օրենքով</w:t>
      </w:r>
      <w:r w:rsidRPr="002C069D">
        <w:rPr>
          <w:rFonts w:ascii="GHEA Grapalat" w:hAnsi="GHEA Grapalat"/>
          <w:lang w:val="hy-AM"/>
        </w:rPr>
        <w:t xml:space="preserve">, </w:t>
      </w:r>
      <w:r w:rsidRPr="002C069D">
        <w:rPr>
          <w:rFonts w:ascii="GHEA Grapalat" w:hAnsi="GHEA Grapalat" w:cs="Sylfaen"/>
          <w:lang w:val="hy-AM"/>
        </w:rPr>
        <w:t>իսկ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համաչափության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սկզբունքով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պայմանավորված</w:t>
      </w:r>
      <w:r w:rsidRPr="002C069D">
        <w:rPr>
          <w:rFonts w:ascii="GHEA Grapalat" w:hAnsi="GHEA Grapalat"/>
          <w:lang w:val="hy-AM"/>
        </w:rPr>
        <w:t xml:space="preserve">` </w:t>
      </w:r>
      <w:r w:rsidRPr="002C069D">
        <w:rPr>
          <w:rFonts w:ascii="GHEA Grapalat" w:hAnsi="GHEA Grapalat" w:cs="Sylfaen"/>
          <w:lang w:val="hy-AM"/>
        </w:rPr>
        <w:t>օրենքով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հիմնական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իրավունքի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սահմանափակումներին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վերաբերող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պահանջները</w:t>
      </w:r>
      <w:r w:rsidRPr="002C069D">
        <w:rPr>
          <w:rFonts w:ascii="GHEA Grapalat" w:hAnsi="GHEA Grapalat"/>
          <w:lang w:val="hy-AM"/>
        </w:rPr>
        <w:t xml:space="preserve"> </w:t>
      </w:r>
      <w:proofErr w:type="spellStart"/>
      <w:r w:rsidRPr="002C069D">
        <w:rPr>
          <w:rFonts w:ascii="GHEA Grapalat" w:hAnsi="GHEA Grapalat" w:cs="Sylfaen"/>
          <w:lang w:val="hy-AM"/>
        </w:rPr>
        <w:t>հետևյալն</w:t>
      </w:r>
      <w:proofErr w:type="spellEnd"/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են</w:t>
      </w:r>
      <w:r w:rsidRPr="002C069D">
        <w:rPr>
          <w:rFonts w:ascii="GHEA Grapalat" w:hAnsi="GHEA Grapalat"/>
          <w:lang w:val="hy-AM"/>
        </w:rPr>
        <w:t xml:space="preserve">. 1) </w:t>
      </w:r>
      <w:r w:rsidRPr="002C069D">
        <w:rPr>
          <w:rFonts w:ascii="GHEA Grapalat" w:hAnsi="GHEA Grapalat" w:cs="Sylfaen"/>
          <w:lang w:val="hy-AM"/>
        </w:rPr>
        <w:t>սահմանափակման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նպատակի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լեգիտիմությունը</w:t>
      </w:r>
      <w:r w:rsidRPr="002C069D">
        <w:rPr>
          <w:rFonts w:ascii="GHEA Grapalat" w:hAnsi="GHEA Grapalat"/>
          <w:lang w:val="hy-AM"/>
        </w:rPr>
        <w:t xml:space="preserve">, </w:t>
      </w:r>
      <w:r w:rsidRPr="002C069D">
        <w:rPr>
          <w:rFonts w:ascii="GHEA Grapalat" w:hAnsi="GHEA Grapalat" w:cs="Sylfaen"/>
          <w:lang w:val="hy-AM"/>
        </w:rPr>
        <w:t>այն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է</w:t>
      </w:r>
      <w:r w:rsidRPr="002C069D">
        <w:rPr>
          <w:rFonts w:ascii="GHEA Grapalat" w:hAnsi="GHEA Grapalat"/>
          <w:lang w:val="hy-AM"/>
        </w:rPr>
        <w:t xml:space="preserve">` </w:t>
      </w:r>
      <w:r w:rsidRPr="002C069D">
        <w:rPr>
          <w:rFonts w:ascii="GHEA Grapalat" w:hAnsi="GHEA Grapalat" w:cs="Sylfaen"/>
          <w:lang w:val="hy-AM"/>
        </w:rPr>
        <w:t>Սահմանադրությամբ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սահմանված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լինելը</w:t>
      </w:r>
      <w:r w:rsidRPr="002C069D">
        <w:rPr>
          <w:rFonts w:ascii="GHEA Grapalat" w:hAnsi="GHEA Grapalat"/>
          <w:lang w:val="hy-AM"/>
        </w:rPr>
        <w:t xml:space="preserve">. 2) </w:t>
      </w:r>
      <w:r w:rsidRPr="002C069D">
        <w:rPr>
          <w:rFonts w:ascii="GHEA Grapalat" w:hAnsi="GHEA Grapalat" w:cs="Sylfaen"/>
          <w:lang w:val="hy-AM"/>
        </w:rPr>
        <w:t>սահմանափակման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համար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ընտրված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միջոցների</w:t>
      </w:r>
      <w:r w:rsidRPr="002C069D">
        <w:rPr>
          <w:rFonts w:ascii="GHEA Grapalat" w:hAnsi="GHEA Grapalat"/>
          <w:lang w:val="hy-AM"/>
        </w:rPr>
        <w:t xml:space="preserve">` </w:t>
      </w:r>
      <w:r w:rsidRPr="002C069D">
        <w:rPr>
          <w:rFonts w:ascii="GHEA Grapalat" w:hAnsi="GHEA Grapalat" w:cs="Sylfaen"/>
          <w:lang w:val="hy-AM"/>
        </w:rPr>
        <w:t>ա</w:t>
      </w:r>
      <w:r w:rsidRPr="002C069D">
        <w:rPr>
          <w:rFonts w:ascii="GHEA Grapalat" w:hAnsi="GHEA Grapalat"/>
          <w:lang w:val="hy-AM"/>
        </w:rPr>
        <w:t xml:space="preserve">) </w:t>
      </w:r>
      <w:r w:rsidRPr="002C069D">
        <w:rPr>
          <w:rFonts w:ascii="GHEA Grapalat" w:hAnsi="GHEA Grapalat" w:cs="Sylfaen"/>
          <w:lang w:val="hy-AM"/>
        </w:rPr>
        <w:t>պիտանիությունը</w:t>
      </w:r>
      <w:r w:rsidRPr="002C069D">
        <w:rPr>
          <w:rFonts w:ascii="GHEA Grapalat" w:hAnsi="GHEA Grapalat"/>
          <w:lang w:val="hy-AM"/>
        </w:rPr>
        <w:t xml:space="preserve">` </w:t>
      </w:r>
      <w:r w:rsidRPr="002C069D">
        <w:rPr>
          <w:rFonts w:ascii="GHEA Grapalat" w:hAnsi="GHEA Grapalat" w:cs="Sylfaen"/>
          <w:lang w:val="hy-AM"/>
        </w:rPr>
        <w:t>Սահմանադրությամբ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սահմանված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նպատակին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հասնելու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համար</w:t>
      </w:r>
      <w:r w:rsidRPr="002C069D">
        <w:rPr>
          <w:rFonts w:ascii="GHEA Grapalat" w:hAnsi="GHEA Grapalat"/>
          <w:lang w:val="hy-AM"/>
        </w:rPr>
        <w:t xml:space="preserve">. </w:t>
      </w:r>
      <w:r w:rsidRPr="002C069D">
        <w:rPr>
          <w:rFonts w:ascii="GHEA Grapalat" w:hAnsi="GHEA Grapalat" w:cs="Sylfaen"/>
          <w:lang w:val="hy-AM"/>
        </w:rPr>
        <w:t>բ</w:t>
      </w:r>
      <w:r w:rsidRPr="002C069D">
        <w:rPr>
          <w:rFonts w:ascii="GHEA Grapalat" w:hAnsi="GHEA Grapalat"/>
          <w:lang w:val="hy-AM"/>
        </w:rPr>
        <w:t xml:space="preserve">) </w:t>
      </w:r>
      <w:r w:rsidRPr="002C069D">
        <w:rPr>
          <w:rFonts w:ascii="GHEA Grapalat" w:hAnsi="GHEA Grapalat" w:cs="Sylfaen"/>
          <w:lang w:val="hy-AM"/>
        </w:rPr>
        <w:t>անհրաժեշտությունը</w:t>
      </w:r>
      <w:r w:rsidRPr="002C069D">
        <w:rPr>
          <w:rFonts w:ascii="GHEA Grapalat" w:hAnsi="GHEA Grapalat"/>
          <w:lang w:val="hy-AM"/>
        </w:rPr>
        <w:t xml:space="preserve">` </w:t>
      </w:r>
      <w:r w:rsidRPr="002C069D">
        <w:rPr>
          <w:rFonts w:ascii="GHEA Grapalat" w:hAnsi="GHEA Grapalat" w:cs="Sylfaen"/>
          <w:lang w:val="hy-AM"/>
        </w:rPr>
        <w:t>Սահմանադրությամբ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սահմանված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նպատակին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հասնելու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համար</w:t>
      </w:r>
      <w:r w:rsidRPr="002C069D">
        <w:rPr>
          <w:rFonts w:ascii="GHEA Grapalat" w:hAnsi="GHEA Grapalat"/>
          <w:lang w:val="hy-AM"/>
        </w:rPr>
        <w:t xml:space="preserve">. </w:t>
      </w:r>
      <w:r w:rsidRPr="002C069D">
        <w:rPr>
          <w:rFonts w:ascii="GHEA Grapalat" w:hAnsi="GHEA Grapalat" w:cs="Sylfaen"/>
          <w:lang w:val="hy-AM"/>
        </w:rPr>
        <w:t>գ</w:t>
      </w:r>
      <w:r w:rsidRPr="002C069D">
        <w:rPr>
          <w:rFonts w:ascii="GHEA Grapalat" w:hAnsi="GHEA Grapalat"/>
          <w:lang w:val="hy-AM"/>
        </w:rPr>
        <w:t xml:space="preserve">) </w:t>
      </w:r>
      <w:proofErr w:type="spellStart"/>
      <w:r w:rsidRPr="002C069D">
        <w:rPr>
          <w:rFonts w:ascii="GHEA Grapalat" w:hAnsi="GHEA Grapalat" w:cs="Sylfaen"/>
          <w:lang w:val="hy-AM"/>
        </w:rPr>
        <w:t>համարժեքությունը</w:t>
      </w:r>
      <w:proofErr w:type="spellEnd"/>
      <w:r w:rsidRPr="002C069D">
        <w:rPr>
          <w:rFonts w:ascii="GHEA Grapalat" w:hAnsi="GHEA Grapalat"/>
          <w:lang w:val="hy-AM"/>
        </w:rPr>
        <w:t xml:space="preserve"> </w:t>
      </w:r>
      <w:proofErr w:type="spellStart"/>
      <w:r w:rsidRPr="002C069D">
        <w:rPr>
          <w:rFonts w:ascii="GHEA Grapalat" w:hAnsi="GHEA Grapalat" w:cs="Sylfaen"/>
          <w:lang w:val="hy-AM"/>
        </w:rPr>
        <w:t>սահմանափակվող</w:t>
      </w:r>
      <w:proofErr w:type="spellEnd"/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հիմնական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իրավունքի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և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ազատության</w:t>
      </w:r>
      <w:r w:rsidRPr="002C069D">
        <w:rPr>
          <w:rFonts w:ascii="GHEA Grapalat" w:hAnsi="GHEA Grapalat"/>
          <w:lang w:val="hy-AM"/>
        </w:rPr>
        <w:t xml:space="preserve"> </w:t>
      </w:r>
      <w:r w:rsidRPr="002C069D">
        <w:rPr>
          <w:rFonts w:ascii="GHEA Grapalat" w:hAnsi="GHEA Grapalat" w:cs="Sylfaen"/>
          <w:lang w:val="hy-AM"/>
        </w:rPr>
        <w:t>նշանակությանը</w:t>
      </w:r>
      <w:r w:rsidRPr="002C069D">
        <w:rPr>
          <w:rFonts w:ascii="GHEA Grapalat" w:hAnsi="GHEA Grapalat"/>
          <w:lang w:val="hy-AM"/>
        </w:rPr>
        <w:t>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Սահմանադրական դատարանի և ՄԻԵԴ իրավական դիրքորոշումների համաձայն՝ համարժեքության գնահատման նպատակով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կարևոր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է այն հարցի պարզումը, թե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արդյո՞ք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հնարավոր էր հասնել նույն նպատակին՝ անձանց իրավունքների նկատմամբ նվազ միջամտությամբ</w:t>
      </w:r>
      <w:r w:rsidRPr="002C069D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footnoteReference w:id="7"/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դեպքում </w:t>
      </w:r>
      <w:r w:rsidRPr="002C069D">
        <w:rPr>
          <w:rFonts w:ascii="GHEA Grapalat" w:eastAsia="Times New Roman" w:hAnsi="GHEA Grapalat" w:cs="Sylfaen"/>
          <w:noProof/>
          <w:lang w:val="hy-AM"/>
        </w:rPr>
        <w:t xml:space="preserve">Օրենքի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23-րդ հոդվածի 6-րդ և 7-րդ մասերով սահմանված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կարգավորումների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արդյունքում անձանց՝ տեղեկություններ ու գաղափարներ փնտրելու, ստանալու և տարածելու ազատության իրավունքի սահմանափակման հնարավոր նվազ միջամտություն է իրականացվել: Այսպես. Օրենքի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կարգավորումների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համաձայն՝ Հանձնաժողովի եզրակացությունները հրապարակվում են, բացառությամբ այն դեպքերի, երբ պարունակում են օրենքով սահմանված կարգով պահպանման ենթակա տեղեկություններ: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ժամանակ, Օրենքի 6-րդ հոդվածի 4-րդ մասի համաձայն՝ յուրաքանչյուր տարվա առաջին եռամսյակի ավարտից հետո` երկու ամսվա ընթացքում, Հանձնաժողովը նախորդ տարվա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բարեվարքության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համակարգի վիճակի վերաբերյալ հաղորդումը տեղադրում է</w:t>
      </w:r>
      <w:r w:rsidRPr="002C069D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Հանձնաժողովի</w:t>
      </w:r>
      <w:r w:rsidRPr="002C069D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պաշտոնական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կայքէջում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«Տեղեկատվության ազատության մասին» օրենքով սահմանված կարգով և դեպքերում անձինք իրավունք ունեն դիմելու Հանձնաժողովին՝ վերջինիս գործառույթներին առնչվող տեղեկություններ ստանալու նպատակով: Բացի այդ, պետական պաշտոնատար անձանց, </w:t>
      </w:r>
      <w:r w:rsidRPr="002C069D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Բարձրագույն դատական խորհրդի անդամների թեկնածուների, Սահմանադրական դատարանի դատավորների թեկնածուների, դատավորների ընտրության և նշանակման իրավահարաբերությունները կարգավորող իրավական ակտերում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ևս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են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ընթացակարգեր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որոնք հնարավորություն են տալիս ապահովելու նշված պաշտոններում անձանց նշանակման գործընթացի թափանցիկությունը, հանրային վերահսկողությունը, անձանց՝ տեղեկություններ ու գաղափարներ փնտրելու, ստանալու և տարածելու ազատության իրավունքի արդյունավետ իրացումը: 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Այսպես, օրինակ, </w:t>
      </w:r>
      <w:r w:rsidRPr="002C069D">
        <w:rPr>
          <w:rFonts w:ascii="GHEA Grapalat" w:hAnsi="GHEA Grapalat" w:cs="Sylfaen"/>
          <w:noProof/>
          <w:lang w:val="hy-AM"/>
        </w:rPr>
        <w:t xml:space="preserve">«Հայաստանի Հանրապետության դատական օրենսգիրք» սահմանադրական օրենքի 107-րդ հոդվածի 4-րդ մասի համաձայն՝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Բարձրագույն դատական խորհուրդ ներկայացված հավակնորդների համալրված ցուցակը,  յուրաքանչյուր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հավակնորդի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կրթության և մասնագիտական աշխատանքի փորձառության վերաբերյալ տեղեկությունները Դատական դեպարտամենտը հրապարակում է հրապարակային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կայքում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դատական իշխանության պաշտոնական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կայքում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: Բացի այդ, Բարձրագույն դատական խորհրդի 2020 թվականի օգոստոսի 31-ի </w:t>
      </w:r>
      <w:r w:rsidRPr="002C069D">
        <w:rPr>
          <w:rFonts w:ascii="GHEA Grapalat" w:hAnsi="GHEA Grapalat" w:cs="Sylfaen"/>
          <w:noProof/>
          <w:lang w:val="hy-AM"/>
        </w:rPr>
        <w:t>«Դատավորի թեկնածուների հավակնորդների հոգեբանական թեստավորման չափանիշները և անցկացման կարգը հաստատելու մասին» N57-Ն-11 որոշմամբ սահմանվել է դ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ատավորի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թեկնածուների հավակնորդների հոգեբանական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թեստավորմանը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դիտորդների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մասնակցության հնարավորությունը և համապատասխան ընթացակարգը, համաձայն որի՝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թեստավորմանը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որպես դիտորդ կարող են մասնակցել Կառավարության քաղաքականությունը մշակող և իրականացնող նախարարի մեկ ներկայացուցիչ, </w:t>
      </w:r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փաստաբանների պալատի ներկայացուցիչ երկու փաստաբան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հավակնորդների որակավորման գրավոր քննությանը մասնակցելու համար հավատարմագրված </w:t>
      </w:r>
      <w:r w:rsidRPr="002C069D">
        <w:rPr>
          <w:rFonts w:ascii="GHEA Grapalat" w:hAnsi="GHEA Grapalat"/>
          <w:i/>
          <w:color w:val="000000"/>
          <w:shd w:val="clear" w:color="auto" w:fill="FFFFFF"/>
          <w:lang w:val="hy-AM"/>
        </w:rPr>
        <w:t>հասարակական կազմակերպությունների ներկայացուցիչները, ներկայացնել համապատասխան դիտողություններ և առաջարկություններ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: Բացի այդ, նշված կարգի համաձայն՝ Դատական դեպարտամենտն ապահովում է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թեստավորման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ամբողջ ընթացքի ուղիղ հեռարձակումը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թեստավորման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սենյակից դուրս գտնվող տարածքում, որտեղ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թեստավորման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ընթացքին կարող է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հետևել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ցանկացած անձ: 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կարգավորումներին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զուգընթաց՝ յուրաքանչյուր անձ տեղեկություններ ստանալու իր իրավունքը կարող է իրականացնել նաև </w:t>
      </w:r>
      <w:r w:rsidRPr="002C069D">
        <w:rPr>
          <w:rFonts w:ascii="GHEA Grapalat" w:hAnsi="GHEA Grapalat" w:cs="Sylfaen"/>
          <w:noProof/>
          <w:lang w:val="hy-AM"/>
        </w:rPr>
        <w:t>«Տեղեկատվության ազատության մասին» օրենքով սահմանված կարգով՝ դիմելով Բարձրագույն դատական խորհրդին, ինչպես նաև համապատասխան պաշտոնատար անձանց ընտրության և նշանակման գործընթացն իրականացնող իրավասու մարմնին: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Հատկանշական է նաև հավելել, որ Օրենքի 23-րդ հոդվածի 6-րդ և 7-րդ մասերով սահմանված բարեվարքության վերաբերյալ ուսումնասիրության ենթարկվող պետական պաշտոնատար անձանց, այդ թվում՝ դատավորների, Սահմանադրական դատարանի դատավորների և Բարձրագույն դատական խորհրդի անդամների թեկնածուները համապատասխան պաշտոնները ստանձնելուց հետո օրենսդրությամբ սահմանված կարգով Կոռուպցիայի կանխարգելման հանձնաժողով են ներկայացնում պաշտոնական պարտականությունները ստանձնելու՝ գույքի, եկամուտների և շահերի հայտարարագրեր, որոնք Հանձնաժողովին հանձնումից հետո անմիջապես օրենքով սահմանված կարգով հրապարակվում են: Նշված հայտարարագրերը, ի թիվս այլնի, տեղեկություններ են պարունակում ոչ միայն այդ անձանց, այլև նրանց ընտանիքի անդամների գույքի, եկամուտների և շահերի, աշխատանքային գործունեության վերաբերյալ: Բացի այդ,  պաշտոնը ստանձնելուց հետո հրապարակվում է այդ պաշտոնատար անձանց ինքնակենսագրությունը, որը տեղեկություններ է պարունակում նրանց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կրթության, աշխատանքային գործունեության վերաբերյալ, այդ թվում՝ ուսումնական հաստատության, աշխատավայրի (նախկին և ներկա) անվանումը (անվանումները), զբաղեցրած պաշտոնը (պաշտոնները), ինչպես նաև նրանց ընտանեկան կարգավիճակի վերաբերյալ տեղեկություններ: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Ստացվում է՝ պաշտոնը ստանձնելուց հետո հրապարակային են դառնում </w:t>
      </w:r>
      <w:r w:rsidRPr="002C069D">
        <w:rPr>
          <w:rFonts w:ascii="GHEA Grapalat" w:hAnsi="GHEA Grapalat" w:cs="Sylfaen"/>
          <w:noProof/>
          <w:lang w:val="hy-AM"/>
        </w:rPr>
        <w:t xml:space="preserve">բարեվարքության վերաբերյալ ուսումնասիրության ենթարկված պետական պաշտոնատար </w:t>
      </w:r>
      <w:r w:rsidRPr="002C069D">
        <w:rPr>
          <w:rFonts w:ascii="GHEA Grapalat" w:hAnsi="GHEA Grapalat" w:cs="Sylfaen"/>
          <w:noProof/>
          <w:lang w:val="hy-AM"/>
        </w:rPr>
        <w:lastRenderedPageBreak/>
        <w:t>անձանց բարեվարքության հարցաթերթիկի, ուսումնասիրության և բարեվարքության եզրակացության հիմնական բաղադրատարրերը՝ այդ անձանց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և «Հանրային ծառայության</w:t>
      </w:r>
      <w:r w:rsidRPr="002C069D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մասին» օրենքի իմաստով նրանց ընտանիքի անդամների գույքային դրության՝ գույքի և եկամուտի վերաբերյալ ամփոփ տեղեկատվություն</w:t>
      </w:r>
      <w:r w:rsidRPr="002C069D">
        <w:rPr>
          <w:rFonts w:ascii="GHEA Grapalat" w:hAnsi="GHEA Grapalat" w:cs="Sylfaen"/>
          <w:noProof/>
          <w:lang w:val="hy-AM"/>
        </w:rPr>
        <w:t xml:space="preserve">ը,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անձանց կրթության, աշխատանքային գործունեության վերաբերյալ տեղեկատվություն, այդ թվում՝ ուսումնական հաստատության, աշխատավայրի (նախկին և ներկա) անվանումը (անվանումները), զբաղեցրած պաշտոնը (պաշտոնները), անձանց ընտանիքի անդամների պաշտոնների (աշխատանքային գործունեության վերաբերյալ): </w:t>
      </w:r>
      <w:r w:rsidRPr="002C069D">
        <w:rPr>
          <w:rFonts w:ascii="GHEA Grapalat" w:hAnsi="GHEA Grapalat" w:cs="Sylfaen"/>
          <w:noProof/>
          <w:lang w:val="hy-AM"/>
        </w:rPr>
        <w:t xml:space="preserve">  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Վերոնշյալ իրավանորմերի վերլուծությունից և համադրությունից պարզ է դառնում, որ օրենսդրությամբ սահմանված կարգավորումները ապահովում են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անձանց </w:t>
      </w:r>
      <w:r w:rsidRPr="002C069D">
        <w:rPr>
          <w:rFonts w:ascii="GHEA Grapalat" w:hAnsi="GHEA Grapalat" w:cs="Sylfaen"/>
          <w:noProof/>
          <w:lang w:val="hy-AM"/>
        </w:rPr>
        <w:t xml:space="preserve">և քաղաքացիական հասարակության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տեղեկություններ ու գաղափարներ փնտրելու, ստանալու և տարածելու ազատության իրավունքի </w:t>
      </w:r>
      <w:r w:rsidRPr="002C069D">
        <w:rPr>
          <w:rFonts w:ascii="GHEA Grapalat" w:hAnsi="GHEA Grapalat" w:cs="Sylfaen"/>
          <w:noProof/>
          <w:lang w:val="hy-AM"/>
        </w:rPr>
        <w:t xml:space="preserve">արդյունավետ իրացումը,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հնարավորություններ են ստեղծում ինչպես Հանձնաժողովի գործունեության, այնպես էլ պաշտոնատար անձանց, դատավորների ընտրության, այդպիսով նաև՝ գործադիր և դատական իշխանությունների </w:t>
      </w:r>
      <w:proofErr w:type="spellStart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>ձևավորման</w:t>
      </w:r>
      <w:proofErr w:type="spellEnd"/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գործընթացի նկատմամբ արդյունավետ հանրային վերահսկողություն իրականացնելու համար:</w:t>
      </w:r>
    </w:p>
    <w:p w:rsidR="002C069D" w:rsidRPr="002C069D" w:rsidRDefault="002C069D" w:rsidP="002C069D">
      <w:pPr>
        <w:spacing w:after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>Այսպիսով, ՄԻԵԴ նախադեպային իրավունքով</w:t>
      </w:r>
      <w:r w:rsidRPr="002C069D">
        <w:rPr>
          <w:rFonts w:ascii="GHEA Grapalat" w:hAnsi="GHEA Grapalat" w:cs="Sylfaen"/>
          <w:noProof/>
          <w:vertAlign w:val="superscript"/>
          <w:lang w:val="hy-AM"/>
        </w:rPr>
        <w:footnoteReference w:id="8"/>
      </w:r>
      <w:r w:rsidRPr="002C069D">
        <w:rPr>
          <w:rFonts w:ascii="GHEA Grapalat" w:hAnsi="GHEA Grapalat" w:cs="Sylfaen"/>
          <w:noProof/>
          <w:lang w:val="hy-AM"/>
        </w:rPr>
        <w:t xml:space="preserve"> և Սահմանադրական դատարանի որոշումներով սահմանված համաչափության թեստի կիրառման արդյունքում գալիս ենք այն եզրահանգման, որ Օրենքի 23-րդ հոդվածի 6-րդ և 7-րդ մասերով սահմանված կարգավորումը չի հակասում Սահմանադրությանը, նշված կարգավորումների արդյունքում անձանց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տեղեկություններ ու գաղափարներ փնտրելու, ստանալու և տարածելու ազատության իրավունքի սահմանափակումը լեգիտիմ և համաչափ է, բխում է այդ իրավունքի սահմանափակման՝ Սահմանադրությամբ և </w:t>
      </w:r>
      <w:r w:rsidRPr="002C069D">
        <w:rPr>
          <w:rFonts w:ascii="GHEA Grapalat" w:hAnsi="GHEA Grapalat" w:cs="Sylfaen"/>
          <w:noProof/>
          <w:lang w:val="hy-AM"/>
        </w:rPr>
        <w:t xml:space="preserve">«Տեղեկատվության ազատության մասին» օրենքով սահմանված հիմքերից, անձանց </w:t>
      </w:r>
      <w:r w:rsidRPr="002C069D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մասնավոր և ընտանեկան կյանքի, անձնական տվյալների պաշտպանության, պատվի ու բարի համբավի անձեռնմխելիության, Սահմանադրությամբ և ՄԻԵԿ-ով ամրագրված հիմնարար իրավունքների պաշտպանության և այդ իրավունքների արդյունավետ իրացումն ապահովելու անհրաժեշտությունից: </w:t>
      </w:r>
      <w:r w:rsidRPr="002C069D">
        <w:rPr>
          <w:rFonts w:ascii="Arial" w:hAnsi="Arial" w:cs="Arial"/>
          <w:color w:val="000000"/>
          <w:lang w:val="hy-AM"/>
        </w:rPr>
        <w:t> </w:t>
      </w:r>
      <w:r w:rsidRPr="002C069D">
        <w:rPr>
          <w:rFonts w:ascii="GHEA Grapalat" w:hAnsi="GHEA Grapalat" w:cs="Arial"/>
          <w:color w:val="000000"/>
          <w:lang w:val="hy-AM"/>
        </w:rPr>
        <w:t xml:space="preserve"> </w:t>
      </w:r>
    </w:p>
    <w:p w:rsidR="002C069D" w:rsidRPr="002C069D" w:rsidRDefault="002C069D" w:rsidP="002C06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 xml:space="preserve">Ինչ վերաբերում է Նախագծում նշված այն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հիմնավորմանը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, որ Օրենքի 23-րդ հոդվածի 6-րդ և 7-րդ մասերով սահմանված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կարգավորումները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 չեն ապահովում Հանձնաժողովի գործունեության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հաշվետվողականությունը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, ապա հարկ է նշել, որ </w:t>
      </w:r>
      <w:r w:rsidRPr="002C069D">
        <w:rPr>
          <w:rFonts w:ascii="GHEA Grapalat" w:eastAsia="Times New Roman" w:hAnsi="GHEA Grapalat"/>
          <w:color w:val="000000"/>
          <w:lang w:val="hy-AM"/>
        </w:rPr>
        <w:lastRenderedPageBreak/>
        <w:t xml:space="preserve">Հանձնաժողովի գործունեության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հաշվետվողականությանն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 առնչվող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կարգավորումները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 սահմանված են Օրենքի 6-րդ հոդվածով, համաձայն որի՝</w:t>
      </w:r>
    </w:p>
    <w:p w:rsidR="002C069D" w:rsidRPr="002C069D" w:rsidRDefault="002C069D" w:rsidP="002C069D">
      <w:pPr>
        <w:numPr>
          <w:ilvl w:val="0"/>
          <w:numId w:val="3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 xml:space="preserve">Հանձնաժողովը յուրաքանչյուր կիսամյակի ավարտից հետո` տասնօրյա ժամկետում, հաշվետու ժամանակահատվածի գործունեության վերաբերյալ հաղորդումը տեղադրում է Հանձնաժողովի պաշտոնական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կայքէջում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>:</w:t>
      </w:r>
    </w:p>
    <w:p w:rsidR="002C069D" w:rsidRPr="002C069D" w:rsidRDefault="002C069D" w:rsidP="002C069D">
      <w:pPr>
        <w:numPr>
          <w:ilvl w:val="0"/>
          <w:numId w:val="3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 xml:space="preserve">Հանձնաժողովն իր պաշտոնական </w:t>
      </w:r>
      <w:proofErr w:type="spellStart"/>
      <w:r w:rsidRPr="002C069D">
        <w:rPr>
          <w:rFonts w:ascii="GHEA Grapalat" w:eastAsia="Times New Roman" w:hAnsi="GHEA Grapalat"/>
          <w:color w:val="000000"/>
          <w:lang w:val="hy-AM"/>
        </w:rPr>
        <w:t>կայքէջում</w:t>
      </w:r>
      <w:proofErr w:type="spellEnd"/>
      <w:r w:rsidRPr="002C069D">
        <w:rPr>
          <w:rFonts w:ascii="GHEA Grapalat" w:eastAsia="Times New Roman" w:hAnsi="GHEA Grapalat"/>
          <w:color w:val="000000"/>
          <w:lang w:val="hy-AM"/>
        </w:rPr>
        <w:t xml:space="preserve"> հրապարակում է իր ընդունած որոշումները և եզրակացությունները, ինչպես նաև իր ներկայացրած առաջարկությունները և դրանց քննարկման արդյունքների վերաբերյալ տեղեկությունները:</w:t>
      </w:r>
    </w:p>
    <w:p w:rsidR="002C069D" w:rsidRPr="002C069D" w:rsidRDefault="002C069D" w:rsidP="002C069D">
      <w:pPr>
        <w:numPr>
          <w:ilvl w:val="0"/>
          <w:numId w:val="3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C069D">
        <w:rPr>
          <w:rFonts w:ascii="GHEA Grapalat" w:eastAsia="Times New Roman" w:hAnsi="GHEA Grapalat"/>
          <w:color w:val="000000"/>
          <w:lang w:val="hy-AM"/>
        </w:rPr>
        <w:t>Յուրաքանչյուր տարվա առաջին եռամսյակի ընթացքում Հանձնաժողովն իր նախորդ տարվա գործունեության</w:t>
      </w:r>
      <w:r w:rsidRPr="002C069D">
        <w:rPr>
          <w:rFonts w:ascii="Arial" w:eastAsia="Times New Roman" w:hAnsi="Arial" w:cs="Arial"/>
          <w:color w:val="000000"/>
          <w:lang w:val="hy-AM"/>
        </w:rPr>
        <w:t> </w:t>
      </w:r>
      <w:r w:rsidRPr="002C069D">
        <w:rPr>
          <w:rFonts w:ascii="GHEA Grapalat" w:eastAsia="Times New Roman" w:hAnsi="GHEA Grapalat" w:cs="Arial Unicode"/>
          <w:color w:val="000000"/>
          <w:lang w:val="hy-AM"/>
        </w:rPr>
        <w:t>մասին</w:t>
      </w:r>
      <w:r w:rsidRPr="002C069D">
        <w:rPr>
          <w:rFonts w:ascii="Arial" w:eastAsia="Times New Roman" w:hAnsi="Arial" w:cs="Arial"/>
          <w:color w:val="000000"/>
          <w:lang w:val="hy-AM"/>
        </w:rPr>
        <w:t> </w:t>
      </w:r>
      <w:r w:rsidRPr="002C069D">
        <w:rPr>
          <w:rFonts w:ascii="GHEA Grapalat" w:eastAsia="Times New Roman" w:hAnsi="GHEA Grapalat" w:cs="Arial Unicode"/>
          <w:color w:val="000000"/>
          <w:lang w:val="hy-AM"/>
        </w:rPr>
        <w:t>հաղորդում է ներկայացնում Ազգային ժողով:</w:t>
      </w:r>
    </w:p>
    <w:p w:rsidR="002C069D" w:rsidRPr="002C069D" w:rsidRDefault="002C069D" w:rsidP="002C069D">
      <w:pPr>
        <w:numPr>
          <w:ilvl w:val="0"/>
          <w:numId w:val="31"/>
        </w:numPr>
        <w:tabs>
          <w:tab w:val="left" w:pos="1170"/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 w:cs="Arial"/>
          <w:color w:val="000000"/>
          <w:lang w:val="hy-AM"/>
        </w:rPr>
      </w:pPr>
      <w:r w:rsidRPr="002C069D">
        <w:rPr>
          <w:rFonts w:ascii="GHEA Grapalat" w:hAnsi="GHEA Grapalat" w:cs="Arial"/>
          <w:color w:val="000000"/>
          <w:lang w:val="hy-AM"/>
        </w:rPr>
        <w:t xml:space="preserve">Նախագծի հիմնավորման մեջ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վկայակոչված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՝ Սահմանադրական դատարանի 2017 թվականի ՍԴՈ-1374 որոշման վերաբերյալ հարկ է նշել, որ նշված որոշումը վերաբերում է Հայաստանի Հանրապետության նախկին </w:t>
      </w:r>
      <w:r w:rsidRPr="002C069D">
        <w:rPr>
          <w:rFonts w:ascii="GHEA Grapalat" w:hAnsi="GHEA Grapalat" w:cs="Sylfaen"/>
          <w:noProof/>
          <w:lang w:val="hy-AM"/>
        </w:rPr>
        <w:t>դատական օրենսգրքով սահմանված դատավորի թեկնածուների հավակնորդների հոգեբանական թեստի՝ հանրային իրավական պատասխանատվության ստանձնման որակները բացահայտող արդյունքների հրապարակման անհրաժեշտության հարցին:</w:t>
      </w:r>
      <w:r w:rsidRPr="002C069D">
        <w:rPr>
          <w:rFonts w:ascii="GHEA Grapalat" w:hAnsi="GHEA Grapalat" w:cs="Arial"/>
          <w:color w:val="000000"/>
          <w:lang w:val="hy-AM"/>
        </w:rPr>
        <w:t xml:space="preserve"> Տվյալ դեպքում </w:t>
      </w:r>
      <w:r w:rsidRPr="002C069D">
        <w:rPr>
          <w:rFonts w:ascii="GHEA Grapalat" w:hAnsi="GHEA Grapalat" w:cs="Sylfaen"/>
          <w:noProof/>
          <w:lang w:val="hy-AM"/>
        </w:rPr>
        <w:t xml:space="preserve">թեստը բացահայտում էր անձնային որակները՝ մասնագետ հոգեբանի կողմից կազմված որոշակի հարցադրումերին տվյալ թեկնածուի հավակնորդի պատասխանների արդյունքում: Մինչդեռ սույն դեպքում Հանձնաժողովի կողմից տրամադրվող բարեվարքության վերաբերյալ եզրակացությունը ենթադրում է անձի կողմից Հանձնաժողովին տրամադրված  անձնական տվյալների և օրենքով սահմանված այլ գաղտնիքների, այլ պետական և տեղական ինքնարկառավարման մարմիններից տվյալ անձի և երրորդ անձանց վերաբերյալ ստացված տեղեկությունների, այդ թվում՝ օպերատիվ-հետախուզական միջոցառումների արդյունքում բացահայտված տեղեկատվության վերլուծության արդյունք: Այսինքն՝ սույն դեպքում Հանձնաժողովի կողմից կայացվող բարեվարքության վերաբերյալ խորհրդատվական բնույթ կրող եզրակացությունը մի փաստաթուղթ է, որը պարունակում է օրենքով պահպանվող գաղտնիք պարունակող, այդ թվում՝ օրենքով ուղղակիորեն սահմանված դեպքերում՝ նաև օպերատիվ-հետախուզական միջոցառումների արդյունքում բացահայտված տեղեկություններ: Նշվածից ակնհայտ է, որ </w:t>
      </w:r>
      <w:r w:rsidRPr="002C069D">
        <w:rPr>
          <w:rFonts w:ascii="GHEA Grapalat" w:hAnsi="GHEA Grapalat" w:cs="Arial"/>
          <w:color w:val="000000"/>
          <w:lang w:val="hy-AM"/>
        </w:rPr>
        <w:t xml:space="preserve">ՍԴՈ-1374 որոշման մեջ քննարկված </w:t>
      </w:r>
      <w:r w:rsidRPr="002C069D">
        <w:rPr>
          <w:rFonts w:ascii="GHEA Grapalat" w:hAnsi="GHEA Grapalat" w:cs="Sylfaen"/>
          <w:noProof/>
          <w:lang w:val="hy-AM"/>
        </w:rPr>
        <w:t>հոգեբանական թեստը և Օրենքի 23-րդ հոդվածի 6-րդ և 7-րդ մասերով նախատեսված բարեվարքության վերաբերյալ եզրակացությունը հանդիսանում են բովանդակությամբ և նշանակությամբ միմյանցից էականորեն տարբերվող փաստաթղթեր:</w:t>
      </w:r>
    </w:p>
    <w:p w:rsidR="002C069D" w:rsidRPr="002C069D" w:rsidRDefault="002C069D" w:rsidP="002C069D">
      <w:pPr>
        <w:tabs>
          <w:tab w:val="left" w:pos="1170"/>
          <w:tab w:val="left" w:pos="1350"/>
        </w:tabs>
        <w:spacing w:after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2C069D">
        <w:rPr>
          <w:rFonts w:ascii="GHEA Grapalat" w:hAnsi="GHEA Grapalat" w:cs="Arial"/>
          <w:color w:val="000000"/>
          <w:lang w:val="hy-AM"/>
        </w:rPr>
        <w:t xml:space="preserve">Հարկ է նաև նշել, որ ՍԴՈ-1374 որոշումը վերաբերում է Հայաստանի Հանրապետության նախկին </w:t>
      </w:r>
      <w:r w:rsidRPr="002C069D">
        <w:rPr>
          <w:rFonts w:ascii="GHEA Grapalat" w:hAnsi="GHEA Grapalat" w:cs="Sylfaen"/>
          <w:noProof/>
          <w:lang w:val="hy-AM"/>
        </w:rPr>
        <w:t xml:space="preserve">դատական օրենսգրքով սահմանված դատավորի թեկնածուների </w:t>
      </w:r>
      <w:r w:rsidRPr="002C069D">
        <w:rPr>
          <w:rFonts w:ascii="GHEA Grapalat" w:hAnsi="GHEA Grapalat" w:cs="Sylfaen"/>
          <w:noProof/>
          <w:lang w:val="hy-AM"/>
        </w:rPr>
        <w:lastRenderedPageBreak/>
        <w:t>հավակնորդների ընտրության իրավահարաբերություններին, մինչդեռ 2018 թվականին ընդունվել է նոր օրենսգիրք՝ «Հայաստանի Հանրապետության դատական օրենսգիրք» սահմանադրական օրենքը, որը սահմանում է դատական իշխանության ձևավորման գործընթացի նկատմամբ հանրային վերհսկողության արդյունավետ իրականացման մեխանիզմներ:</w:t>
      </w:r>
    </w:p>
    <w:p w:rsidR="002C069D" w:rsidRPr="002C069D" w:rsidRDefault="002C069D" w:rsidP="002C069D">
      <w:pPr>
        <w:tabs>
          <w:tab w:val="left" w:pos="1170"/>
          <w:tab w:val="left" w:pos="1350"/>
        </w:tabs>
        <w:spacing w:after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 xml:space="preserve">Հատկանշական է նաև փաստել, որ նույն՝ </w:t>
      </w:r>
      <w:r w:rsidRPr="002C069D">
        <w:rPr>
          <w:rFonts w:ascii="GHEA Grapalat" w:hAnsi="GHEA Grapalat" w:cs="Arial"/>
          <w:color w:val="000000"/>
          <w:lang w:val="hy-AM"/>
        </w:rPr>
        <w:t xml:space="preserve">ՍԴՈ-1374 որոշմամբ Սահմանադրական դատարանը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ևս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կարևորում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է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դատավորերի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թեկնածության հավակնորդների՝ մասնավոր և ընտանեկան կյանքի անձեռնմխելիության, անձնական տվյալների պաշտպանության իրավունքի պաշտպանության և այդ իրավունքների արդյունավետ իրացման ապահովման անհրաժեշտությունը, իսկ դատավորի թեկնածուների հավակնորդների հոգեբանական թեստի՝ հավակնորդների </w:t>
      </w:r>
      <w:r w:rsidRPr="002C069D">
        <w:rPr>
          <w:rFonts w:ascii="GHEA Grapalat" w:hAnsi="GHEA Grapalat" w:cs="Sylfaen"/>
          <w:noProof/>
          <w:lang w:val="hy-AM"/>
        </w:rPr>
        <w:t xml:space="preserve">հանրային իրավական պատասխանատվության ստանձնման որակները բացահայտող արդյունքների հրապարակման անհրաժեշտությունը հիմնավորել է այն հանգամանքով, որ </w:t>
      </w:r>
      <w:r w:rsidRPr="002C069D">
        <w:rPr>
          <w:rFonts w:ascii="GHEA Grapalat" w:hAnsi="GHEA Grapalat" w:cs="Arial"/>
          <w:color w:val="000000"/>
          <w:lang w:val="hy-AM"/>
        </w:rPr>
        <w:t xml:space="preserve">դրանք չեն պարունակում մասնավոր կյանքի տարր: </w:t>
      </w:r>
    </w:p>
    <w:p w:rsidR="002C069D" w:rsidRPr="002C069D" w:rsidRDefault="002C069D" w:rsidP="002C069D">
      <w:pPr>
        <w:tabs>
          <w:tab w:val="left" w:pos="1170"/>
          <w:tab w:val="left" w:pos="1350"/>
        </w:tabs>
        <w:spacing w:after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2C069D">
        <w:rPr>
          <w:rFonts w:ascii="GHEA Grapalat" w:hAnsi="GHEA Grapalat" w:cs="Arial"/>
          <w:color w:val="000000"/>
          <w:lang w:val="hy-AM"/>
        </w:rPr>
        <w:t xml:space="preserve">Ինչ վերաբերում է Նախագծի հիմնավորման մեջ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վկայակոչված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ՍԴՈ-1010 որոշմանը, ապա այն վերաբերում է կոնկրետ դեպքում գերատեսչական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ցանկերի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՝ պետական և ծառայողական գաղտնիք չհանդիսանալու հարցին և, ըստ էության, բովանդակային առումով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վերաբերելի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չէ խնդրո առարկա իրավիճակին:</w:t>
      </w:r>
    </w:p>
    <w:p w:rsidR="002C069D" w:rsidRPr="002C069D" w:rsidRDefault="002C069D" w:rsidP="002C069D">
      <w:pPr>
        <w:numPr>
          <w:ilvl w:val="0"/>
          <w:numId w:val="31"/>
        </w:numPr>
        <w:tabs>
          <w:tab w:val="left" w:pos="1170"/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 w:cs="Arial"/>
          <w:color w:val="000000"/>
          <w:lang w:val="hy-AM"/>
        </w:rPr>
      </w:pPr>
      <w:proofErr w:type="spellStart"/>
      <w:r w:rsidRPr="002C069D">
        <w:rPr>
          <w:rFonts w:ascii="GHEA Grapalat" w:hAnsi="GHEA Grapalat" w:cs="Arial"/>
          <w:color w:val="000000"/>
          <w:lang w:val="hy-AM"/>
        </w:rPr>
        <w:t>Բարեվարքության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վերաբերյալ միջազգային փորձի ուսումնասիրությունը ցույց է տվել, որ դատավորների և այլ պետական պաշտոնների թեկնածուների և թեկնածուների հավակնորդների տվյալների մշակման,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բարեվարքության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վերաբերյալ ուսումնասիրության ընթացքում և դրա արդյունքներն ամփոփող համապատասխան փաստաթղթերում անձի մասնավոր և ընտանեկան կյանքի անձեռնմխելիության, անձնական տվյալների պաշտպանության իրավունքներն ապահովվում և համապատասխան տեղեկությունների գաղտնիությունը պահպանվում է Մոլդովայում</w:t>
      </w:r>
      <w:r w:rsidRPr="002C069D">
        <w:rPr>
          <w:rFonts w:ascii="GHEA Grapalat" w:hAnsi="GHEA Grapalat" w:cs="Arial"/>
          <w:color w:val="000000"/>
          <w:vertAlign w:val="superscript"/>
          <w:lang w:val="hy-AM"/>
        </w:rPr>
        <w:footnoteReference w:id="9"/>
      </w:r>
      <w:r w:rsidRPr="002C069D">
        <w:rPr>
          <w:rFonts w:ascii="GHEA Grapalat" w:hAnsi="GHEA Grapalat" w:cs="Arial"/>
          <w:color w:val="000000"/>
          <w:lang w:val="hy-AM"/>
        </w:rPr>
        <w:t>, Բուլղարիայում</w:t>
      </w:r>
      <w:r w:rsidRPr="002C069D">
        <w:rPr>
          <w:rFonts w:ascii="GHEA Grapalat" w:hAnsi="GHEA Grapalat" w:cs="Arial"/>
          <w:color w:val="000000"/>
          <w:vertAlign w:val="superscript"/>
          <w:lang w:val="hy-AM"/>
        </w:rPr>
        <w:footnoteReference w:id="10"/>
      </w:r>
      <w:r w:rsidRPr="002C069D">
        <w:rPr>
          <w:rFonts w:ascii="GHEA Grapalat" w:hAnsi="GHEA Grapalat" w:cs="Arial"/>
          <w:color w:val="000000"/>
          <w:lang w:val="hy-AM"/>
        </w:rPr>
        <w:t>, Ուկրաինայում</w:t>
      </w:r>
      <w:r w:rsidRPr="002C069D">
        <w:rPr>
          <w:rFonts w:ascii="GHEA Grapalat" w:hAnsi="GHEA Grapalat" w:cs="Arial"/>
          <w:color w:val="000000"/>
          <w:vertAlign w:val="superscript"/>
          <w:lang w:val="hy-AM"/>
        </w:rPr>
        <w:footnoteReference w:id="11"/>
      </w:r>
      <w:r w:rsidRPr="002C069D">
        <w:rPr>
          <w:rFonts w:ascii="GHEA Grapalat" w:hAnsi="GHEA Grapalat" w:cs="Arial"/>
          <w:color w:val="000000"/>
          <w:lang w:val="hy-AM"/>
        </w:rPr>
        <w:t xml:space="preserve">,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Ալբանիայում</w:t>
      </w:r>
      <w:proofErr w:type="spellEnd"/>
      <w:r w:rsidRPr="002C069D">
        <w:rPr>
          <w:rFonts w:ascii="GHEA Grapalat" w:hAnsi="GHEA Grapalat" w:cs="Arial"/>
          <w:color w:val="000000"/>
          <w:vertAlign w:val="superscript"/>
          <w:lang w:val="hy-AM"/>
        </w:rPr>
        <w:footnoteReference w:id="12"/>
      </w:r>
      <w:r w:rsidRPr="002C069D">
        <w:rPr>
          <w:rFonts w:ascii="GHEA Grapalat" w:hAnsi="GHEA Grapalat" w:cs="Arial"/>
          <w:color w:val="000000"/>
          <w:lang w:val="hy-AM"/>
        </w:rPr>
        <w:t xml:space="preserve">,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Լատվիայում</w:t>
      </w:r>
      <w:proofErr w:type="spellEnd"/>
      <w:r w:rsidRPr="002C069D">
        <w:rPr>
          <w:rFonts w:ascii="GHEA Grapalat" w:hAnsi="GHEA Grapalat" w:cs="Arial"/>
          <w:color w:val="000000"/>
          <w:vertAlign w:val="superscript"/>
          <w:lang w:val="hy-AM"/>
        </w:rPr>
        <w:footnoteReference w:id="13"/>
      </w:r>
      <w:r w:rsidRPr="002C069D">
        <w:rPr>
          <w:rFonts w:ascii="GHEA Grapalat" w:hAnsi="GHEA Grapalat" w:cs="Arial"/>
          <w:color w:val="000000"/>
          <w:lang w:val="hy-AM"/>
        </w:rPr>
        <w:t xml:space="preserve"> և այլ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եվրոպական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պետություններում:</w:t>
      </w:r>
    </w:p>
    <w:p w:rsidR="002C069D" w:rsidRPr="002C069D" w:rsidRDefault="002C069D" w:rsidP="002C069D">
      <w:pPr>
        <w:tabs>
          <w:tab w:val="left" w:pos="1170"/>
          <w:tab w:val="left" w:pos="1350"/>
        </w:tabs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lastRenderedPageBreak/>
        <w:t>Եվրոպայի խորհուրդը, «Ուկրաինայի բարեվարքության հանրային խորհրդի ընթացակարգային կանոնների վերաբերյալ» փորձագիտական զեկույցում</w:t>
      </w:r>
      <w:r w:rsidRPr="002C069D">
        <w:rPr>
          <w:rFonts w:ascii="GHEA Grapalat" w:hAnsi="GHEA Grapalat" w:cs="Sylfaen"/>
          <w:noProof/>
          <w:vertAlign w:val="superscript"/>
          <w:lang w:val="hy-AM"/>
        </w:rPr>
        <w:footnoteReference w:id="14"/>
      </w:r>
      <w:r w:rsidRPr="002C069D">
        <w:rPr>
          <w:rFonts w:ascii="GHEA Grapalat" w:hAnsi="GHEA Grapalat" w:cs="Sylfaen"/>
          <w:noProof/>
          <w:lang w:val="hy-AM"/>
        </w:rPr>
        <w:t xml:space="preserve"> անդրադառնալով</w:t>
      </w:r>
      <w:r w:rsidRPr="002C069D">
        <w:rPr>
          <w:rFonts w:ascii="GHEA Grapalat" w:hAnsi="GHEA Grapalat" w:cs="Arial"/>
          <w:color w:val="000000"/>
          <w:lang w:val="hy-AM"/>
        </w:rPr>
        <w:t xml:space="preserve"> Ուկրաինայում արդեն իսկ գործող դատավորների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բարեվարքության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վերաբերյալ եզրակացության հրապարակման հարցին, նշել է</w:t>
      </w:r>
      <w:r w:rsidRPr="002C069D">
        <w:rPr>
          <w:rFonts w:ascii="GHEA Grapalat" w:hAnsi="GHEA Grapalat" w:cs="Sylfaen"/>
          <w:noProof/>
          <w:lang w:val="hy-AM"/>
        </w:rPr>
        <w:t>, որ բարեվարքության ստուգման գործընթացը պետք է լինի գաղտնի, իսկ արդյունքները՝ ոչ հրապարակային, քանի որ հրապարակումը կարող է հանգեցնել դատավորի հեղինակության վարկաբեկմանը և հասարակության շրջանում դատավորի կերպարի հեղինակազրկմանը, դատավորին կարող է դարձնել խոցելի, առիթ ստեղծել դատավորի նկատմամբ ճնշումների և ազդեցության գործադրման համար, կարող է հանգեցնել դատավորի անկախության սահմանափակմանը, դատավորի նկատմամբ ֆիզիկական բռնության կիրառմանը կամ արժանապատվության նսեմացմանը, իսկ վերջնարդյունքում՝ հանգեցնել դատական իշխանության հեղինակազրկմանը և դատական իշխանության նկատմամբ վստահության կորստին:</w:t>
      </w:r>
    </w:p>
    <w:p w:rsidR="002C069D" w:rsidRPr="002C069D" w:rsidRDefault="002C069D" w:rsidP="002C069D">
      <w:pPr>
        <w:tabs>
          <w:tab w:val="left" w:pos="1170"/>
          <w:tab w:val="left" w:pos="1350"/>
        </w:tabs>
        <w:spacing w:after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2C069D">
        <w:rPr>
          <w:rFonts w:ascii="GHEA Grapalat" w:hAnsi="GHEA Grapalat" w:cs="Arial"/>
          <w:color w:val="000000"/>
          <w:lang w:val="hy-AM"/>
        </w:rPr>
        <w:t xml:space="preserve">Ուկրաինայում գործող դատավորների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բարեվարքության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արդյունքների հրապարակման հարցի առնչությամբ իր դիրքորոշումն է հայտնել նաև Վենետիկի Հանձնաժողովը՝ դարձյալ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կարևորելով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գաղտնիության ապահովումը՝ ելնելով դատավորի անկախության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երաշխավորման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>, դատավորի հեղինակությանը չվնասելու անհրաժեշտությունից</w:t>
      </w:r>
      <w:r w:rsidRPr="002C069D">
        <w:rPr>
          <w:rFonts w:ascii="GHEA Grapalat" w:hAnsi="GHEA Grapalat" w:cs="Arial"/>
          <w:color w:val="000000"/>
          <w:vertAlign w:val="superscript"/>
          <w:lang w:val="hy-AM"/>
        </w:rPr>
        <w:footnoteReference w:id="15"/>
      </w:r>
      <w:r w:rsidRPr="002C069D">
        <w:rPr>
          <w:rFonts w:ascii="GHEA Grapalat" w:hAnsi="GHEA Grapalat" w:cs="Arial"/>
          <w:color w:val="000000"/>
          <w:lang w:val="hy-AM"/>
        </w:rPr>
        <w:t>:</w:t>
      </w:r>
    </w:p>
    <w:p w:rsidR="002C069D" w:rsidRPr="002C069D" w:rsidRDefault="002C069D" w:rsidP="002C069D">
      <w:pPr>
        <w:tabs>
          <w:tab w:val="left" w:pos="1170"/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C069D">
        <w:rPr>
          <w:rFonts w:ascii="GHEA Grapalat" w:hAnsi="GHEA Grapalat" w:cs="Sylfaen"/>
          <w:noProof/>
          <w:lang w:val="hy-AM"/>
        </w:rPr>
        <w:t>«Դատական իշխանության և դատավորների կարգավիճակի մասին» Ուկրաինայի օրենքի վերաբերյալ» զեկույցում</w:t>
      </w:r>
      <w:r w:rsidRPr="002C069D">
        <w:rPr>
          <w:rFonts w:ascii="GHEA Grapalat" w:hAnsi="GHEA Grapalat" w:cs="Sylfaen"/>
          <w:noProof/>
          <w:vertAlign w:val="superscript"/>
          <w:lang w:val="hy-AM"/>
        </w:rPr>
        <w:footnoteReference w:id="16"/>
      </w:r>
      <w:r w:rsidRPr="002C069D">
        <w:rPr>
          <w:rFonts w:ascii="GHEA Grapalat" w:hAnsi="GHEA Grapalat" w:cs="Sylfaen"/>
          <w:noProof/>
          <w:lang w:val="hy-AM"/>
        </w:rPr>
        <w:t xml:space="preserve"> </w:t>
      </w:r>
      <w:r w:rsidRPr="002C069D">
        <w:rPr>
          <w:rFonts w:ascii="GHEA Grapalat" w:hAnsi="GHEA Grapalat"/>
          <w:lang w:val="hy-AM"/>
        </w:rPr>
        <w:t xml:space="preserve">ԵԱՀԿ-ի ժողովրդավարական հաստատությունների և մարդու իրավունքների գրասենյակը </w:t>
      </w:r>
      <w:proofErr w:type="spellStart"/>
      <w:r w:rsidRPr="002C069D">
        <w:rPr>
          <w:rFonts w:ascii="GHEA Grapalat" w:hAnsi="GHEA Grapalat"/>
          <w:lang w:val="hy-AM"/>
        </w:rPr>
        <w:t>կարևորել</w:t>
      </w:r>
      <w:proofErr w:type="spellEnd"/>
      <w:r w:rsidRPr="002C069D">
        <w:rPr>
          <w:rFonts w:ascii="GHEA Grapalat" w:hAnsi="GHEA Grapalat"/>
          <w:lang w:val="hy-AM"/>
        </w:rPr>
        <w:t xml:space="preserve"> է անձնական տվյալների և մասնավոր կյանքի </w:t>
      </w:r>
      <w:proofErr w:type="spellStart"/>
      <w:r w:rsidRPr="002C069D">
        <w:rPr>
          <w:rFonts w:ascii="GHEA Grapalat" w:hAnsi="GHEA Grapalat"/>
          <w:lang w:val="hy-AM"/>
        </w:rPr>
        <w:t>անձեռմխելիության</w:t>
      </w:r>
      <w:proofErr w:type="spellEnd"/>
      <w:r w:rsidRPr="002C069D">
        <w:rPr>
          <w:rFonts w:ascii="GHEA Grapalat" w:hAnsi="GHEA Grapalat"/>
          <w:lang w:val="hy-AM"/>
        </w:rPr>
        <w:t xml:space="preserve"> իրավունքների պաշտպանության և արդյունավետ իրացման անհրաժեշտությունը </w:t>
      </w:r>
      <w:proofErr w:type="spellStart"/>
      <w:r w:rsidRPr="002C069D">
        <w:rPr>
          <w:rFonts w:ascii="GHEA Grapalat" w:hAnsi="GHEA Grapalat"/>
          <w:lang w:val="hy-AM"/>
        </w:rPr>
        <w:t>բարեվարքության</w:t>
      </w:r>
      <w:proofErr w:type="spellEnd"/>
      <w:r w:rsidRPr="002C069D">
        <w:rPr>
          <w:rFonts w:ascii="GHEA Grapalat" w:hAnsi="GHEA Grapalat"/>
          <w:lang w:val="hy-AM"/>
        </w:rPr>
        <w:t xml:space="preserve"> ստուգման գործընթացում:</w:t>
      </w:r>
    </w:p>
    <w:p w:rsidR="00D4597A" w:rsidRPr="00C70A8A" w:rsidRDefault="002C069D" w:rsidP="002C069D">
      <w:pPr>
        <w:spacing w:after="0" w:line="360" w:lineRule="auto"/>
        <w:jc w:val="both"/>
        <w:rPr>
          <w:rFonts w:ascii="GHEA Grapalat" w:hAnsi="GHEA Grapalat" w:cs="Arial"/>
          <w:color w:val="000000"/>
          <w:lang w:val="hy-AM"/>
        </w:rPr>
      </w:pPr>
      <w:r w:rsidRPr="002C069D">
        <w:rPr>
          <w:rFonts w:ascii="GHEA Grapalat" w:hAnsi="GHEA Grapalat"/>
          <w:lang w:val="hy-AM"/>
        </w:rPr>
        <w:t xml:space="preserve">Հատկանշական է նաև, որ </w:t>
      </w:r>
      <w:r w:rsidRPr="002C069D">
        <w:rPr>
          <w:rFonts w:ascii="GHEA Grapalat" w:hAnsi="GHEA Grapalat" w:cs="Sylfaen"/>
          <w:noProof/>
          <w:lang w:val="hy-AM"/>
        </w:rPr>
        <w:t>«</w:t>
      </w:r>
      <w:r w:rsidRPr="002C069D">
        <w:rPr>
          <w:rFonts w:ascii="GHEA Grapalat" w:hAnsi="GHEA Grapalat"/>
          <w:lang w:val="hy-AM"/>
        </w:rPr>
        <w:t>Հ</w:t>
      </w:r>
      <w:r w:rsidRPr="002C069D">
        <w:rPr>
          <w:rFonts w:ascii="GHEA Grapalat" w:hAnsi="GHEA Grapalat" w:cs="Sylfaen"/>
          <w:noProof/>
          <w:lang w:val="hy-AM"/>
        </w:rPr>
        <w:t xml:space="preserve">անուն լավ կառավարման եվրոպական Միության և եվրոպայի խորհրդի գործընկերություն 2-րդ փուլի «Հայաստանում կոռուպցիայի դեմ պայքարի և կանխարգելման ինստիտուցիոնալ կարողությունների հզորացման» ծրագրի շրջանակներում «Դատավորի թեկնածուի հավակնորդների բարեվարքության ստուգման վերաբերյալ» փորձագիտական զեկույցում հստակ նշվել է, որ </w:t>
      </w:r>
      <w:r w:rsidRPr="002C069D">
        <w:rPr>
          <w:rFonts w:ascii="GHEA Grapalat" w:hAnsi="GHEA Grapalat" w:cs="Arial"/>
          <w:color w:val="000000"/>
          <w:lang w:val="hy-AM"/>
        </w:rPr>
        <w:t xml:space="preserve">Հանձնաժողովի կողմից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կայացվող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բարեվարքության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վերաբերյալ խորհրդատվական բնույթ կրող եզրակացության չհրապարակելու անհրաժեշտությունը բխում է դատավորի թեկնածուի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հավակնորդի</w:t>
      </w:r>
      <w:proofErr w:type="spellEnd"/>
      <w:r w:rsidRPr="002C069D">
        <w:rPr>
          <w:rFonts w:ascii="GHEA Grapalat" w:hAnsi="GHEA Grapalat" w:cs="Arial"/>
          <w:color w:val="000000"/>
          <w:lang w:val="hy-AM"/>
        </w:rPr>
        <w:t xml:space="preserve"> </w:t>
      </w:r>
      <w:r w:rsidRPr="002C069D">
        <w:rPr>
          <w:rFonts w:ascii="GHEA Grapalat" w:hAnsi="GHEA Grapalat" w:cs="Arial"/>
          <w:color w:val="000000"/>
          <w:lang w:val="hy-AM"/>
        </w:rPr>
        <w:lastRenderedPageBreak/>
        <w:t xml:space="preserve">մասնավոր և ընտանեկան կյանքի անձեռնմխելիության իրավունքի պաշտպանության, և վերջինիս հեղինակության հնարավոր վարկաբեկումը կանխելու </w:t>
      </w:r>
      <w:proofErr w:type="spellStart"/>
      <w:r w:rsidRPr="002C069D">
        <w:rPr>
          <w:rFonts w:ascii="GHEA Grapalat" w:hAnsi="GHEA Grapalat" w:cs="Arial"/>
          <w:color w:val="000000"/>
          <w:lang w:val="hy-AM"/>
        </w:rPr>
        <w:t>կարևորությունից</w:t>
      </w:r>
      <w:proofErr w:type="spellEnd"/>
      <w:r w:rsidRPr="002C069D">
        <w:rPr>
          <w:rFonts w:ascii="GHEA Grapalat" w:hAnsi="GHEA Grapalat" w:cs="Arial"/>
          <w:color w:val="000000"/>
          <w:vertAlign w:val="superscript"/>
          <w:lang w:val="hy-AM"/>
        </w:rPr>
        <w:footnoteReference w:id="17"/>
      </w:r>
      <w:r w:rsidRPr="002C069D">
        <w:rPr>
          <w:rFonts w:ascii="GHEA Grapalat" w:hAnsi="GHEA Grapalat" w:cs="Arial"/>
          <w:color w:val="000000"/>
          <w:lang w:val="hy-AM"/>
        </w:rPr>
        <w:t xml:space="preserve">: Համաձայն զեկույցի՝ Հայաստանի պարագայում թեկնածուի և նրա հետ փոխկապակցված երրորդ անձանց մասնավոր և ընտանեկան կյանքի անձեռնմխելիության իրավունքի ապահովման անհրաժեշտությունը նաև բխում է այն հանգամանքից, որ  Հանձնաժողովի </w:t>
      </w:r>
      <w:r w:rsidRPr="002C069D">
        <w:rPr>
          <w:rFonts w:ascii="GHEA Grapalat" w:hAnsi="GHEA Grapalat"/>
          <w:lang w:val="hy-AM"/>
        </w:rPr>
        <w:t xml:space="preserve">կողմից իրականացվող </w:t>
      </w:r>
      <w:proofErr w:type="spellStart"/>
      <w:r w:rsidRPr="002C069D">
        <w:rPr>
          <w:rFonts w:ascii="GHEA Grapalat" w:hAnsi="GHEA Grapalat"/>
          <w:lang w:val="hy-AM"/>
        </w:rPr>
        <w:t>բարեվարքության</w:t>
      </w:r>
      <w:proofErr w:type="spellEnd"/>
      <w:r w:rsidRPr="002C069D">
        <w:rPr>
          <w:rFonts w:ascii="GHEA Grapalat" w:hAnsi="GHEA Grapalat"/>
          <w:lang w:val="hy-AM"/>
        </w:rPr>
        <w:t xml:space="preserve"> վերաբերյալ ուսումնասիրությունն իր բնույթով տարբերվում է բազմաթիվ պետությունների կողմից ընտրված մոդելից. Հայաստանի Հանրապետության կողմից առավել խորը և մանրամասն </w:t>
      </w:r>
      <w:proofErr w:type="spellStart"/>
      <w:r w:rsidRPr="002C069D">
        <w:rPr>
          <w:rFonts w:ascii="GHEA Grapalat" w:hAnsi="GHEA Grapalat"/>
          <w:lang w:val="hy-AM"/>
        </w:rPr>
        <w:t>բարեվարքության</w:t>
      </w:r>
      <w:proofErr w:type="spellEnd"/>
      <w:r w:rsidRPr="002C069D">
        <w:rPr>
          <w:rFonts w:ascii="GHEA Grapalat" w:hAnsi="GHEA Grapalat"/>
          <w:lang w:val="hy-AM"/>
        </w:rPr>
        <w:t xml:space="preserve"> ստուգման գործընթաց է իրականացվում, որը ներառում է անձանց մասնավոր կյանքին և անձնական տվյալներին առնչվող բազմաթիվ տեղեկությունների հավաքագրում և մշակում:</w:t>
      </w:r>
      <w:r w:rsidR="000815CA">
        <w:rPr>
          <w:rFonts w:ascii="GHEA Grapalat" w:hAnsi="GHEA Grapalat" w:cs="Sylfaen"/>
          <w:lang w:val="hy-AM"/>
        </w:rPr>
        <w:t xml:space="preserve">  </w:t>
      </w:r>
    </w:p>
    <w:p w:rsidR="00D4597A" w:rsidRPr="00E836BB" w:rsidRDefault="00FF2F1F" w:rsidP="00FF2F1F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5C1E5A" w:rsidRPr="00E836BB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վերոգրյալը</w:t>
      </w:r>
      <w:r w:rsidR="00D4597A" w:rsidRPr="00E836BB">
        <w:rPr>
          <w:rFonts w:ascii="GHEA Grapalat" w:hAnsi="GHEA Grapalat"/>
          <w:color w:val="000000"/>
          <w:shd w:val="clear" w:color="auto" w:fill="FFFFFF"/>
          <w:lang w:val="hy-AM"/>
        </w:rPr>
        <w:t xml:space="preserve">՝ առաջարկում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ենք</w:t>
      </w:r>
      <w:r w:rsidR="00D4597A" w:rsidRPr="00E836BB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քննարկ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վող</w:t>
      </w:r>
      <w:r w:rsidR="00D4597A" w:rsidRPr="00E836B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D7863">
        <w:rPr>
          <w:rFonts w:ascii="GHEA Grapalat" w:hAnsi="GHEA Grapalat"/>
          <w:color w:val="000000"/>
          <w:shd w:val="clear" w:color="auto" w:fill="FFFFFF"/>
          <w:lang w:val="hy-AM"/>
        </w:rPr>
        <w:t>հոդված</w:t>
      </w:r>
      <w:r w:rsidR="00D4597A" w:rsidRPr="00E836BB">
        <w:rPr>
          <w:rFonts w:ascii="GHEA Grapalat" w:hAnsi="GHEA Grapalat"/>
          <w:color w:val="000000"/>
          <w:shd w:val="clear" w:color="auto" w:fill="FFFFFF"/>
          <w:lang w:val="hy-AM"/>
        </w:rPr>
        <w:t>ը թողնել անփոփոխ։</w:t>
      </w:r>
    </w:p>
    <w:p w:rsidR="00FA1D43" w:rsidRPr="00E836BB" w:rsidRDefault="00FA1D43" w:rsidP="00D4597A">
      <w:pPr>
        <w:spacing w:after="0" w:line="360" w:lineRule="auto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70A8A" w:rsidRDefault="00C70A8A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CB7E61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AE6037" w:rsidRDefault="00AE6037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AE6037" w:rsidRPr="00CC1135" w:rsidRDefault="00AE6037" w:rsidP="00AE6037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AE6037" w:rsidRPr="00CC1135" w:rsidRDefault="00EB5D4C" w:rsidP="00AE6037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EB5D4C">
        <w:rPr>
          <w:rFonts w:ascii="GHEA Grapalat" w:eastAsia="Times New Roman" w:hAnsi="GHEA Grapalat" w:cs="Tahoma"/>
          <w:b/>
          <w:lang w:val="hy-AM" w:eastAsia="ru-RU"/>
        </w:rPr>
        <w:t>«Կոռուպցիայի կանխարգելման հանձնաժողովի մասին» Հայաստանի Հանրապետության օրենքում փոփոխություններ կատարելու մասին»</w:t>
      </w:r>
      <w:r w:rsidR="00AE6037" w:rsidRPr="00CC1135">
        <w:rPr>
          <w:rFonts w:ascii="GHEA Grapalat" w:hAnsi="GHEA Grapalat"/>
          <w:b/>
          <w:lang w:val="hy-AM"/>
        </w:rPr>
        <w:t xml:space="preserve"> </w:t>
      </w:r>
      <w:r w:rsidR="00AE6037">
        <w:rPr>
          <w:rFonts w:ascii="GHEA Grapalat" w:hAnsi="GHEA Grapalat"/>
          <w:b/>
          <w:lang w:val="hy-AM"/>
        </w:rPr>
        <w:t>օրենք</w:t>
      </w:r>
      <w:r w:rsidR="00AE6037" w:rsidRPr="00CC1135">
        <w:rPr>
          <w:rFonts w:ascii="GHEA Grapalat" w:hAnsi="GHEA Grapalat"/>
          <w:b/>
          <w:lang w:val="hy-AM"/>
        </w:rPr>
        <w:t xml:space="preserve">ի </w:t>
      </w:r>
      <w:r w:rsidR="00AE6037">
        <w:rPr>
          <w:rFonts w:ascii="GHEA Grapalat" w:hAnsi="GHEA Grapalat"/>
          <w:b/>
          <w:lang w:val="hy-AM"/>
        </w:rPr>
        <w:t>նախագծ</w:t>
      </w:r>
      <w:r w:rsidR="00AE6037" w:rsidRPr="00CC1135">
        <w:rPr>
          <w:rFonts w:ascii="GHEA Grapalat" w:hAnsi="GHEA Grapalat"/>
          <w:b/>
          <w:lang w:val="hy-AM"/>
        </w:rPr>
        <w:t>ի՝</w:t>
      </w:r>
      <w:r w:rsidR="00AE6037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AE6037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AE6037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AE6037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AE6037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AE6037" w:rsidRDefault="00AE6037" w:rsidP="00AE6037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CB7E61" w:rsidRDefault="00AE6037" w:rsidP="00AE6037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  <w:r>
        <w:rPr>
          <w:rFonts w:ascii="GHEA Grapalat" w:eastAsia="Times New Roman" w:hAnsi="GHEA Grapalat" w:cs="Tahoma"/>
          <w:lang w:val="hy-AM" w:eastAsia="ru-RU"/>
        </w:rPr>
        <w:t xml:space="preserve">        </w:t>
      </w:r>
      <w:r w:rsidR="00EB5D4C" w:rsidRPr="00EB5D4C">
        <w:rPr>
          <w:rFonts w:ascii="GHEA Grapalat" w:eastAsia="Times New Roman" w:hAnsi="GHEA Grapalat" w:cs="Tahoma"/>
          <w:lang w:val="hy-AM" w:eastAsia="ru-RU"/>
        </w:rPr>
        <w:t>«Կոռուպցիայի կանխարգելման հանձնաժողովի մասին» Հայաստանի Հանրապետության օրենքում փոփոխություններ կատարելու մասին»</w:t>
      </w:r>
      <w:r w:rsidRPr="00CC1135">
        <w:rPr>
          <w:rFonts w:ascii="GHEA Grapalat" w:hAnsi="GHEA Grapalat"/>
          <w:lang w:val="hy-AM"/>
        </w:rPr>
        <w:t xml:space="preserve"> օրենքի նախագծի</w:t>
      </w:r>
      <w:r w:rsidRPr="002179C9">
        <w:rPr>
          <w:rFonts w:ascii="GHEA Grapalat" w:hAnsi="GHEA Grapalat"/>
          <w:lang w:val="hy-AM"/>
        </w:rPr>
        <w:t xml:space="preserve"> 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D65620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, </w:t>
      </w:r>
      <w:r w:rsidR="00A40D49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չի հ</w:t>
      </w:r>
      <w:r w:rsidR="00A40D49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A40D49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A40D49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ՀՀ պետա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A40D49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նվազեցման</w:t>
      </w:r>
      <w:r>
        <w:rPr>
          <w:rFonts w:ascii="GHEA Grapalat" w:hAnsi="GHEA Grapalat" w:cs="Sylfaen"/>
          <w:lang w:val="hy-AM"/>
        </w:rPr>
        <w:t xml:space="preserve"> և ծախսերի ավե</w:t>
      </w:r>
      <w:r>
        <w:rPr>
          <w:rFonts w:ascii="GHEA Grapalat" w:hAnsi="GHEA Grapalat" w:cs="Sylfaen"/>
          <w:lang w:val="hy-AM"/>
        </w:rPr>
        <w:softHyphen/>
        <w:t>լացման</w:t>
      </w:r>
      <w:r w:rsidRPr="00721618"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 w:cs="Sylfaen"/>
          <w:lang w:val="hy-AM"/>
        </w:rPr>
        <w:t xml:space="preserve"> </w:t>
      </w:r>
      <w:r w:rsidR="00EB5D4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  </w:t>
      </w:r>
    </w:p>
    <w:p w:rsidR="00CB7E61" w:rsidRPr="00CA24FF" w:rsidRDefault="00CB7E61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Pr="00890FA6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D69" w:rsidRDefault="00394D69" w:rsidP="006F109F">
      <w:pPr>
        <w:spacing w:after="0" w:line="240" w:lineRule="auto"/>
      </w:pPr>
      <w:r>
        <w:separator/>
      </w:r>
    </w:p>
  </w:endnote>
  <w:endnote w:type="continuationSeparator" w:id="0">
    <w:p w:rsidR="00394D69" w:rsidRDefault="00394D69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D69" w:rsidRDefault="00394D69" w:rsidP="006F109F">
      <w:pPr>
        <w:spacing w:after="0" w:line="240" w:lineRule="auto"/>
      </w:pPr>
      <w:r>
        <w:separator/>
      </w:r>
    </w:p>
  </w:footnote>
  <w:footnote w:type="continuationSeparator" w:id="0">
    <w:p w:rsidR="00394D69" w:rsidRDefault="00394D69" w:rsidP="006F109F">
      <w:pPr>
        <w:spacing w:after="0" w:line="240" w:lineRule="auto"/>
      </w:pPr>
      <w:r>
        <w:continuationSeparator/>
      </w:r>
    </w:p>
  </w:footnote>
  <w:footnote w:id="1">
    <w:p w:rsidR="002C069D" w:rsidRPr="00A902F6" w:rsidRDefault="002C069D" w:rsidP="002C069D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 w:rsidRPr="006B2B0E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Անձնական կյանքի գաղտնիության վերաբերյալ 1998 թվականի թիվ 1165 </w:t>
      </w:r>
      <w:proofErr w:type="spellStart"/>
      <w:r w:rsidRPr="006B2B0E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>բանաձև</w:t>
      </w:r>
      <w:proofErr w:type="spellEnd"/>
      <w:r>
        <w:rPr>
          <w:rFonts w:ascii="GHEA Grapalat" w:hAnsi="GHEA Grapalat"/>
          <w:sz w:val="18"/>
          <w:szCs w:val="18"/>
        </w:rPr>
        <w:t xml:space="preserve">, </w:t>
      </w:r>
      <w:proofErr w:type="spellStart"/>
      <w:r w:rsidRPr="006B2B0E">
        <w:rPr>
          <w:rFonts w:ascii="GHEA Grapalat" w:hAnsi="GHEA Grapalat"/>
          <w:sz w:val="18"/>
          <w:szCs w:val="18"/>
        </w:rPr>
        <w:t>հասանելի</w:t>
      </w:r>
      <w:proofErr w:type="spellEnd"/>
      <w:r w:rsidRPr="006B2B0E">
        <w:rPr>
          <w:rFonts w:ascii="GHEA Grapalat" w:hAnsi="GHEA Grapalat"/>
          <w:sz w:val="18"/>
          <w:szCs w:val="18"/>
        </w:rPr>
        <w:t xml:space="preserve"> է </w:t>
      </w:r>
      <w:proofErr w:type="spellStart"/>
      <w:r w:rsidRPr="006B2B0E">
        <w:rPr>
          <w:rFonts w:ascii="GHEA Grapalat" w:hAnsi="GHEA Grapalat"/>
          <w:sz w:val="18"/>
          <w:szCs w:val="18"/>
        </w:rPr>
        <w:t>հետևյալ</w:t>
      </w:r>
      <w:proofErr w:type="spellEnd"/>
      <w:r w:rsidRPr="006B2B0E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6B2B0E">
        <w:rPr>
          <w:rFonts w:ascii="GHEA Grapalat" w:hAnsi="GHEA Grapalat"/>
          <w:sz w:val="18"/>
          <w:szCs w:val="18"/>
        </w:rPr>
        <w:t>հղումով</w:t>
      </w:r>
      <w:proofErr w:type="spellEnd"/>
      <w:r w:rsidRPr="006B2B0E">
        <w:rPr>
          <w:rFonts w:ascii="GHEA Grapalat" w:hAnsi="GHEA Grapalat"/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>
        <w:fldChar w:fldCharType="begin"/>
      </w:r>
      <w:r>
        <w:instrText xml:space="preserve"> HYPERLINK "https://assembly.coe.int/nw/xml/XRef/Xref-XML2HTML-en.asp?fileid=16641&amp;lang%20=en" </w:instrText>
      </w:r>
      <w:r>
        <w:fldChar w:fldCharType="separate"/>
      </w:r>
      <w:r w:rsidRPr="00EC0BC2">
        <w:rPr>
          <w:rStyle w:val="Hyperlink"/>
          <w:rFonts w:ascii="Sylfaen" w:hAnsi="Sylfaen"/>
        </w:rPr>
        <w:t>https://assembly.coe.int/nw/xml/XRef/Xref-XML2HTML-en.asp?fileid=16641&amp;lang%20=en</w:t>
      </w:r>
      <w:r>
        <w:rPr>
          <w:rStyle w:val="Hyperlink"/>
          <w:rFonts w:ascii="Sylfaen" w:hAnsi="Sylfaen"/>
        </w:rPr>
        <w:fldChar w:fldCharType="end"/>
      </w:r>
      <w:r>
        <w:rPr>
          <w:rFonts w:ascii="Sylfaen" w:hAnsi="Sylfaen"/>
        </w:rPr>
        <w:t xml:space="preserve"> </w:t>
      </w:r>
    </w:p>
  </w:footnote>
  <w:footnote w:id="2">
    <w:p w:rsidR="002C069D" w:rsidRPr="00DF34A5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CASE OF</w:t>
      </w:r>
      <w:r w:rsidRPr="00515315">
        <w:rPr>
          <w:rStyle w:val="s7d2086b4"/>
          <w:rFonts w:ascii="Arial" w:hAnsi="Arial" w:cs="Arial"/>
          <w:bCs/>
          <w:sz w:val="18"/>
          <w:szCs w:val="18"/>
          <w:shd w:val="clear" w:color="auto" w:fill="FFFFFF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VON HANNOVER v.</w:t>
      </w:r>
      <w:r w:rsidRPr="00515315">
        <w:rPr>
          <w:rStyle w:val="s7d2086b4"/>
          <w:rFonts w:ascii="Arial" w:hAnsi="Arial" w:cs="Arial"/>
          <w:bCs/>
          <w:sz w:val="18"/>
          <w:szCs w:val="18"/>
          <w:shd w:val="clear" w:color="auto" w:fill="FFFFFF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GERMANY (</w:t>
      </w:r>
      <w:r w:rsidRPr="00515315">
        <w:rPr>
          <w:rStyle w:val="s6b621b36"/>
          <w:rFonts w:ascii="GHEA Grapalat" w:hAnsi="GHEA Grapalat" w:cs="Arial"/>
          <w:i/>
          <w:iCs/>
          <w:sz w:val="18"/>
          <w:szCs w:val="18"/>
          <w:shd w:val="clear" w:color="auto" w:fill="FFFFFF"/>
        </w:rPr>
        <w:t>nos.</w:t>
      </w:r>
      <w:r w:rsidRPr="00515315">
        <w:rPr>
          <w:rStyle w:val="s6b621b36"/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hyperlink r:id="rId1" w:anchor="{%22appno%22:[%2240660/08%22]}" w:tgtFrame="_blank" w:history="1">
        <w:r w:rsidRPr="00515315">
          <w:rPr>
            <w:rStyle w:val="Hyperlink"/>
            <w:rFonts w:ascii="GHEA Grapalat" w:hAnsi="GHEA Grapalat" w:cs="Arial"/>
            <w:sz w:val="18"/>
            <w:szCs w:val="18"/>
          </w:rPr>
          <w:t>40660/08</w:t>
        </w:r>
      </w:hyperlink>
      <w:r w:rsidRPr="00515315">
        <w:rPr>
          <w:rStyle w:val="s6b621b36"/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r w:rsidRPr="00515315">
        <w:rPr>
          <w:rStyle w:val="s6b621b36"/>
          <w:rFonts w:ascii="GHEA Grapalat" w:hAnsi="GHEA Grapalat" w:cs="Arial"/>
          <w:i/>
          <w:iCs/>
          <w:sz w:val="18"/>
          <w:szCs w:val="18"/>
          <w:shd w:val="clear" w:color="auto" w:fill="FFFFFF"/>
        </w:rPr>
        <w:t>and</w:t>
      </w:r>
      <w:r w:rsidRPr="00515315">
        <w:rPr>
          <w:rStyle w:val="s6b621b36"/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hyperlink r:id="rId2" w:anchor="{%22appno%22:[%2260641/08%22]}" w:tgtFrame="_blank" w:history="1">
        <w:r w:rsidRPr="00515315">
          <w:rPr>
            <w:rStyle w:val="Hyperlink"/>
            <w:rFonts w:ascii="GHEA Grapalat" w:hAnsi="GHEA Grapalat" w:cs="Arial"/>
            <w:sz w:val="18"/>
            <w:szCs w:val="18"/>
          </w:rPr>
          <w:t>60641/08</w:t>
        </w:r>
      </w:hyperlink>
      <w:r w:rsidRPr="00515315">
        <w:rPr>
          <w:rStyle w:val="s6b621b36"/>
          <w:rFonts w:ascii="GHEA Grapalat" w:hAnsi="GHEA Grapalat" w:cs="Arial"/>
          <w:i/>
          <w:iCs/>
          <w:sz w:val="18"/>
          <w:szCs w:val="18"/>
          <w:shd w:val="clear" w:color="auto" w:fill="FFFFFF"/>
        </w:rPr>
        <w:t>)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հասանելի</w:t>
      </w:r>
      <w:proofErr w:type="spellEnd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 է </w:t>
      </w:r>
      <w:proofErr w:type="spellStart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հետևյալ</w:t>
      </w:r>
      <w:proofErr w:type="spellEnd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հղումով</w:t>
      </w:r>
      <w:proofErr w:type="spellEnd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. </w:t>
      </w:r>
      <w:hyperlink r:id="rId3" w:anchor="{%22dmdocnumber%22:[%22900154%22],%22itemid%22:[%22001-109029%22]}" w:history="1">
        <w:r w:rsidRPr="00515315">
          <w:rPr>
            <w:rStyle w:val="Hyperlink"/>
            <w:rFonts w:ascii="GHEA Grapalat" w:hAnsi="GHEA Grapalat"/>
            <w:sz w:val="18"/>
            <w:szCs w:val="18"/>
          </w:rPr>
          <w:t>https://hudoc.echr.coe.int/eng#{%22dmdocnumber%22:[%22900154%22],%22itemid%22:[%22001-109029%22]}</w:t>
        </w:r>
      </w:hyperlink>
      <w:r w:rsidRPr="00515315">
        <w:rPr>
          <w:rFonts w:ascii="GHEA Grapalat" w:hAnsi="GHEA Grapalat"/>
          <w:sz w:val="18"/>
          <w:szCs w:val="18"/>
        </w:rPr>
        <w:t>)</w:t>
      </w:r>
    </w:p>
  </w:footnote>
  <w:footnote w:id="3">
    <w:p w:rsidR="002C069D" w:rsidRPr="00CD1D37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15315">
        <w:rPr>
          <w:rFonts w:ascii="GHEA Grapalat" w:hAnsi="GHEA Grapalat" w:cs="Arial"/>
          <w:bCs/>
          <w:sz w:val="18"/>
          <w:szCs w:val="18"/>
          <w:shd w:val="clear" w:color="auto" w:fill="FFFFFF"/>
        </w:rPr>
        <w:t>CASE OF AXEL SPRINGER AG v. GERMANY (</w:t>
      </w:r>
      <w:r w:rsidRPr="00515315">
        <w:rPr>
          <w:rFonts w:ascii="GHEA Grapalat" w:hAnsi="GHEA Grapalat" w:cs="Arial"/>
          <w:i/>
          <w:iCs/>
          <w:sz w:val="18"/>
          <w:szCs w:val="18"/>
          <w:shd w:val="clear" w:color="auto" w:fill="FFFFFF"/>
        </w:rPr>
        <w:t>no.</w:t>
      </w:r>
      <w:r w:rsidRPr="00515315">
        <w:rPr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hyperlink r:id="rId4" w:anchor="{%22appno%22:[%2239954/08%22]}" w:tgtFrame="_blank" w:history="1">
        <w:r w:rsidRPr="00515315">
          <w:rPr>
            <w:rStyle w:val="Hyperlink"/>
            <w:rFonts w:ascii="GHEA Grapalat" w:hAnsi="GHEA Grapalat" w:cs="Arial"/>
            <w:sz w:val="18"/>
            <w:szCs w:val="18"/>
            <w:shd w:val="clear" w:color="auto" w:fill="FFFFFF"/>
          </w:rPr>
          <w:t>39954/08</w:t>
        </w:r>
      </w:hyperlink>
      <w:r w:rsidRPr="00515315">
        <w:rPr>
          <w:rFonts w:ascii="GHEA Grapalat" w:hAnsi="GHEA Grapalat"/>
          <w:sz w:val="18"/>
          <w:szCs w:val="18"/>
        </w:rPr>
        <w:t xml:space="preserve">)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rPr>
          <w:rFonts w:ascii="GHEA Grapalat" w:hAnsi="GHEA Grapalat"/>
          <w:sz w:val="18"/>
          <w:szCs w:val="18"/>
        </w:rPr>
        <w:t xml:space="preserve">. </w:t>
      </w:r>
      <w:hyperlink r:id="rId5" w:anchor="{%22dmdocnumber%22:[%22900156%22],%22itemid%22:[%22001-109034%22]}" w:history="1">
        <w:r w:rsidRPr="00515315">
          <w:rPr>
            <w:rStyle w:val="Hyperlink"/>
            <w:rFonts w:ascii="GHEA Grapalat" w:hAnsi="GHEA Grapalat"/>
            <w:sz w:val="18"/>
            <w:szCs w:val="18"/>
          </w:rPr>
          <w:t>https://hudoc.echr.coe.int/eng#{%22dmdocnumber%22:[%22900156%22],%22itemid%22:[%22001-109034%22]}</w:t>
        </w:r>
      </w:hyperlink>
      <w:r w:rsidRPr="00515315">
        <w:rPr>
          <w:rFonts w:ascii="GHEA Grapalat" w:hAnsi="GHEA Grapalat"/>
          <w:sz w:val="18"/>
          <w:szCs w:val="18"/>
        </w:rPr>
        <w:t xml:space="preserve">) </w:t>
      </w:r>
      <w:r w:rsidRPr="00515315">
        <w:rPr>
          <w:rFonts w:ascii="GHEA Grapalat" w:hAnsi="GHEA Grapalat" w:cs="Arial"/>
          <w:bCs/>
          <w:sz w:val="18"/>
          <w:szCs w:val="18"/>
          <w:shd w:val="clear" w:color="auto" w:fill="FFFFFF"/>
        </w:rPr>
        <w:t xml:space="preserve">, 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CASE OF</w:t>
      </w:r>
      <w:r w:rsidRPr="00515315">
        <w:rPr>
          <w:rStyle w:val="s7d2086b4"/>
          <w:rFonts w:ascii="Arial" w:hAnsi="Arial" w:cs="Arial"/>
          <w:bCs/>
          <w:sz w:val="18"/>
          <w:szCs w:val="18"/>
          <w:shd w:val="clear" w:color="auto" w:fill="FFFFFF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VON HANNOVER v.</w:t>
      </w:r>
      <w:r w:rsidRPr="00515315">
        <w:rPr>
          <w:rStyle w:val="s7d2086b4"/>
          <w:rFonts w:ascii="Arial" w:hAnsi="Arial" w:cs="Arial"/>
          <w:bCs/>
          <w:sz w:val="18"/>
          <w:szCs w:val="18"/>
          <w:shd w:val="clear" w:color="auto" w:fill="FFFFFF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GERMANY (</w:t>
      </w:r>
      <w:r w:rsidRPr="00515315">
        <w:rPr>
          <w:rStyle w:val="s6b621b36"/>
          <w:rFonts w:ascii="GHEA Grapalat" w:hAnsi="GHEA Grapalat" w:cs="Arial"/>
          <w:i/>
          <w:iCs/>
          <w:sz w:val="18"/>
          <w:szCs w:val="18"/>
          <w:shd w:val="clear" w:color="auto" w:fill="FFFFFF"/>
        </w:rPr>
        <w:t>nos.</w:t>
      </w:r>
      <w:r w:rsidRPr="00515315">
        <w:rPr>
          <w:rStyle w:val="s6b621b36"/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hyperlink r:id="rId6" w:anchor="{%22appno%22:[%2240660/08%22]}" w:tgtFrame="_blank" w:history="1">
        <w:r w:rsidRPr="00515315">
          <w:rPr>
            <w:rStyle w:val="Hyperlink"/>
            <w:rFonts w:ascii="GHEA Grapalat" w:hAnsi="GHEA Grapalat" w:cs="Arial"/>
            <w:sz w:val="18"/>
            <w:szCs w:val="18"/>
          </w:rPr>
          <w:t>40660/08</w:t>
        </w:r>
      </w:hyperlink>
      <w:r w:rsidRPr="00515315">
        <w:rPr>
          <w:rStyle w:val="s6b621b36"/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r w:rsidRPr="00515315">
        <w:rPr>
          <w:rStyle w:val="s6b621b36"/>
          <w:rFonts w:ascii="GHEA Grapalat" w:hAnsi="GHEA Grapalat" w:cs="Arial"/>
          <w:i/>
          <w:iCs/>
          <w:sz w:val="18"/>
          <w:szCs w:val="18"/>
          <w:shd w:val="clear" w:color="auto" w:fill="FFFFFF"/>
        </w:rPr>
        <w:t>and</w:t>
      </w:r>
      <w:r w:rsidRPr="00515315">
        <w:rPr>
          <w:rStyle w:val="s6b621b36"/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hyperlink r:id="rId7" w:anchor="{%22appno%22:[%2260641/08%22]}" w:tgtFrame="_blank" w:history="1">
        <w:r w:rsidRPr="00515315">
          <w:rPr>
            <w:rStyle w:val="Hyperlink"/>
            <w:rFonts w:ascii="GHEA Grapalat" w:hAnsi="GHEA Grapalat" w:cs="Arial"/>
            <w:sz w:val="18"/>
            <w:szCs w:val="18"/>
          </w:rPr>
          <w:t>60641/08</w:t>
        </w:r>
      </w:hyperlink>
      <w:r w:rsidRPr="00515315">
        <w:rPr>
          <w:rStyle w:val="s6b621b36"/>
          <w:rFonts w:ascii="GHEA Grapalat" w:hAnsi="GHEA Grapalat" w:cs="Arial"/>
          <w:i/>
          <w:iCs/>
          <w:sz w:val="18"/>
          <w:szCs w:val="18"/>
          <w:shd w:val="clear" w:color="auto" w:fill="FFFFFF"/>
        </w:rPr>
        <w:t>)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հասանելի</w:t>
      </w:r>
      <w:proofErr w:type="spellEnd"/>
      <w:r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 է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t xml:space="preserve">. </w:t>
      </w:r>
      <w:hyperlink r:id="rId8" w:anchor="{%22dmdocnumber%22:[%22900154%22],%22itemid%22:[%22001-109029%22]}" w:history="1">
        <w:r w:rsidRPr="00515315">
          <w:rPr>
            <w:rStyle w:val="Hyperlink"/>
            <w:rFonts w:ascii="GHEA Grapalat" w:hAnsi="GHEA Grapalat"/>
            <w:sz w:val="18"/>
            <w:szCs w:val="18"/>
          </w:rPr>
          <w:t>https://hudoc.echr.coe.int/eng#{%22dmdocnumber%22:[%22900154%22],%22itemid%22:[%22001-109029%22]}</w:t>
        </w:r>
      </w:hyperlink>
      <w:r w:rsidRPr="00515315">
        <w:rPr>
          <w:rFonts w:ascii="GHEA Grapalat" w:hAnsi="GHEA Grapalat"/>
          <w:sz w:val="18"/>
          <w:szCs w:val="18"/>
        </w:rPr>
        <w:t>)</w:t>
      </w:r>
      <w:r>
        <w:rPr>
          <w:rFonts w:ascii="GHEA Grapalat" w:hAnsi="GHEA Grapalat"/>
          <w:sz w:val="18"/>
          <w:szCs w:val="18"/>
        </w:rPr>
        <w:t xml:space="preserve">, </w:t>
      </w:r>
      <w:r w:rsidRPr="00515315">
        <w:rPr>
          <w:rFonts w:ascii="GHEA Grapalat" w:hAnsi="GHEA Grapalat"/>
          <w:sz w:val="18"/>
          <w:szCs w:val="18"/>
        </w:rPr>
        <w:t>Handbook on CASE LAW OF THE EUROPEAN COURT OF HUMAN RIGHTS CONCERNING THE PROTECTION OF PERSONAL DATA</w:t>
      </w:r>
      <w:r>
        <w:rPr>
          <w:rFonts w:ascii="GHEA Grapalat" w:hAnsi="GHEA Grapalat"/>
          <w:sz w:val="18"/>
          <w:szCs w:val="18"/>
        </w:rPr>
        <w:t xml:space="preserve">, </w:t>
      </w:r>
      <w:proofErr w:type="spellStart"/>
      <w:r>
        <w:rPr>
          <w:rFonts w:ascii="GHEA Grapalat" w:hAnsi="GHEA Grapalat"/>
          <w:sz w:val="18"/>
          <w:szCs w:val="18"/>
        </w:rPr>
        <w:t>էջեր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95,105, 109,172,175,182,214 (</w:t>
      </w:r>
      <w:hyperlink r:id="rId9" w:history="1">
        <w:r w:rsidRPr="00515315">
          <w:rPr>
            <w:rStyle w:val="Hyperlink"/>
            <w:rFonts w:ascii="GHEA Grapalat" w:hAnsi="GHEA Grapalat"/>
            <w:sz w:val="18"/>
            <w:szCs w:val="18"/>
          </w:rPr>
          <w:t>https://rm.coe.int/t-pd-2018-15-case-law-on-data-protection-may2018-en/16808b2d36</w:t>
        </w:r>
      </w:hyperlink>
      <w:r w:rsidRPr="00515315">
        <w:rPr>
          <w:rFonts w:ascii="GHEA Grapalat" w:hAnsi="GHEA Grapalat"/>
          <w:sz w:val="18"/>
          <w:szCs w:val="18"/>
        </w:rPr>
        <w:t>)</w:t>
      </w:r>
      <w:r>
        <w:rPr>
          <w:rFonts w:ascii="GHEA Grapalat" w:hAnsi="GHEA Grapalat"/>
          <w:sz w:val="18"/>
          <w:szCs w:val="18"/>
        </w:rPr>
        <w:t xml:space="preserve">, </w:t>
      </w:r>
      <w:r w:rsidRPr="00515315">
        <w:rPr>
          <w:rFonts w:ascii="GHEA Grapalat" w:hAnsi="GHEA Grapalat"/>
          <w:sz w:val="18"/>
          <w:szCs w:val="18"/>
        </w:rPr>
        <w:t>Guide on Article 8 of the Europea</w:t>
      </w:r>
      <w:r>
        <w:rPr>
          <w:rFonts w:ascii="GHEA Grapalat" w:hAnsi="GHEA Grapalat"/>
          <w:sz w:val="18"/>
          <w:szCs w:val="18"/>
        </w:rPr>
        <w:t xml:space="preserve">n Convention on Human Rights, </w:t>
      </w:r>
      <w:proofErr w:type="spellStart"/>
      <w:r>
        <w:rPr>
          <w:rFonts w:ascii="GHEA Grapalat" w:hAnsi="GHEA Grapalat"/>
          <w:sz w:val="18"/>
          <w:szCs w:val="18"/>
        </w:rPr>
        <w:t>էջեր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6-18, 41 </w:t>
      </w:r>
      <w:hyperlink r:id="rId10" w:history="1">
        <w:r w:rsidRPr="00515315">
          <w:rPr>
            <w:rStyle w:val="Hyperlink"/>
            <w:rFonts w:ascii="GHEA Grapalat" w:hAnsi="GHEA Grapalat"/>
            <w:sz w:val="18"/>
            <w:szCs w:val="18"/>
          </w:rPr>
          <w:t>https://www.echr.coe.int/Documents/Guide_Art_8_ENG.pdf</w:t>
        </w:r>
      </w:hyperlink>
    </w:p>
  </w:footnote>
  <w:footnote w:id="4">
    <w:p w:rsidR="002C069D" w:rsidRPr="009D2BD8" w:rsidRDefault="002C069D" w:rsidP="002C069D">
      <w:pPr>
        <w:pStyle w:val="FootnoteText"/>
        <w:rPr>
          <w:sz w:val="18"/>
          <w:szCs w:val="18"/>
        </w:rPr>
      </w:pPr>
      <w:r w:rsidRPr="009D2BD8">
        <w:rPr>
          <w:rStyle w:val="FootnoteReference"/>
          <w:sz w:val="18"/>
          <w:szCs w:val="18"/>
        </w:rPr>
        <w:footnoteRef/>
      </w:r>
      <w:r w:rsidRPr="009D2BD8">
        <w:rPr>
          <w:sz w:val="18"/>
          <w:szCs w:val="18"/>
        </w:rPr>
        <w:t xml:space="preserve"> </w:t>
      </w:r>
      <w:proofErr w:type="spellStart"/>
      <w:r w:rsidRPr="009D2BD8">
        <w:rPr>
          <w:rFonts w:ascii="GHEA Grapalat" w:hAnsi="GHEA Grapalat"/>
          <w:sz w:val="18"/>
          <w:szCs w:val="18"/>
        </w:rPr>
        <w:t>Տե՛ս</w:t>
      </w:r>
      <w:proofErr w:type="spellEnd"/>
      <w:r w:rsidRPr="009D2BD8">
        <w:rPr>
          <w:rFonts w:ascii="GHEA Grapalat" w:hAnsi="GHEA Grapalat"/>
          <w:sz w:val="18"/>
          <w:szCs w:val="18"/>
        </w:rPr>
        <w:t xml:space="preserve"> </w:t>
      </w:r>
      <w:r w:rsidRPr="009D2BD8">
        <w:rPr>
          <w:rFonts w:ascii="GHEA Grapalat" w:hAnsi="GHEA Grapalat"/>
          <w:sz w:val="18"/>
          <w:szCs w:val="18"/>
          <w:lang w:val="af-ZA"/>
        </w:rPr>
        <w:t xml:space="preserve">Von Hannover v. </w:t>
      </w:r>
      <w:proofErr w:type="spellStart"/>
      <w:r w:rsidRPr="009D2BD8">
        <w:rPr>
          <w:rFonts w:ascii="GHEA Grapalat" w:hAnsi="GHEA Grapalat"/>
          <w:sz w:val="18"/>
          <w:szCs w:val="18"/>
          <w:lang w:val="af-ZA"/>
        </w:rPr>
        <w:t>Germany</w:t>
      </w:r>
      <w:proofErr w:type="spellEnd"/>
      <w:r w:rsidRPr="009D2BD8">
        <w:rPr>
          <w:rFonts w:ascii="GHEA Grapalat" w:hAnsi="GHEA Grapalat"/>
          <w:sz w:val="18"/>
          <w:szCs w:val="18"/>
          <w:lang w:val="af-ZA"/>
        </w:rPr>
        <w:t xml:space="preserve"> (2004), </w:t>
      </w:r>
      <w:proofErr w:type="spellStart"/>
      <w:r w:rsidRPr="009D2BD8">
        <w:rPr>
          <w:rFonts w:ascii="GHEA Grapalat" w:hAnsi="GHEA Grapalat"/>
          <w:sz w:val="18"/>
          <w:szCs w:val="18"/>
          <w:lang w:val="af-ZA"/>
        </w:rPr>
        <w:t>կետ</w:t>
      </w:r>
      <w:proofErr w:type="spellEnd"/>
      <w:r w:rsidRPr="009D2BD8">
        <w:rPr>
          <w:rFonts w:ascii="GHEA Grapalat" w:hAnsi="GHEA Grapalat"/>
          <w:sz w:val="18"/>
          <w:szCs w:val="18"/>
          <w:lang w:val="af-ZA"/>
        </w:rPr>
        <w:t xml:space="preserve"> 50.</w:t>
      </w:r>
    </w:p>
  </w:footnote>
  <w:footnote w:id="5">
    <w:p w:rsidR="002C069D" w:rsidRPr="00515315" w:rsidRDefault="002C069D" w:rsidP="002C069D">
      <w:pPr>
        <w:pStyle w:val="s32b251d"/>
        <w:shd w:val="clear" w:color="auto" w:fill="FFFFFF"/>
        <w:spacing w:before="0" w:beforeAutospacing="0" w:after="0" w:afterAutospacing="0"/>
        <w:rPr>
          <w:rFonts w:ascii="GHEA Grapalat" w:hAnsi="GHEA Grapalat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515315">
        <w:rPr>
          <w:rFonts w:ascii="GHEA Grapalat" w:hAnsi="GHEA Grapalat" w:cs="Arial"/>
          <w:bCs/>
          <w:sz w:val="18"/>
          <w:szCs w:val="18"/>
          <w:shd w:val="clear" w:color="auto" w:fill="FFFFFF"/>
        </w:rPr>
        <w:t>CASE OF AXEL SPRINGER AG v. GERMANY (</w:t>
      </w:r>
      <w:r w:rsidRPr="00515315">
        <w:rPr>
          <w:rFonts w:ascii="GHEA Grapalat" w:hAnsi="GHEA Grapalat" w:cs="Arial"/>
          <w:i/>
          <w:iCs/>
          <w:sz w:val="18"/>
          <w:szCs w:val="18"/>
          <w:shd w:val="clear" w:color="auto" w:fill="FFFFFF"/>
        </w:rPr>
        <w:t>no.</w:t>
      </w:r>
      <w:r w:rsidRPr="00515315">
        <w:rPr>
          <w:rFonts w:ascii="Arial" w:hAnsi="Arial" w:cs="Arial"/>
          <w:i/>
          <w:iCs/>
          <w:sz w:val="18"/>
          <w:szCs w:val="18"/>
          <w:shd w:val="clear" w:color="auto" w:fill="FFFFFF"/>
        </w:rPr>
        <w:t> </w:t>
      </w:r>
      <w:hyperlink r:id="rId11" w:anchor="{%22appno%22:[%2239954/08%22]}" w:tgtFrame="_blank" w:history="1">
        <w:r w:rsidRPr="00515315">
          <w:rPr>
            <w:rStyle w:val="Hyperlink"/>
            <w:rFonts w:ascii="GHEA Grapalat" w:eastAsia="Calibri" w:hAnsi="GHEA Grapalat" w:cs="Arial"/>
            <w:sz w:val="18"/>
            <w:szCs w:val="18"/>
            <w:shd w:val="clear" w:color="auto" w:fill="FFFFFF"/>
          </w:rPr>
          <w:t>39954/08</w:t>
        </w:r>
      </w:hyperlink>
      <w:r w:rsidRPr="00515315">
        <w:rPr>
          <w:rFonts w:ascii="GHEA Grapalat" w:hAnsi="GHEA Grapalat"/>
          <w:sz w:val="18"/>
          <w:szCs w:val="18"/>
        </w:rPr>
        <w:t>)</w:t>
      </w:r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rPr>
          <w:rFonts w:ascii="GHEA Grapalat" w:hAnsi="GHEA Grapalat"/>
          <w:sz w:val="18"/>
          <w:szCs w:val="18"/>
        </w:rPr>
        <w:t>.</w:t>
      </w:r>
      <w:r>
        <w:t xml:space="preserve"> </w:t>
      </w:r>
      <w:hyperlink r:id="rId12" w:anchor="{%22dmdocnumber%22:[%22900156%22],%22itemid%22:[%22001-109034%22]}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https://hudoc.echr.coe.int/eng#{%22dmdocnumber%22:[%22900156%22],%22itemid%22:[%22001-109034%22]}</w:t>
        </w:r>
      </w:hyperlink>
      <w:r w:rsidRPr="00515315">
        <w:rPr>
          <w:rFonts w:ascii="GHEA Grapalat" w:hAnsi="GHEA Grapalat"/>
          <w:sz w:val="18"/>
          <w:szCs w:val="18"/>
        </w:rPr>
        <w:t xml:space="preserve">) </w:t>
      </w:r>
      <w:r w:rsidRPr="00515315">
        <w:rPr>
          <w:rFonts w:ascii="GHEA Grapalat" w:hAnsi="GHEA Grapalat" w:cs="Arial"/>
          <w:bCs/>
          <w:sz w:val="18"/>
          <w:szCs w:val="18"/>
          <w:shd w:val="clear" w:color="auto" w:fill="FFFFFF"/>
        </w:rPr>
        <w:t xml:space="preserve">, 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CASE OF</w:t>
      </w:r>
      <w:r w:rsidRPr="00515315">
        <w:rPr>
          <w:rStyle w:val="s7d2086b4"/>
          <w:rFonts w:ascii="Arial" w:hAnsi="Arial" w:cs="Arial"/>
          <w:bCs/>
          <w:sz w:val="18"/>
          <w:szCs w:val="18"/>
          <w:shd w:val="clear" w:color="auto" w:fill="FFFFFF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VON HANNOVER v.</w:t>
      </w:r>
      <w:r w:rsidRPr="00515315">
        <w:rPr>
          <w:rStyle w:val="s7d2086b4"/>
          <w:rFonts w:ascii="Arial" w:hAnsi="Arial" w:cs="Arial"/>
          <w:bCs/>
          <w:sz w:val="18"/>
          <w:szCs w:val="18"/>
          <w:shd w:val="clear" w:color="auto" w:fill="FFFFFF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>GERMANY (</w:t>
      </w:r>
      <w:r w:rsidRPr="00515315">
        <w:rPr>
          <w:rStyle w:val="s6b621b36"/>
          <w:rFonts w:ascii="GHEA Grapalat" w:eastAsia="Calibri" w:hAnsi="GHEA Grapalat" w:cs="Arial"/>
          <w:i/>
          <w:iCs/>
          <w:sz w:val="18"/>
          <w:szCs w:val="18"/>
          <w:shd w:val="clear" w:color="auto" w:fill="FFFFFF"/>
        </w:rPr>
        <w:t>nos.</w:t>
      </w:r>
      <w:r w:rsidRPr="00515315">
        <w:rPr>
          <w:rStyle w:val="s6b621b36"/>
          <w:rFonts w:ascii="Arial" w:eastAsia="Calibri" w:hAnsi="Arial" w:cs="Arial"/>
          <w:i/>
          <w:iCs/>
          <w:sz w:val="18"/>
          <w:szCs w:val="18"/>
          <w:shd w:val="clear" w:color="auto" w:fill="FFFFFF"/>
        </w:rPr>
        <w:t> </w:t>
      </w:r>
      <w:hyperlink r:id="rId13" w:anchor="{%22appno%22:[%2240660/08%22]}" w:tgtFrame="_blank" w:history="1">
        <w:r w:rsidRPr="00515315">
          <w:rPr>
            <w:rStyle w:val="Hyperlink"/>
            <w:rFonts w:ascii="GHEA Grapalat" w:eastAsia="Calibri" w:hAnsi="GHEA Grapalat" w:cs="Arial"/>
            <w:sz w:val="18"/>
            <w:szCs w:val="18"/>
          </w:rPr>
          <w:t>40660/08</w:t>
        </w:r>
      </w:hyperlink>
      <w:r w:rsidRPr="00515315">
        <w:rPr>
          <w:rStyle w:val="s6b621b36"/>
          <w:rFonts w:ascii="Arial" w:eastAsia="Calibri" w:hAnsi="Arial" w:cs="Arial"/>
          <w:i/>
          <w:iCs/>
          <w:sz w:val="18"/>
          <w:szCs w:val="18"/>
          <w:shd w:val="clear" w:color="auto" w:fill="FFFFFF"/>
        </w:rPr>
        <w:t> </w:t>
      </w:r>
      <w:r w:rsidRPr="00515315">
        <w:rPr>
          <w:rStyle w:val="s6b621b36"/>
          <w:rFonts w:ascii="GHEA Grapalat" w:eastAsia="Calibri" w:hAnsi="GHEA Grapalat" w:cs="Arial"/>
          <w:i/>
          <w:iCs/>
          <w:sz w:val="18"/>
          <w:szCs w:val="18"/>
          <w:shd w:val="clear" w:color="auto" w:fill="FFFFFF"/>
        </w:rPr>
        <w:t>and</w:t>
      </w:r>
      <w:r w:rsidRPr="00515315">
        <w:rPr>
          <w:rStyle w:val="s6b621b36"/>
          <w:rFonts w:ascii="Arial" w:eastAsia="Calibri" w:hAnsi="Arial" w:cs="Arial"/>
          <w:i/>
          <w:iCs/>
          <w:sz w:val="18"/>
          <w:szCs w:val="18"/>
          <w:shd w:val="clear" w:color="auto" w:fill="FFFFFF"/>
        </w:rPr>
        <w:t> </w:t>
      </w:r>
      <w:hyperlink r:id="rId14" w:anchor="{%22appno%22:[%2260641/08%22]}" w:tgtFrame="_blank" w:history="1">
        <w:r w:rsidRPr="00515315">
          <w:rPr>
            <w:rStyle w:val="Hyperlink"/>
            <w:rFonts w:ascii="GHEA Grapalat" w:eastAsia="Calibri" w:hAnsi="GHEA Grapalat" w:cs="Arial"/>
            <w:sz w:val="18"/>
            <w:szCs w:val="18"/>
          </w:rPr>
          <w:t>60641/08</w:t>
        </w:r>
      </w:hyperlink>
      <w:r w:rsidRPr="00515315">
        <w:rPr>
          <w:rStyle w:val="s6b621b36"/>
          <w:rFonts w:ascii="GHEA Grapalat" w:eastAsia="Calibri" w:hAnsi="GHEA Grapalat" w:cs="Arial"/>
          <w:i/>
          <w:iCs/>
          <w:sz w:val="18"/>
          <w:szCs w:val="18"/>
          <w:shd w:val="clear" w:color="auto" w:fill="FFFFFF"/>
        </w:rPr>
        <w:t>)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rPr>
          <w:rFonts w:ascii="GHEA Grapalat" w:hAnsi="GHEA Grapalat"/>
          <w:sz w:val="18"/>
          <w:szCs w:val="18"/>
        </w:rPr>
        <w:t>.</w:t>
      </w:r>
      <w:r>
        <w:t xml:space="preserve"> </w:t>
      </w:r>
      <w:hyperlink r:id="rId15" w:anchor="{%22dmdocnumber%22:[%22900154%22],%22itemid%22:[%22001-109029%22]}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https://hudoc.echr.coe.int/eng#{%22dmdocnumber%22:[%22900154%22],%22itemid%22:[%22001-109029%22]}</w:t>
        </w:r>
      </w:hyperlink>
      <w:r>
        <w:rPr>
          <w:rFonts w:ascii="GHEA Grapalat" w:hAnsi="GHEA Grapalat"/>
          <w:sz w:val="18"/>
          <w:szCs w:val="18"/>
        </w:rPr>
        <w:t>)</w:t>
      </w:r>
      <w:r w:rsidRPr="00515315">
        <w:rPr>
          <w:rStyle w:val="s7d2086b4"/>
          <w:rFonts w:ascii="GHEA Grapalat" w:hAnsi="GHEA Grapalat" w:cs="Arial"/>
          <w:bCs/>
          <w:sz w:val="18"/>
          <w:szCs w:val="18"/>
          <w:shd w:val="clear" w:color="auto" w:fill="FFFFFF"/>
        </w:rPr>
        <w:t xml:space="preserve">, </w:t>
      </w:r>
      <w:r w:rsidRPr="00515315">
        <w:rPr>
          <w:rFonts w:ascii="GHEA Grapalat" w:hAnsi="GHEA Grapalat"/>
          <w:sz w:val="18"/>
          <w:szCs w:val="18"/>
        </w:rPr>
        <w:t>Protection of reputation, ECHR  case  law factsheet (</w:t>
      </w:r>
      <w:hyperlink r:id="rId16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https://www.echr.coe.int/Documents/FS_Reputation_ENG.pdf</w:t>
        </w:r>
      </w:hyperlink>
      <w:r w:rsidRPr="00515315">
        <w:rPr>
          <w:rFonts w:ascii="GHEA Grapalat" w:hAnsi="GHEA Grapalat"/>
          <w:sz w:val="18"/>
          <w:szCs w:val="18"/>
        </w:rPr>
        <w:t xml:space="preserve">), </w:t>
      </w:r>
      <w:proofErr w:type="spellStart"/>
      <w:r w:rsidRPr="00515315">
        <w:rPr>
          <w:rFonts w:ascii="GHEA Grapalat" w:hAnsi="GHEA Grapalat"/>
          <w:sz w:val="18"/>
          <w:szCs w:val="18"/>
        </w:rPr>
        <w:t>Ojala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and </w:t>
      </w:r>
      <w:proofErr w:type="spellStart"/>
      <w:r w:rsidRPr="00515315">
        <w:rPr>
          <w:rFonts w:ascii="GHEA Grapalat" w:hAnsi="GHEA Grapalat"/>
          <w:sz w:val="18"/>
          <w:szCs w:val="18"/>
        </w:rPr>
        <w:t>Etukeno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Oy v. Finland and </w:t>
      </w:r>
      <w:proofErr w:type="spellStart"/>
      <w:r w:rsidRPr="00515315">
        <w:rPr>
          <w:rFonts w:ascii="GHEA Grapalat" w:hAnsi="GHEA Grapalat"/>
          <w:sz w:val="18"/>
          <w:szCs w:val="18"/>
        </w:rPr>
        <w:t>Ruusunen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v. Finland (</w:t>
      </w:r>
      <w:hyperlink r:id="rId17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https://www.echr.coe.int/Documents/FS_Reputation_ENG.pdf</w:t>
        </w:r>
      </w:hyperlink>
      <w:r w:rsidRPr="00515315">
        <w:rPr>
          <w:rFonts w:ascii="GHEA Grapalat" w:hAnsi="GHEA Grapalat"/>
          <w:sz w:val="18"/>
          <w:szCs w:val="18"/>
        </w:rPr>
        <w:t xml:space="preserve">) </w:t>
      </w:r>
      <w:r w:rsidRPr="00515315">
        <w:rPr>
          <w:rFonts w:ascii="GHEA Grapalat" w:hAnsi="GHEA Grapalat" w:cs="Arial"/>
          <w:bCs/>
          <w:sz w:val="18"/>
          <w:szCs w:val="18"/>
          <w:shd w:val="clear" w:color="auto" w:fill="FFFFFF"/>
        </w:rPr>
        <w:t xml:space="preserve">, </w:t>
      </w:r>
      <w:proofErr w:type="spellStart"/>
      <w:r w:rsidRPr="00515315">
        <w:rPr>
          <w:rFonts w:ascii="GHEA Grapalat" w:hAnsi="GHEA Grapalat"/>
          <w:sz w:val="18"/>
          <w:szCs w:val="18"/>
        </w:rPr>
        <w:t>Leempoel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&amp; S.A. ED. </w:t>
      </w:r>
      <w:proofErr w:type="spellStart"/>
      <w:r w:rsidRPr="00515315">
        <w:rPr>
          <w:rFonts w:ascii="GHEA Grapalat" w:hAnsi="GHEA Grapalat"/>
          <w:sz w:val="18"/>
          <w:szCs w:val="18"/>
        </w:rPr>
        <w:t>Ciné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Revue v. Belgium (no. 64772/01,</w:t>
      </w:r>
      <w:r>
        <w:rPr>
          <w:rFonts w:ascii="GHEA Grapalat" w:hAnsi="GHEA Grapalat"/>
          <w:sz w:val="18"/>
          <w:szCs w:val="18"/>
        </w:rPr>
        <w:t xml:space="preserve">հասանելի է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rPr>
          <w:rFonts w:ascii="GHEA Grapalat" w:hAnsi="GHEA Grapalat"/>
          <w:sz w:val="18"/>
          <w:szCs w:val="18"/>
        </w:rPr>
        <w:t>.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hyperlink r:id="rId18" w:anchor="{%22itemid%22:[%22001-77921%22]}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https://hudoc.echr.coe.int/fre#{%22itemid%22:[%22001-77921%22]}</w:t>
        </w:r>
      </w:hyperlink>
      <w:r w:rsidRPr="00515315">
        <w:rPr>
          <w:rFonts w:ascii="GHEA Grapalat" w:hAnsi="GHEA Grapalat"/>
          <w:sz w:val="18"/>
          <w:szCs w:val="18"/>
        </w:rPr>
        <w:t xml:space="preserve"> )Handbook on CASE LAW OF THE EUROPEAN COURT OF HUMAN RIGHTS CONCERNING THE PROTECTION OF PERSONAL DATA  </w:t>
      </w:r>
      <w:proofErr w:type="spellStart"/>
      <w:r>
        <w:rPr>
          <w:rFonts w:ascii="GHEA Grapalat" w:hAnsi="GHEA Grapalat"/>
          <w:sz w:val="18"/>
          <w:szCs w:val="18"/>
        </w:rPr>
        <w:t>էջեր</w:t>
      </w:r>
      <w:proofErr w:type="spellEnd"/>
      <w:r w:rsidRPr="00515315">
        <w:rPr>
          <w:rFonts w:ascii="GHEA Grapalat" w:hAnsi="GHEA Grapalat"/>
          <w:sz w:val="18"/>
          <w:szCs w:val="18"/>
        </w:rPr>
        <w:t>. 95,105, 109,172,175,182,214 (</w:t>
      </w:r>
      <w:hyperlink r:id="rId19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https://rm.coe.int/t-pd-2018-15-case-law-on-data-protection-may2018-en/16808b2d36</w:t>
        </w:r>
      </w:hyperlink>
      <w:r w:rsidRPr="00515315">
        <w:rPr>
          <w:rFonts w:ascii="GHEA Grapalat" w:hAnsi="GHEA Grapalat"/>
          <w:sz w:val="18"/>
          <w:szCs w:val="18"/>
        </w:rPr>
        <w:t xml:space="preserve">) Guide on Article 10 of the European Convention on Human Rights, </w:t>
      </w:r>
      <w:proofErr w:type="spellStart"/>
      <w:r>
        <w:rPr>
          <w:rFonts w:ascii="GHEA Grapalat" w:hAnsi="GHEA Grapalat"/>
          <w:sz w:val="18"/>
          <w:szCs w:val="18"/>
        </w:rPr>
        <w:t>էջեր</w:t>
      </w:r>
      <w:proofErr w:type="spellEnd"/>
      <w:r>
        <w:rPr>
          <w:rFonts w:ascii="GHEA Grapalat" w:hAnsi="GHEA Grapalat"/>
          <w:sz w:val="18"/>
          <w:szCs w:val="18"/>
        </w:rPr>
        <w:t xml:space="preserve">՝ </w:t>
      </w:r>
      <w:r w:rsidRPr="00515315">
        <w:rPr>
          <w:rFonts w:ascii="GHEA Grapalat" w:hAnsi="GHEA Grapalat"/>
          <w:sz w:val="18"/>
          <w:szCs w:val="18"/>
        </w:rPr>
        <w:t>31, 33, 36, 43-44, 79, 83 (</w:t>
      </w:r>
      <w:hyperlink r:id="rId20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https://www.echr.coe.int/Documents/Guide_Art_10_ENG.pdf</w:t>
        </w:r>
      </w:hyperlink>
      <w:r w:rsidRPr="00515315">
        <w:rPr>
          <w:rFonts w:ascii="GHEA Grapalat" w:hAnsi="GHEA Grapalat"/>
          <w:sz w:val="18"/>
          <w:szCs w:val="18"/>
        </w:rPr>
        <w:t xml:space="preserve">) , Guide on Article 8 of the European Convention on Human Rights, </w:t>
      </w:r>
      <w:proofErr w:type="spellStart"/>
      <w:r>
        <w:rPr>
          <w:rFonts w:ascii="GHEA Grapalat" w:hAnsi="GHEA Grapalat"/>
          <w:sz w:val="18"/>
          <w:szCs w:val="18"/>
        </w:rPr>
        <w:t>էջեր</w:t>
      </w:r>
      <w:proofErr w:type="spellEnd"/>
      <w:r w:rsidRPr="00515315">
        <w:rPr>
          <w:rFonts w:ascii="GHEA Grapalat" w:hAnsi="GHEA Grapalat"/>
          <w:sz w:val="18"/>
          <w:szCs w:val="18"/>
        </w:rPr>
        <w:t xml:space="preserve"> 6-18, 41</w:t>
      </w:r>
      <w:r>
        <w:rPr>
          <w:rFonts w:ascii="GHEA Grapalat" w:hAnsi="GHEA Grapalat"/>
          <w:sz w:val="18"/>
          <w:szCs w:val="18"/>
        </w:rPr>
        <w:t xml:space="preserve">,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rPr>
          <w:rFonts w:ascii="GHEA Grapalat" w:hAnsi="GHEA Grapalat"/>
          <w:sz w:val="18"/>
          <w:szCs w:val="18"/>
        </w:rPr>
        <w:t>.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hyperlink r:id="rId21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https://www.echr.coe.int/Documents/Guide_Art_8_ENG.pdf</w:t>
        </w:r>
      </w:hyperlink>
      <w:r w:rsidRPr="00515315">
        <w:rPr>
          <w:rFonts w:ascii="GHEA Grapalat" w:hAnsi="GHEA Grapalat"/>
          <w:sz w:val="18"/>
          <w:szCs w:val="18"/>
        </w:rPr>
        <w:t xml:space="preserve"> </w:t>
      </w:r>
      <w:r w:rsidRPr="00515315">
        <w:rPr>
          <w:rStyle w:val="s7d2086b4"/>
          <w:rFonts w:ascii="GHEA Grapalat" w:hAnsi="GHEA Grapalat" w:cs="Arial"/>
          <w:bCs/>
          <w:sz w:val="18"/>
          <w:szCs w:val="18"/>
        </w:rPr>
        <w:t>, CASE OF</w:t>
      </w:r>
      <w:r w:rsidRPr="00515315">
        <w:rPr>
          <w:rStyle w:val="s7d2086b4"/>
          <w:rFonts w:ascii="Arial" w:hAnsi="Arial" w:cs="Arial"/>
          <w:bCs/>
          <w:sz w:val="18"/>
          <w:szCs w:val="18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</w:rPr>
        <w:t>EGILL</w:t>
      </w:r>
      <w:r w:rsidRPr="00515315">
        <w:rPr>
          <w:rStyle w:val="s7d2086b4"/>
          <w:rFonts w:ascii="Arial" w:hAnsi="Arial" w:cs="Arial"/>
          <w:bCs/>
          <w:sz w:val="18"/>
          <w:szCs w:val="18"/>
        </w:rPr>
        <w:t> </w:t>
      </w:r>
      <w:r w:rsidRPr="00515315">
        <w:rPr>
          <w:rStyle w:val="s7d2086b4"/>
          <w:rFonts w:ascii="GHEA Grapalat" w:hAnsi="GHEA Grapalat" w:cs="Arial"/>
          <w:bCs/>
          <w:sz w:val="18"/>
          <w:szCs w:val="18"/>
        </w:rPr>
        <w:t>EINARSSON v. ICELAND</w:t>
      </w:r>
      <w:r w:rsidRPr="00515315">
        <w:rPr>
          <w:rFonts w:ascii="GHEA Grapalat" w:hAnsi="GHEA Grapalat" w:cs="Arial"/>
          <w:sz w:val="18"/>
          <w:szCs w:val="18"/>
        </w:rPr>
        <w:t xml:space="preserve"> </w:t>
      </w:r>
      <w:r w:rsidRPr="00515315">
        <w:rPr>
          <w:rStyle w:val="s6b621b36"/>
          <w:rFonts w:ascii="GHEA Grapalat" w:eastAsia="Calibri" w:hAnsi="GHEA Grapalat" w:cs="Arial"/>
          <w:i/>
          <w:iCs/>
          <w:sz w:val="18"/>
          <w:szCs w:val="18"/>
        </w:rPr>
        <w:t>(no.</w:t>
      </w:r>
      <w:r w:rsidRPr="00515315">
        <w:rPr>
          <w:rStyle w:val="s6b621b36"/>
          <w:rFonts w:ascii="Arial" w:eastAsia="Calibri" w:hAnsi="Arial" w:cs="Arial"/>
          <w:i/>
          <w:iCs/>
          <w:sz w:val="18"/>
          <w:szCs w:val="18"/>
        </w:rPr>
        <w:t> </w:t>
      </w:r>
      <w:hyperlink r:id="rId22" w:anchor="{%22appno%22:[%2224703/15%22]}" w:tgtFrame="_blank" w:history="1">
        <w:r w:rsidRPr="00515315">
          <w:rPr>
            <w:rStyle w:val="Hyperlink"/>
            <w:rFonts w:ascii="GHEA Grapalat" w:eastAsia="Calibri" w:hAnsi="GHEA Grapalat" w:cs="Arial"/>
            <w:sz w:val="18"/>
            <w:szCs w:val="18"/>
          </w:rPr>
          <w:t>24703/15</w:t>
        </w:r>
      </w:hyperlink>
      <w:r w:rsidRPr="00515315">
        <w:rPr>
          <w:rStyle w:val="s6b621b36"/>
          <w:rFonts w:ascii="GHEA Grapalat" w:eastAsia="Calibri" w:hAnsi="GHEA Grapalat" w:cs="Arial"/>
          <w:i/>
          <w:iCs/>
          <w:sz w:val="18"/>
          <w:szCs w:val="18"/>
        </w:rPr>
        <w:t xml:space="preserve">)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t xml:space="preserve">. </w:t>
      </w:r>
      <w:hyperlink r:id="rId23" w:anchor="{%22itemid%22:[%22001-178362%22]}" w:history="1">
        <w:r w:rsidRPr="00515315">
          <w:rPr>
            <w:rStyle w:val="Hyperlink"/>
            <w:rFonts w:ascii="GHEA Grapalat" w:eastAsia="Calibri" w:hAnsi="GHEA Grapalat" w:cs="Arial"/>
            <w:sz w:val="18"/>
            <w:szCs w:val="18"/>
          </w:rPr>
          <w:t>https://hudoc.echr.coe.int/eng#{%22itemid%22:[%22001-178362%22]}</w:t>
        </w:r>
      </w:hyperlink>
      <w:r w:rsidRPr="00515315">
        <w:rPr>
          <w:rStyle w:val="s6b621b36"/>
          <w:rFonts w:ascii="GHEA Grapalat" w:eastAsia="Calibri" w:hAnsi="GHEA Grapalat" w:cs="Arial"/>
          <w:i/>
          <w:iCs/>
          <w:sz w:val="18"/>
          <w:szCs w:val="18"/>
        </w:rPr>
        <w:t xml:space="preserve"> </w:t>
      </w:r>
      <w:r w:rsidRPr="00515315">
        <w:rPr>
          <w:rFonts w:ascii="GHEA Grapalat" w:hAnsi="GHEA Grapalat" w:cs="Arial"/>
          <w:sz w:val="18"/>
          <w:szCs w:val="18"/>
        </w:rPr>
        <w:t xml:space="preserve"> </w:t>
      </w:r>
      <w:r w:rsidRPr="00515315">
        <w:rPr>
          <w:rFonts w:ascii="GHEA Grapalat" w:hAnsi="GHEA Grapalat"/>
          <w:sz w:val="18"/>
          <w:szCs w:val="18"/>
        </w:rPr>
        <w:t xml:space="preserve">ALKAYA v. TURKEY (no. 42811/06)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rPr>
          <w:rFonts w:ascii="GHEA Grapalat" w:hAnsi="GHEA Grapalat"/>
          <w:sz w:val="18"/>
          <w:szCs w:val="18"/>
        </w:rPr>
        <w:t>.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hyperlink r:id="rId24" w:anchor="{%22itemid%22:[%22001-114030%22]}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https://hudoc.echr.coe.int/eng#{%22itemid%22:[%22001-114030%22]}</w:t>
        </w:r>
      </w:hyperlink>
      <w:r w:rsidRPr="00515315">
        <w:rPr>
          <w:rFonts w:ascii="GHEA Grapalat" w:hAnsi="GHEA Grapalat"/>
          <w:sz w:val="18"/>
          <w:szCs w:val="18"/>
        </w:rPr>
        <w:t xml:space="preserve"> , </w:t>
      </w:r>
      <w:hyperlink r:id="rId25" w:history="1">
        <w:r w:rsidRPr="00515315">
          <w:rPr>
            <w:rStyle w:val="Hyperlink"/>
            <w:rFonts w:ascii="GHEA Grapalat" w:eastAsia="Calibri" w:hAnsi="GHEA Grapalat"/>
            <w:sz w:val="18"/>
            <w:szCs w:val="18"/>
          </w:rPr>
          <w:t>https://rm.coe.int/t-pd-2018-15-case-law-on-data-protection-may2018-en/16808b2d36</w:t>
        </w:r>
      </w:hyperlink>
      <w:r w:rsidRPr="00515315">
        <w:rPr>
          <w:rFonts w:ascii="GHEA Grapalat" w:hAnsi="GHEA Grapalat"/>
          <w:sz w:val="18"/>
          <w:szCs w:val="18"/>
        </w:rPr>
        <w:t>)</w:t>
      </w:r>
    </w:p>
    <w:p w:rsidR="002C069D" w:rsidRPr="002C069D" w:rsidRDefault="002C069D" w:rsidP="002C069D">
      <w:pPr>
        <w:rPr>
          <w:rFonts w:ascii="GHEA Grapalat" w:hAnsi="GHEA Grapalat" w:cs="Arial"/>
          <w:bCs/>
          <w:sz w:val="18"/>
          <w:szCs w:val="18"/>
          <w:shd w:val="clear" w:color="auto" w:fill="FFFFFF"/>
          <w:lang w:val="en-US"/>
        </w:rPr>
      </w:pPr>
      <w:r w:rsidRPr="002C069D">
        <w:rPr>
          <w:rFonts w:ascii="GHEA Grapalat" w:hAnsi="GHEA Grapalat" w:cs="Arial"/>
          <w:bCs/>
          <w:sz w:val="18"/>
          <w:szCs w:val="18"/>
          <w:shd w:val="clear" w:color="auto" w:fill="FFFFFF"/>
          <w:lang w:val="en-US"/>
        </w:rPr>
        <w:t xml:space="preserve"> </w:t>
      </w:r>
    </w:p>
    <w:p w:rsidR="002C069D" w:rsidRPr="003067E8" w:rsidRDefault="002C069D" w:rsidP="002C069D">
      <w:pPr>
        <w:pStyle w:val="FootnoteText"/>
      </w:pPr>
    </w:p>
  </w:footnote>
  <w:footnote w:id="6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75674">
        <w:rPr>
          <w:rFonts w:ascii="GHEA Grapalat" w:hAnsi="GHEA Grapalat"/>
          <w:sz w:val="18"/>
          <w:szCs w:val="18"/>
        </w:rPr>
        <w:t>Տես</w:t>
      </w:r>
      <w:proofErr w:type="spellEnd"/>
      <w:r w:rsidRPr="00675674">
        <w:rPr>
          <w:rFonts w:ascii="GHEA Grapalat" w:hAnsi="GHEA Grapalat"/>
          <w:sz w:val="18"/>
          <w:szCs w:val="18"/>
        </w:rPr>
        <w:t xml:space="preserve"> </w:t>
      </w:r>
      <w:r w:rsidRPr="00675674">
        <w:rPr>
          <w:rFonts w:ascii="GHEA Grapalat" w:hAnsi="GHEA Grapalat"/>
          <w:bCs/>
          <w:color w:val="000000"/>
          <w:sz w:val="18"/>
          <w:szCs w:val="18"/>
          <w:shd w:val="clear" w:color="auto" w:fill="FFFFFF"/>
        </w:rPr>
        <w:t xml:space="preserve">ՍԴՈ-278, ՍԴՈ-997, ՍԴՈ-1010, ՍԴՈ-1234, ՍԴՈ 1488, ՍԴՈ 1522, ՍԴՈ-1546 </w:t>
      </w:r>
      <w:proofErr w:type="spellStart"/>
      <w:r w:rsidRPr="00675674">
        <w:rPr>
          <w:rFonts w:ascii="GHEA Grapalat" w:hAnsi="GHEA Grapalat"/>
          <w:bCs/>
          <w:color w:val="000000"/>
          <w:sz w:val="18"/>
          <w:szCs w:val="18"/>
          <w:shd w:val="clear" w:color="auto" w:fill="FFFFFF"/>
        </w:rPr>
        <w:t>որոշումները</w:t>
      </w:r>
      <w:proofErr w:type="spellEnd"/>
      <w:r w:rsidRPr="00675674">
        <w:rPr>
          <w:rFonts w:ascii="GHEA Grapalat" w:hAnsi="GHEA Grapalat"/>
          <w:bCs/>
          <w:color w:val="000000"/>
          <w:sz w:val="18"/>
          <w:szCs w:val="18"/>
          <w:shd w:val="clear" w:color="auto" w:fill="FFFFFF"/>
        </w:rPr>
        <w:t>:</w:t>
      </w:r>
    </w:p>
  </w:footnote>
  <w:footnote w:id="7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Տե´ս</w:t>
      </w:r>
      <w:proofErr w:type="spellEnd"/>
      <w:r>
        <w:rPr>
          <w:rFonts w:ascii="Sylfaen" w:hAnsi="Sylfaen"/>
        </w:rPr>
        <w:t xml:space="preserve"> </w:t>
      </w:r>
      <w:r>
        <w:t xml:space="preserve">ՍԴՈ -1522 </w:t>
      </w:r>
      <w:proofErr w:type="spellStart"/>
      <w:r>
        <w:rPr>
          <w:rFonts w:ascii="Sylfaen" w:hAnsi="Sylfaen"/>
        </w:rPr>
        <w:t>որոշումը</w:t>
      </w:r>
      <w:proofErr w:type="spellEnd"/>
      <w:r>
        <w:t xml:space="preserve">, </w:t>
      </w:r>
      <w:proofErr w:type="spellStart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Vaskrsić</w:t>
      </w:r>
      <w:proofErr w:type="spellEnd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v. Slovenia </w:t>
      </w:r>
      <w:proofErr w:type="spellStart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գործը</w:t>
      </w:r>
      <w:proofErr w:type="spellEnd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, April 25,2017, app. no. 31371/12,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GHEA Grapalat" w:hAnsi="GHEA Grapalat"/>
          <w:color w:val="000000"/>
          <w:spacing w:val="4"/>
          <w:shd w:val="clear" w:color="auto" w:fill="FFFFFF"/>
          <w:lang w:val="hy-AM"/>
        </w:rPr>
        <w:t>§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 Unicode" w:hAnsi="Arial Unicode" w:cs="Arial Unicode"/>
          <w:color w:val="000000"/>
          <w:sz w:val="21"/>
          <w:szCs w:val="21"/>
          <w:shd w:val="clear" w:color="auto" w:fill="FFFFFF"/>
        </w:rPr>
        <w:t>8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3.</w:t>
      </w:r>
    </w:p>
  </w:footnote>
  <w:footnote w:id="8">
    <w:p w:rsidR="002C069D" w:rsidRDefault="002C069D" w:rsidP="002C069D">
      <w:pPr>
        <w:pStyle w:val="s32b251d"/>
        <w:shd w:val="clear" w:color="auto" w:fill="FFFFFF"/>
        <w:spacing w:before="0" w:beforeAutospacing="0" w:after="0" w:afterAutospacing="0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E051A6">
        <w:rPr>
          <w:rFonts w:ascii="GHEA Grapalat" w:hAnsi="GHEA Grapalat"/>
          <w:sz w:val="18"/>
          <w:szCs w:val="18"/>
        </w:rPr>
        <w:t xml:space="preserve">Guide on Article 8 of the European Convention on Human Rights, </w:t>
      </w:r>
      <w:proofErr w:type="spellStart"/>
      <w:r>
        <w:rPr>
          <w:rFonts w:ascii="GHEA Grapalat" w:hAnsi="GHEA Grapalat"/>
          <w:sz w:val="18"/>
          <w:szCs w:val="18"/>
        </w:rPr>
        <w:t>էջեր</w:t>
      </w:r>
      <w:proofErr w:type="spellEnd"/>
      <w:r>
        <w:rPr>
          <w:rFonts w:ascii="GHEA Grapalat" w:hAnsi="GHEA Grapalat"/>
          <w:sz w:val="18"/>
          <w:szCs w:val="18"/>
        </w:rPr>
        <w:t xml:space="preserve"> 6-18, 41,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t xml:space="preserve">. </w:t>
      </w:r>
      <w:hyperlink r:id="rId26" w:history="1">
        <w:r w:rsidRPr="00E051A6">
          <w:rPr>
            <w:rStyle w:val="Hyperlink"/>
            <w:rFonts w:ascii="GHEA Grapalat" w:eastAsia="Calibri" w:hAnsi="GHEA Grapalat"/>
            <w:sz w:val="18"/>
            <w:szCs w:val="18"/>
          </w:rPr>
          <w:t>https://www.echr.coe.int/Documents/Guide_Art_8_ENG.pdf</w:t>
        </w:r>
      </w:hyperlink>
      <w:r w:rsidRPr="00E051A6">
        <w:rPr>
          <w:rFonts w:ascii="GHEA Grapalat" w:hAnsi="GHEA Grapalat"/>
          <w:sz w:val="18"/>
          <w:szCs w:val="18"/>
        </w:rPr>
        <w:t xml:space="preserve">, Guide on Article 10 of the European Convention on Human Rights, </w:t>
      </w:r>
      <w:proofErr w:type="spellStart"/>
      <w:r>
        <w:rPr>
          <w:rFonts w:ascii="GHEA Grapalat" w:hAnsi="GHEA Grapalat"/>
          <w:sz w:val="18"/>
          <w:szCs w:val="18"/>
        </w:rPr>
        <w:t>էջեր</w:t>
      </w:r>
      <w:proofErr w:type="spellEnd"/>
      <w:r w:rsidRPr="00E051A6">
        <w:rPr>
          <w:rFonts w:ascii="GHEA Grapalat" w:hAnsi="GHEA Grapalat"/>
          <w:sz w:val="18"/>
          <w:szCs w:val="18"/>
        </w:rPr>
        <w:t xml:space="preserve"> 18-24</w:t>
      </w:r>
      <w:r>
        <w:rPr>
          <w:rFonts w:ascii="GHEA Grapalat" w:hAnsi="GHEA Grapalat"/>
          <w:sz w:val="18"/>
          <w:szCs w:val="18"/>
        </w:rPr>
        <w:t xml:space="preserve">, </w:t>
      </w:r>
      <w:proofErr w:type="spellStart"/>
      <w:r>
        <w:rPr>
          <w:rFonts w:ascii="GHEA Grapalat" w:hAnsi="GHEA Grapalat"/>
          <w:sz w:val="18"/>
          <w:szCs w:val="18"/>
        </w:rPr>
        <w:t>հասանելի</w:t>
      </w:r>
      <w:proofErr w:type="spellEnd"/>
      <w:r>
        <w:rPr>
          <w:rFonts w:ascii="GHEA Grapalat" w:hAnsi="GHEA Grapalat"/>
          <w:sz w:val="18"/>
          <w:szCs w:val="18"/>
        </w:rPr>
        <w:t xml:space="preserve"> է</w:t>
      </w:r>
      <w:r w:rsidRPr="00515315"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հետևյալ</w:t>
      </w:r>
      <w:proofErr w:type="spellEnd"/>
      <w:r>
        <w:rPr>
          <w:rFonts w:ascii="GHEA Grapalat" w:hAnsi="GHEA Grapalat"/>
          <w:sz w:val="18"/>
          <w:szCs w:val="18"/>
        </w:rPr>
        <w:t xml:space="preserve"> </w:t>
      </w:r>
      <w:proofErr w:type="spellStart"/>
      <w:r>
        <w:rPr>
          <w:rFonts w:ascii="GHEA Grapalat" w:hAnsi="GHEA Grapalat"/>
          <w:sz w:val="18"/>
          <w:szCs w:val="18"/>
        </w:rPr>
        <w:t>հղումով</w:t>
      </w:r>
      <w:proofErr w:type="spellEnd"/>
      <w:r>
        <w:rPr>
          <w:rFonts w:ascii="GHEA Grapalat" w:hAnsi="GHEA Grapalat"/>
          <w:sz w:val="18"/>
          <w:szCs w:val="18"/>
        </w:rPr>
        <w:t xml:space="preserve">. </w:t>
      </w:r>
      <w:r w:rsidRPr="00E051A6">
        <w:rPr>
          <w:rFonts w:ascii="GHEA Grapalat" w:hAnsi="GHEA Grapalat"/>
          <w:sz w:val="18"/>
          <w:szCs w:val="18"/>
        </w:rPr>
        <w:t>(</w:t>
      </w:r>
      <w:hyperlink r:id="rId27" w:history="1">
        <w:r w:rsidRPr="00E051A6">
          <w:rPr>
            <w:rStyle w:val="Hyperlink"/>
            <w:rFonts w:ascii="GHEA Grapalat" w:eastAsia="Calibri" w:hAnsi="GHEA Grapalat"/>
            <w:sz w:val="18"/>
            <w:szCs w:val="18"/>
          </w:rPr>
          <w:t>https://www.echr.coe.int/Documents/Guide_Art_10_ENG.pdf</w:t>
        </w:r>
      </w:hyperlink>
      <w:r>
        <w:rPr>
          <w:rFonts w:ascii="GHEA Grapalat" w:hAnsi="GHEA Grapalat"/>
          <w:sz w:val="18"/>
          <w:szCs w:val="18"/>
        </w:rPr>
        <w:t>),</w:t>
      </w:r>
      <w:r w:rsidRPr="0048384A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color w:val="000000"/>
          <w:sz w:val="18"/>
          <w:szCs w:val="18"/>
          <w:shd w:val="clear" w:color="auto" w:fill="FFFFFF"/>
        </w:rPr>
        <w:t>Vaskrsić</w:t>
      </w:r>
      <w:proofErr w:type="spellEnd"/>
      <w:r w:rsidRPr="0048384A">
        <w:rPr>
          <w:rFonts w:ascii="GHEA Grapalat" w:hAnsi="GHEA Grapalat"/>
          <w:color w:val="000000"/>
          <w:sz w:val="18"/>
          <w:szCs w:val="18"/>
          <w:shd w:val="clear" w:color="auto" w:fill="FFFFFF"/>
        </w:rPr>
        <w:t xml:space="preserve"> v. Slovenia </w:t>
      </w:r>
      <w:proofErr w:type="spellStart"/>
      <w:r w:rsidRPr="0048384A">
        <w:rPr>
          <w:rFonts w:ascii="GHEA Grapalat" w:hAnsi="GHEA Grapalat"/>
          <w:color w:val="000000"/>
          <w:sz w:val="18"/>
          <w:szCs w:val="18"/>
          <w:shd w:val="clear" w:color="auto" w:fill="FFFFFF"/>
        </w:rPr>
        <w:t>գործը</w:t>
      </w:r>
      <w:proofErr w:type="spellEnd"/>
      <w:r w:rsidRPr="0048384A">
        <w:rPr>
          <w:rFonts w:ascii="GHEA Grapalat" w:hAnsi="GHEA Grapalat"/>
          <w:color w:val="000000"/>
          <w:sz w:val="18"/>
          <w:szCs w:val="18"/>
          <w:shd w:val="clear" w:color="auto" w:fill="FFFFFF"/>
        </w:rPr>
        <w:t>, April 25,2017, app. no. 31371/12,</w:t>
      </w:r>
      <w:r w:rsidRPr="0048384A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48384A">
        <w:rPr>
          <w:rFonts w:ascii="GHEA Grapalat" w:hAnsi="GHEA Grapalat"/>
          <w:color w:val="000000"/>
          <w:spacing w:val="4"/>
          <w:sz w:val="18"/>
          <w:szCs w:val="18"/>
          <w:shd w:val="clear" w:color="auto" w:fill="FFFFFF"/>
          <w:lang w:val="hy-AM"/>
        </w:rPr>
        <w:t>§</w:t>
      </w:r>
      <w:r w:rsidRPr="0048384A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Pr="0048384A">
        <w:rPr>
          <w:rFonts w:ascii="GHEA Grapalat" w:hAnsi="GHEA Grapalat" w:cs="Arial Unicode"/>
          <w:color w:val="000000"/>
          <w:sz w:val="18"/>
          <w:szCs w:val="18"/>
          <w:shd w:val="clear" w:color="auto" w:fill="FFFFFF"/>
        </w:rPr>
        <w:t>8</w:t>
      </w:r>
      <w:r w:rsidRPr="0048384A">
        <w:rPr>
          <w:rFonts w:ascii="GHEA Grapalat" w:hAnsi="GHEA Grapalat"/>
          <w:color w:val="000000"/>
          <w:sz w:val="18"/>
          <w:szCs w:val="18"/>
          <w:shd w:val="clear" w:color="auto" w:fill="FFFFFF"/>
        </w:rPr>
        <w:t>3.</w:t>
      </w:r>
    </w:p>
    <w:p w:rsidR="002C069D" w:rsidRPr="003067E8" w:rsidRDefault="002C069D" w:rsidP="002C069D">
      <w:pPr>
        <w:pStyle w:val="FootnoteText"/>
      </w:pPr>
    </w:p>
  </w:footnote>
  <w:footnote w:id="9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Տե՛</w:t>
      </w:r>
      <w:proofErr w:type="gramStart"/>
      <w:r>
        <w:rPr>
          <w:rFonts w:ascii="Sylfaen" w:hAnsi="Sylfaen"/>
        </w:rPr>
        <w:t>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proofErr w:type="gram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 xml:space="preserve">. </w:t>
      </w:r>
      <w:hyperlink r:id="rId28" w:history="1">
        <w:r w:rsidRPr="00EC0BC2">
          <w:rPr>
            <w:rStyle w:val="Hyperlink"/>
            <w:rFonts w:ascii="Sylfaen" w:hAnsi="Sylfaen"/>
          </w:rPr>
          <w:t>https://www.venice.coe.int/webforms/documents/default.aspx?pdffile=CDL-REF(2014)041-e</w:t>
        </w:r>
      </w:hyperlink>
    </w:p>
  </w:footnote>
  <w:footnote w:id="10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proofErr w:type="spellStart"/>
      <w:r>
        <w:rPr>
          <w:rFonts w:ascii="Sylfaen" w:hAnsi="Sylfaen"/>
        </w:rPr>
        <w:t>Տե՛</w:t>
      </w:r>
      <w:proofErr w:type="gramStart"/>
      <w:r>
        <w:rPr>
          <w:rFonts w:ascii="Sylfaen" w:hAnsi="Sylfaen"/>
        </w:rPr>
        <w:t>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proofErr w:type="gram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 xml:space="preserve">. </w:t>
      </w:r>
      <w:r>
        <w:t xml:space="preserve"> </w:t>
      </w:r>
      <w:hyperlink r:id="rId29" w:history="1">
        <w:r w:rsidRPr="00EC0BC2">
          <w:rPr>
            <w:rStyle w:val="Hyperlink"/>
            <w:rFonts w:ascii="Sylfaen" w:hAnsi="Sylfaen"/>
          </w:rPr>
          <w:t>https://www.venice.coe.int/webforms/documents/default.aspx?pdffile=CDL-REF(2017)034-e</w:t>
        </w:r>
      </w:hyperlink>
    </w:p>
  </w:footnote>
  <w:footnote w:id="11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Տե՛</w:t>
      </w:r>
      <w:proofErr w:type="gramStart"/>
      <w:r>
        <w:rPr>
          <w:rFonts w:ascii="Sylfaen" w:hAnsi="Sylfaen"/>
        </w:rPr>
        <w:t>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proofErr w:type="gram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 xml:space="preserve">. </w:t>
      </w:r>
      <w:hyperlink r:id="rId30" w:history="1">
        <w:r w:rsidRPr="00EC0BC2">
          <w:rPr>
            <w:rStyle w:val="Hyperlink"/>
            <w:rFonts w:ascii="Sylfaen" w:hAnsi="Sylfaen"/>
          </w:rPr>
          <w:t>https://vkksu.gov.ua/userfiles/doc/Law_on_Judiciary_and_Status_of_Judges_16%2007%202016_ENG.pdf</w:t>
        </w:r>
      </w:hyperlink>
    </w:p>
  </w:footnote>
  <w:footnote w:id="12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Տե՛</w:t>
      </w:r>
      <w:proofErr w:type="gramStart"/>
      <w:r>
        <w:rPr>
          <w:rFonts w:ascii="Sylfaen" w:hAnsi="Sylfaen"/>
        </w:rPr>
        <w:t>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proofErr w:type="gram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 xml:space="preserve">. </w:t>
      </w:r>
      <w:hyperlink r:id="rId31" w:history="1">
        <w:r w:rsidRPr="00EC0BC2">
          <w:rPr>
            <w:rStyle w:val="Hyperlink"/>
            <w:rFonts w:ascii="Sylfaen" w:hAnsi="Sylfaen"/>
          </w:rPr>
          <w:t>https://euralius.eu/index.php/en/library/albanian-legislation/send/90-institutions-combating-corruption-and-organized-crime/239-law-on-the-organization-and-functioning-of-institutions-for-combating-corruption-and-organized-crime-en</w:t>
        </w:r>
      </w:hyperlink>
    </w:p>
  </w:footnote>
  <w:footnote w:id="13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Տե՛</w:t>
      </w:r>
      <w:proofErr w:type="gramStart"/>
      <w:r>
        <w:rPr>
          <w:rFonts w:ascii="Sylfaen" w:hAnsi="Sylfaen"/>
        </w:rPr>
        <w:t>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proofErr w:type="gram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 xml:space="preserve">. </w:t>
      </w:r>
      <w:hyperlink r:id="rId32" w:history="1">
        <w:r w:rsidRPr="00EC0BC2">
          <w:rPr>
            <w:rStyle w:val="Hyperlink"/>
            <w:rFonts w:ascii="Sylfaen" w:hAnsi="Sylfaen"/>
          </w:rPr>
          <w:t>https://www.vtek.lt/index.php/en</w:t>
        </w:r>
      </w:hyperlink>
      <w:r w:rsidRPr="00EC0BC2">
        <w:rPr>
          <w:rFonts w:ascii="Sylfaen" w:hAnsi="Sylfaen"/>
        </w:rPr>
        <w:t xml:space="preserve">, </w:t>
      </w:r>
      <w:hyperlink r:id="rId33" w:history="1">
        <w:r w:rsidRPr="00EC0BC2">
          <w:rPr>
            <w:rStyle w:val="Hyperlink"/>
            <w:rFonts w:ascii="Sylfaen" w:hAnsi="Sylfaen"/>
          </w:rPr>
          <w:t>https://e-seimas.lrs.lt/portal/legalAct/lt/TAD/TAIS.338141?jfwid=-n126u3sdm</w:t>
        </w:r>
      </w:hyperlink>
    </w:p>
  </w:footnote>
  <w:footnote w:id="14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Տե՛</w:t>
      </w:r>
      <w:proofErr w:type="gramStart"/>
      <w:r>
        <w:rPr>
          <w:rFonts w:ascii="Sylfaen" w:hAnsi="Sylfaen"/>
        </w:rPr>
        <w:t>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proofErr w:type="gram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>.</w:t>
      </w:r>
      <w:r w:rsidRPr="00C87390">
        <w:rPr>
          <w:rFonts w:ascii="Sylfaen" w:hAnsi="Sylfaen"/>
        </w:rPr>
        <w:t xml:space="preserve"> </w:t>
      </w:r>
      <w:hyperlink r:id="rId34" w:history="1">
        <w:r w:rsidRPr="00EC0BC2">
          <w:rPr>
            <w:rStyle w:val="Hyperlink"/>
            <w:rFonts w:ascii="Sylfaen" w:hAnsi="Sylfaen"/>
          </w:rPr>
          <w:t>https://rm.coe.int/council-of-europe-opinion-on-the-rules-of-procedure-of-the-public-coun/1680722415</w:t>
        </w:r>
      </w:hyperlink>
    </w:p>
  </w:footnote>
  <w:footnote w:id="15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proofErr w:type="spellStart"/>
      <w:r>
        <w:rPr>
          <w:rFonts w:ascii="Sylfaen" w:hAnsi="Sylfaen"/>
        </w:rPr>
        <w:t>Տե՛ս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 xml:space="preserve">. </w:t>
      </w:r>
      <w:hyperlink r:id="rId35" w:history="1">
        <w:r w:rsidRPr="00EC0BC2">
          <w:rPr>
            <w:rStyle w:val="Hyperlink"/>
            <w:rFonts w:ascii="Sylfaen" w:hAnsi="Sylfaen"/>
          </w:rPr>
          <w:t>https://rm.coe.int/council-of-europe-opinion-on-the-rules-of-procedure-of-the-public-coun/1680722415</w:t>
        </w:r>
      </w:hyperlink>
      <w:r>
        <w:rPr>
          <w:rFonts w:ascii="Sylfaen" w:hAnsi="Sylfaen"/>
        </w:rPr>
        <w:t xml:space="preserve"> </w:t>
      </w:r>
    </w:p>
  </w:footnote>
  <w:footnote w:id="16">
    <w:p w:rsidR="002C069D" w:rsidRDefault="002C069D" w:rsidP="002C06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</w:rPr>
        <w:t>Տե՛ս</w:t>
      </w:r>
      <w:proofErr w:type="spellEnd"/>
      <w:r>
        <w:rPr>
          <w:rFonts w:ascii="Sylfaen" w:hAnsi="Sylfaen"/>
        </w:rPr>
        <w:t xml:space="preserve"> </w:t>
      </w:r>
      <w:r w:rsidRPr="00EC0BC2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հետևյալ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հղումով</w:t>
      </w:r>
      <w:proofErr w:type="spellEnd"/>
      <w:r>
        <w:rPr>
          <w:rFonts w:ascii="Sylfaen" w:hAnsi="Sylfaen"/>
        </w:rPr>
        <w:t xml:space="preserve">. </w:t>
      </w:r>
      <w:hyperlink r:id="rId36" w:history="1">
        <w:r w:rsidRPr="00EC0BC2">
          <w:rPr>
            <w:rStyle w:val="Hyperlink"/>
            <w:rFonts w:ascii="Sylfaen" w:hAnsi="Sylfaen"/>
          </w:rPr>
          <w:t>https://www.legislationline.org/download/id/7363/file/298_JUD_UKR_30June2017_en.pdf</w:t>
        </w:r>
      </w:hyperlink>
    </w:p>
  </w:footnote>
  <w:footnote w:id="17">
    <w:p w:rsidR="002C069D" w:rsidRPr="002C069D" w:rsidRDefault="002C069D" w:rsidP="002C069D">
      <w:pPr>
        <w:pStyle w:val="FootnoteText"/>
        <w:rPr>
          <w:rFonts w:ascii="GHEA Grapalat" w:hAnsi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Փորձագետների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դիրքորոշումը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հիմնված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է </w:t>
      </w:r>
      <w:proofErr w:type="spellStart"/>
      <w:r w:rsidRPr="0048384A">
        <w:rPr>
          <w:rFonts w:ascii="GHEA Grapalat" w:hAnsi="GHEA Grapalat"/>
          <w:sz w:val="18"/>
          <w:szCs w:val="18"/>
        </w:rPr>
        <w:t>հետևյալ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զեկույցների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և </w:t>
      </w:r>
      <w:proofErr w:type="spellStart"/>
      <w:r w:rsidRPr="0048384A">
        <w:rPr>
          <w:rFonts w:ascii="GHEA Grapalat" w:hAnsi="GHEA Grapalat"/>
          <w:sz w:val="18"/>
          <w:szCs w:val="18"/>
        </w:rPr>
        <w:t>դատական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նախադեպերի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հիման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վրա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. </w:t>
      </w:r>
      <w:r w:rsidRPr="002C069D">
        <w:rPr>
          <w:rFonts w:ascii="GHEA Grapalat" w:hAnsi="GHEA Grapalat"/>
          <w:color w:val="000000"/>
          <w:sz w:val="18"/>
          <w:szCs w:val="18"/>
        </w:rPr>
        <w:t xml:space="preserve">Report on Selection and Evaluation of Judges in Ukraine-EU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Pravo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Justice Project,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հասանելի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է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հետևյալ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հղումով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>. https://www.pravojustice.eu/storage/app/uploads/public/5c0/fcd/a31/5c0fcda3162ea473697034.pdf</w:t>
      </w:r>
    </w:p>
    <w:p w:rsidR="002C069D" w:rsidRDefault="002C069D" w:rsidP="002C069D">
      <w:pPr>
        <w:pStyle w:val="FootnoteText"/>
      </w:pPr>
      <w:proofErr w:type="spellStart"/>
      <w:r w:rsidRPr="0048384A">
        <w:rPr>
          <w:rFonts w:ascii="GHEA Grapalat" w:hAnsi="GHEA Grapalat"/>
          <w:sz w:val="18"/>
          <w:szCs w:val="18"/>
        </w:rPr>
        <w:t>Ozpinar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v Turkey, App. No. 20999/04, 19 October 2010</w:t>
      </w:r>
      <w:r w:rsidRPr="002C069D">
        <w:rPr>
          <w:rFonts w:ascii="GHEA Grapalat" w:hAnsi="GHEA Grapalat"/>
          <w:color w:val="000000"/>
          <w:sz w:val="18"/>
          <w:szCs w:val="18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հասանելի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է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հետևյալ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հղումով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. </w:t>
      </w:r>
      <w:hyperlink r:id="rId37" w:history="1">
        <w:r w:rsidRPr="0048384A">
          <w:rPr>
            <w:rStyle w:val="Hyperlink"/>
            <w:rFonts w:ascii="GHEA Grapalat" w:hAnsi="GHEA Grapalat"/>
            <w:sz w:val="18"/>
            <w:szCs w:val="18"/>
          </w:rPr>
          <w:t>http://hudoc.echr.coe.int/eng?i=001-101212</w:t>
        </w:r>
      </w:hyperlink>
      <w:r w:rsidRPr="0048384A">
        <w:rPr>
          <w:rFonts w:ascii="GHEA Grapalat" w:hAnsi="GHEA Grapalat"/>
          <w:sz w:val="18"/>
          <w:szCs w:val="18"/>
        </w:rPr>
        <w:t xml:space="preserve">,  </w:t>
      </w:r>
      <w:r w:rsidRPr="002C069D">
        <w:rPr>
          <w:rFonts w:ascii="GHEA Grapalat" w:hAnsi="GHEA Grapalat"/>
          <w:color w:val="000000"/>
          <w:sz w:val="18"/>
          <w:szCs w:val="18"/>
        </w:rPr>
        <w:t xml:space="preserve">CDL-AD(2016)036 Amicus Curiae Brief for the Constitutional Court of Albania on the Law on the Transitional Re-Evaluation of Judges and Prosecutors (the vetting law),para. </w:t>
      </w:r>
      <w:proofErr w:type="gramStart"/>
      <w:r w:rsidRPr="002C069D">
        <w:rPr>
          <w:rFonts w:ascii="GHEA Grapalat" w:hAnsi="GHEA Grapalat"/>
          <w:color w:val="000000"/>
          <w:sz w:val="18"/>
          <w:szCs w:val="18"/>
        </w:rPr>
        <w:t>58 ,</w:t>
      </w:r>
      <w:proofErr w:type="gramEnd"/>
      <w:r w:rsidRPr="002C069D">
        <w:rPr>
          <w:rFonts w:ascii="GHEA Grapalat" w:hAnsi="GHEA Grapalat"/>
          <w:color w:val="000000"/>
          <w:sz w:val="18"/>
          <w:szCs w:val="18"/>
        </w:rPr>
        <w:t xml:space="preserve"> </w:t>
      </w:r>
      <w:proofErr w:type="spellStart"/>
      <w:r w:rsidRPr="0048384A">
        <w:rPr>
          <w:rFonts w:ascii="GHEA Grapalat" w:hAnsi="GHEA Grapalat"/>
          <w:sz w:val="18"/>
          <w:szCs w:val="18"/>
        </w:rPr>
        <w:t>Craxi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v Italy (No. 2), </w:t>
      </w:r>
      <w:proofErr w:type="spellStart"/>
      <w:r w:rsidRPr="0048384A">
        <w:rPr>
          <w:rFonts w:ascii="GHEA Grapalat" w:hAnsi="GHEA Grapalat"/>
          <w:sz w:val="18"/>
          <w:szCs w:val="18"/>
        </w:rPr>
        <w:t>App.No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. </w:t>
      </w:r>
      <w:r w:rsidRPr="0048384A">
        <w:rPr>
          <w:rFonts w:ascii="GHEA Grapalat" w:eastAsia="Times New Roman" w:hAnsi="GHEA Grapalat"/>
          <w:sz w:val="18"/>
          <w:szCs w:val="18"/>
        </w:rPr>
        <w:t xml:space="preserve">25337/94 , 17 July 2003,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հասանելի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է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հետևյալ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հղումով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. </w:t>
      </w:r>
      <w:hyperlink r:id="rId38" w:history="1">
        <w:r w:rsidRPr="0048384A">
          <w:rPr>
            <w:rStyle w:val="Hyperlink"/>
            <w:rFonts w:ascii="GHEA Grapalat" w:eastAsia="Times New Roman" w:hAnsi="GHEA Grapalat"/>
            <w:sz w:val="18"/>
            <w:szCs w:val="18"/>
          </w:rPr>
          <w:t>http://hudoc.echr.coe.int/eng?i=001-61229</w:t>
        </w:r>
      </w:hyperlink>
      <w:r w:rsidRPr="0048384A">
        <w:rPr>
          <w:rFonts w:ascii="GHEA Grapalat" w:eastAsia="Times New Roman" w:hAnsi="GHEA Grapalat"/>
          <w:sz w:val="18"/>
          <w:szCs w:val="18"/>
        </w:rPr>
        <w:t xml:space="preserve">, </w:t>
      </w:r>
      <w:proofErr w:type="spellStart"/>
      <w:r w:rsidRPr="0048384A">
        <w:rPr>
          <w:rFonts w:ascii="GHEA Grapalat" w:hAnsi="GHEA Grapalat"/>
          <w:sz w:val="18"/>
          <w:szCs w:val="18"/>
        </w:rPr>
        <w:t>Albayrak</w:t>
      </w:r>
      <w:proofErr w:type="spellEnd"/>
      <w:r w:rsidRPr="0048384A">
        <w:rPr>
          <w:rFonts w:ascii="GHEA Grapalat" w:hAnsi="GHEA Grapalat"/>
          <w:sz w:val="18"/>
          <w:szCs w:val="18"/>
        </w:rPr>
        <w:t xml:space="preserve"> v Turkey, App. No. 38406/97, 31 January 2007,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հասանելի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է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հետևյալ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 </w:t>
      </w:r>
      <w:proofErr w:type="spellStart"/>
      <w:r w:rsidRPr="002C069D">
        <w:rPr>
          <w:rFonts w:ascii="GHEA Grapalat" w:hAnsi="GHEA Grapalat"/>
          <w:color w:val="000000"/>
          <w:sz w:val="18"/>
          <w:szCs w:val="18"/>
        </w:rPr>
        <w:t>հղումով</w:t>
      </w:r>
      <w:proofErr w:type="spellEnd"/>
      <w:r w:rsidRPr="002C069D">
        <w:rPr>
          <w:rFonts w:ascii="GHEA Grapalat" w:hAnsi="GHEA Grapalat"/>
          <w:color w:val="000000"/>
          <w:sz w:val="18"/>
          <w:szCs w:val="18"/>
        </w:rPr>
        <w:t xml:space="preserve">. </w:t>
      </w:r>
      <w:r w:rsidRPr="0048384A">
        <w:rPr>
          <w:rFonts w:ascii="GHEA Grapalat" w:hAnsi="GHEA Grapalat"/>
          <w:sz w:val="18"/>
          <w:szCs w:val="18"/>
        </w:rPr>
        <w:t>http://hudoc.echr.coe.int/eng?i=001-84829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B24E9A"/>
    <w:multiLevelType w:val="hybridMultilevel"/>
    <w:tmpl w:val="426A2CF2"/>
    <w:lvl w:ilvl="0" w:tplc="040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9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B636199"/>
    <w:multiLevelType w:val="hybridMultilevel"/>
    <w:tmpl w:val="1C2E950E"/>
    <w:lvl w:ilvl="0" w:tplc="8782051A">
      <w:start w:val="1"/>
      <w:numFmt w:val="decimal"/>
      <w:lvlText w:val="%1."/>
      <w:lvlJc w:val="left"/>
      <w:pPr>
        <w:ind w:left="5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31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9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  <w:num w:numId="31">
    <w:abstractNumId w:val="30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3C"/>
    <w:rsid w:val="00000629"/>
    <w:rsid w:val="000006DE"/>
    <w:rsid w:val="000226B3"/>
    <w:rsid w:val="00054562"/>
    <w:rsid w:val="00057693"/>
    <w:rsid w:val="0007306C"/>
    <w:rsid w:val="000815CA"/>
    <w:rsid w:val="00096D23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2342A"/>
    <w:rsid w:val="00124CCE"/>
    <w:rsid w:val="00132358"/>
    <w:rsid w:val="00140AAA"/>
    <w:rsid w:val="0014163C"/>
    <w:rsid w:val="001440D5"/>
    <w:rsid w:val="001502EA"/>
    <w:rsid w:val="001635FC"/>
    <w:rsid w:val="00192417"/>
    <w:rsid w:val="001975F3"/>
    <w:rsid w:val="001B617A"/>
    <w:rsid w:val="001C3BA6"/>
    <w:rsid w:val="001C64CC"/>
    <w:rsid w:val="001D7863"/>
    <w:rsid w:val="001F70A9"/>
    <w:rsid w:val="00202105"/>
    <w:rsid w:val="00206940"/>
    <w:rsid w:val="00217EC2"/>
    <w:rsid w:val="002368C7"/>
    <w:rsid w:val="0023768A"/>
    <w:rsid w:val="002651D4"/>
    <w:rsid w:val="00275218"/>
    <w:rsid w:val="00277794"/>
    <w:rsid w:val="00286CE1"/>
    <w:rsid w:val="00292093"/>
    <w:rsid w:val="002A1A92"/>
    <w:rsid w:val="002C0441"/>
    <w:rsid w:val="002C069D"/>
    <w:rsid w:val="002C5BCB"/>
    <w:rsid w:val="002C711A"/>
    <w:rsid w:val="002E7E16"/>
    <w:rsid w:val="002F290E"/>
    <w:rsid w:val="00314985"/>
    <w:rsid w:val="003331A1"/>
    <w:rsid w:val="003366AB"/>
    <w:rsid w:val="00336A80"/>
    <w:rsid w:val="00374D9F"/>
    <w:rsid w:val="00374EE4"/>
    <w:rsid w:val="00394D69"/>
    <w:rsid w:val="00397C3B"/>
    <w:rsid w:val="003B24F3"/>
    <w:rsid w:val="003C7B97"/>
    <w:rsid w:val="003D0342"/>
    <w:rsid w:val="003D16E3"/>
    <w:rsid w:val="003F4D2D"/>
    <w:rsid w:val="003F7763"/>
    <w:rsid w:val="00413083"/>
    <w:rsid w:val="0041570D"/>
    <w:rsid w:val="00420F58"/>
    <w:rsid w:val="00430B47"/>
    <w:rsid w:val="004310E2"/>
    <w:rsid w:val="004370D4"/>
    <w:rsid w:val="0045145A"/>
    <w:rsid w:val="00452E95"/>
    <w:rsid w:val="0045587B"/>
    <w:rsid w:val="00470B95"/>
    <w:rsid w:val="0047372D"/>
    <w:rsid w:val="00476CD6"/>
    <w:rsid w:val="0049274E"/>
    <w:rsid w:val="004938BC"/>
    <w:rsid w:val="004D7F29"/>
    <w:rsid w:val="005027F7"/>
    <w:rsid w:val="00503309"/>
    <w:rsid w:val="005044B4"/>
    <w:rsid w:val="00510203"/>
    <w:rsid w:val="00513A8E"/>
    <w:rsid w:val="00513C5D"/>
    <w:rsid w:val="00532AB1"/>
    <w:rsid w:val="005406B1"/>
    <w:rsid w:val="005506C0"/>
    <w:rsid w:val="0055145E"/>
    <w:rsid w:val="005646D1"/>
    <w:rsid w:val="00577B2F"/>
    <w:rsid w:val="005A6F71"/>
    <w:rsid w:val="005C1E5A"/>
    <w:rsid w:val="005D08F9"/>
    <w:rsid w:val="005D4363"/>
    <w:rsid w:val="005F2424"/>
    <w:rsid w:val="005F4CF3"/>
    <w:rsid w:val="00610D5F"/>
    <w:rsid w:val="006125C1"/>
    <w:rsid w:val="00614796"/>
    <w:rsid w:val="00616756"/>
    <w:rsid w:val="00617BFA"/>
    <w:rsid w:val="006231EB"/>
    <w:rsid w:val="00627B0F"/>
    <w:rsid w:val="00627F15"/>
    <w:rsid w:val="00634B6F"/>
    <w:rsid w:val="00655D37"/>
    <w:rsid w:val="0066766C"/>
    <w:rsid w:val="00676681"/>
    <w:rsid w:val="00677BB1"/>
    <w:rsid w:val="006815B0"/>
    <w:rsid w:val="006913CD"/>
    <w:rsid w:val="006A2130"/>
    <w:rsid w:val="006B7745"/>
    <w:rsid w:val="006C0191"/>
    <w:rsid w:val="006C2A2C"/>
    <w:rsid w:val="006D359E"/>
    <w:rsid w:val="006D5E40"/>
    <w:rsid w:val="006D7663"/>
    <w:rsid w:val="006D7DF2"/>
    <w:rsid w:val="006F109F"/>
    <w:rsid w:val="00712A61"/>
    <w:rsid w:val="007279F8"/>
    <w:rsid w:val="007365F6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7D0"/>
    <w:rsid w:val="00820B9C"/>
    <w:rsid w:val="0083626C"/>
    <w:rsid w:val="008410D5"/>
    <w:rsid w:val="00847F53"/>
    <w:rsid w:val="00865E99"/>
    <w:rsid w:val="0086609A"/>
    <w:rsid w:val="008662D8"/>
    <w:rsid w:val="00870522"/>
    <w:rsid w:val="00876FDE"/>
    <w:rsid w:val="00890FA6"/>
    <w:rsid w:val="008A57B8"/>
    <w:rsid w:val="008B210F"/>
    <w:rsid w:val="008B5B29"/>
    <w:rsid w:val="008D6470"/>
    <w:rsid w:val="008F6BCF"/>
    <w:rsid w:val="00900C59"/>
    <w:rsid w:val="00935D65"/>
    <w:rsid w:val="009570B2"/>
    <w:rsid w:val="00963448"/>
    <w:rsid w:val="00964C84"/>
    <w:rsid w:val="00967EC6"/>
    <w:rsid w:val="009715FF"/>
    <w:rsid w:val="00981904"/>
    <w:rsid w:val="009C1C3E"/>
    <w:rsid w:val="009D0A6C"/>
    <w:rsid w:val="009E4025"/>
    <w:rsid w:val="009F0331"/>
    <w:rsid w:val="009F0415"/>
    <w:rsid w:val="00A04FF1"/>
    <w:rsid w:val="00A17978"/>
    <w:rsid w:val="00A40D49"/>
    <w:rsid w:val="00A52989"/>
    <w:rsid w:val="00A530BA"/>
    <w:rsid w:val="00A56A63"/>
    <w:rsid w:val="00A74205"/>
    <w:rsid w:val="00A844EF"/>
    <w:rsid w:val="00A901E2"/>
    <w:rsid w:val="00AA5809"/>
    <w:rsid w:val="00AB5F9C"/>
    <w:rsid w:val="00AE38EF"/>
    <w:rsid w:val="00AE4D59"/>
    <w:rsid w:val="00AE6037"/>
    <w:rsid w:val="00AE63A9"/>
    <w:rsid w:val="00AF729C"/>
    <w:rsid w:val="00B04212"/>
    <w:rsid w:val="00B154AA"/>
    <w:rsid w:val="00B20D74"/>
    <w:rsid w:val="00B2183F"/>
    <w:rsid w:val="00B22636"/>
    <w:rsid w:val="00B31C66"/>
    <w:rsid w:val="00B55AA3"/>
    <w:rsid w:val="00B61309"/>
    <w:rsid w:val="00B64166"/>
    <w:rsid w:val="00B64F49"/>
    <w:rsid w:val="00B745E5"/>
    <w:rsid w:val="00B75F30"/>
    <w:rsid w:val="00B91109"/>
    <w:rsid w:val="00B948D2"/>
    <w:rsid w:val="00BA4430"/>
    <w:rsid w:val="00BC6E30"/>
    <w:rsid w:val="00BD0928"/>
    <w:rsid w:val="00BD093F"/>
    <w:rsid w:val="00BD16B4"/>
    <w:rsid w:val="00BE166E"/>
    <w:rsid w:val="00BF22A6"/>
    <w:rsid w:val="00C03774"/>
    <w:rsid w:val="00C0464F"/>
    <w:rsid w:val="00C13379"/>
    <w:rsid w:val="00C147D0"/>
    <w:rsid w:val="00C15552"/>
    <w:rsid w:val="00C30B17"/>
    <w:rsid w:val="00C35F6F"/>
    <w:rsid w:val="00C575B5"/>
    <w:rsid w:val="00C6349C"/>
    <w:rsid w:val="00C70A8A"/>
    <w:rsid w:val="00C90C60"/>
    <w:rsid w:val="00CA24FF"/>
    <w:rsid w:val="00CB79B0"/>
    <w:rsid w:val="00CB7E61"/>
    <w:rsid w:val="00CC0BAF"/>
    <w:rsid w:val="00CC1135"/>
    <w:rsid w:val="00CC49BD"/>
    <w:rsid w:val="00CC68BD"/>
    <w:rsid w:val="00CD1179"/>
    <w:rsid w:val="00CD2193"/>
    <w:rsid w:val="00CE20FD"/>
    <w:rsid w:val="00CF4D7C"/>
    <w:rsid w:val="00D04D9E"/>
    <w:rsid w:val="00D0560C"/>
    <w:rsid w:val="00D13A4C"/>
    <w:rsid w:val="00D25D28"/>
    <w:rsid w:val="00D41257"/>
    <w:rsid w:val="00D426E7"/>
    <w:rsid w:val="00D4597A"/>
    <w:rsid w:val="00D50208"/>
    <w:rsid w:val="00D516EC"/>
    <w:rsid w:val="00D65620"/>
    <w:rsid w:val="00D67BA2"/>
    <w:rsid w:val="00DA1635"/>
    <w:rsid w:val="00DA22C1"/>
    <w:rsid w:val="00DA5F30"/>
    <w:rsid w:val="00DB1B74"/>
    <w:rsid w:val="00DB4D3B"/>
    <w:rsid w:val="00DD238E"/>
    <w:rsid w:val="00DD2DC8"/>
    <w:rsid w:val="00DD47A7"/>
    <w:rsid w:val="00DD4855"/>
    <w:rsid w:val="00DF463D"/>
    <w:rsid w:val="00DF5623"/>
    <w:rsid w:val="00E026AD"/>
    <w:rsid w:val="00E0764A"/>
    <w:rsid w:val="00E1291A"/>
    <w:rsid w:val="00E15A06"/>
    <w:rsid w:val="00E2592A"/>
    <w:rsid w:val="00E3269C"/>
    <w:rsid w:val="00E441F7"/>
    <w:rsid w:val="00E47B32"/>
    <w:rsid w:val="00E52592"/>
    <w:rsid w:val="00E53C44"/>
    <w:rsid w:val="00E60912"/>
    <w:rsid w:val="00E6378C"/>
    <w:rsid w:val="00E651E1"/>
    <w:rsid w:val="00E836BB"/>
    <w:rsid w:val="00E8412A"/>
    <w:rsid w:val="00E943BF"/>
    <w:rsid w:val="00E94FCE"/>
    <w:rsid w:val="00EA2058"/>
    <w:rsid w:val="00EB5D4C"/>
    <w:rsid w:val="00EC0A8D"/>
    <w:rsid w:val="00EC41CE"/>
    <w:rsid w:val="00ED6393"/>
    <w:rsid w:val="00ED72C1"/>
    <w:rsid w:val="00EE4724"/>
    <w:rsid w:val="00F05E81"/>
    <w:rsid w:val="00F07039"/>
    <w:rsid w:val="00F1792C"/>
    <w:rsid w:val="00F25BA6"/>
    <w:rsid w:val="00F26343"/>
    <w:rsid w:val="00F33CD2"/>
    <w:rsid w:val="00F35616"/>
    <w:rsid w:val="00F64506"/>
    <w:rsid w:val="00F752CA"/>
    <w:rsid w:val="00F77554"/>
    <w:rsid w:val="00F806E3"/>
    <w:rsid w:val="00F80DD9"/>
    <w:rsid w:val="00F834AC"/>
    <w:rsid w:val="00F8571A"/>
    <w:rsid w:val="00F94F88"/>
    <w:rsid w:val="00F9535E"/>
    <w:rsid w:val="00FA1D43"/>
    <w:rsid w:val="00FD45AB"/>
    <w:rsid w:val="00FD74D6"/>
    <w:rsid w:val="00FF2F1F"/>
    <w:rsid w:val="00FF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864A4"/>
  <w15:docId w15:val="{EBD07587-CDD4-42C7-A1F3-EB56B875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  <w:style w:type="character" w:styleId="Hyperlink">
    <w:name w:val="Hyperlink"/>
    <w:uiPriority w:val="99"/>
    <w:unhideWhenUsed/>
    <w:rsid w:val="00EB5D4C"/>
    <w:rPr>
      <w:color w:val="0000FF"/>
      <w:u w:val="single"/>
    </w:rPr>
  </w:style>
  <w:style w:type="paragraph" w:customStyle="1" w:styleId="s32b251d">
    <w:name w:val="s32b251d"/>
    <w:basedOn w:val="Normal"/>
    <w:rsid w:val="00EB5D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7d2086b4">
    <w:name w:val="s7d2086b4"/>
    <w:basedOn w:val="DefaultParagraphFont"/>
    <w:rsid w:val="00EB5D4C"/>
  </w:style>
  <w:style w:type="character" w:customStyle="1" w:styleId="s6b621b36">
    <w:name w:val="s6b621b36"/>
    <w:basedOn w:val="DefaultParagraphFont"/>
    <w:rsid w:val="00EB5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hudoc.echr.coe.int/eng" TargetMode="External"/><Relationship Id="rId13" Type="http://schemas.openxmlformats.org/officeDocument/2006/relationships/hyperlink" Target="https://hudoc.echr.coe.int/eng" TargetMode="External"/><Relationship Id="rId18" Type="http://schemas.openxmlformats.org/officeDocument/2006/relationships/hyperlink" Target="https://hudoc.echr.coe.int/fre" TargetMode="External"/><Relationship Id="rId26" Type="http://schemas.openxmlformats.org/officeDocument/2006/relationships/hyperlink" Target="https://www.echr.coe.int/Documents/Guide_Art_8_ENG.pdf" TargetMode="External"/><Relationship Id="rId3" Type="http://schemas.openxmlformats.org/officeDocument/2006/relationships/hyperlink" Target="https://hudoc.echr.coe.int/eng" TargetMode="External"/><Relationship Id="rId21" Type="http://schemas.openxmlformats.org/officeDocument/2006/relationships/hyperlink" Target="https://www.echr.coe.int/Documents/Guide_Art_8_ENG.pdf" TargetMode="External"/><Relationship Id="rId34" Type="http://schemas.openxmlformats.org/officeDocument/2006/relationships/hyperlink" Target="https://rm.coe.int/council-of-europe-opinion-on-the-rules-of-procedure-of-the-public-coun/1680722415" TargetMode="External"/><Relationship Id="rId7" Type="http://schemas.openxmlformats.org/officeDocument/2006/relationships/hyperlink" Target="https://hudoc.echr.coe.int/eng" TargetMode="External"/><Relationship Id="rId12" Type="http://schemas.openxmlformats.org/officeDocument/2006/relationships/hyperlink" Target="https://hudoc.echr.coe.int/eng" TargetMode="External"/><Relationship Id="rId17" Type="http://schemas.openxmlformats.org/officeDocument/2006/relationships/hyperlink" Target="https://www.echr.coe.int/Documents/FS_Reputation_ENG.pdf" TargetMode="External"/><Relationship Id="rId25" Type="http://schemas.openxmlformats.org/officeDocument/2006/relationships/hyperlink" Target="https://rm.coe.int/t-pd-2018-15-case-law-on-data-protection-may2018-en/16808b2d36" TargetMode="External"/><Relationship Id="rId33" Type="http://schemas.openxmlformats.org/officeDocument/2006/relationships/hyperlink" Target="https://e-seimas.lrs.lt/portal/legalAct/lt/TAD/TAIS.338141?jfwid=-n126u3sdm" TargetMode="External"/><Relationship Id="rId38" Type="http://schemas.openxmlformats.org/officeDocument/2006/relationships/hyperlink" Target="http://hudoc.echr.coe.int/eng?i=001-61229" TargetMode="External"/><Relationship Id="rId2" Type="http://schemas.openxmlformats.org/officeDocument/2006/relationships/hyperlink" Target="https://hudoc.echr.coe.int/eng" TargetMode="External"/><Relationship Id="rId16" Type="http://schemas.openxmlformats.org/officeDocument/2006/relationships/hyperlink" Target="https://www.echr.coe.int/Documents/FS_Reputation_ENG.pdf" TargetMode="External"/><Relationship Id="rId20" Type="http://schemas.openxmlformats.org/officeDocument/2006/relationships/hyperlink" Target="https://www.echr.coe.int/Documents/Guide_Art_10_ENG.pdf" TargetMode="External"/><Relationship Id="rId29" Type="http://schemas.openxmlformats.org/officeDocument/2006/relationships/hyperlink" Target="https://www.venice.coe.int/webforms/documents/default.aspx?pdffile=CDL-REF(2017)034-e" TargetMode="External"/><Relationship Id="rId1" Type="http://schemas.openxmlformats.org/officeDocument/2006/relationships/hyperlink" Target="https://hudoc.echr.coe.int/eng" TargetMode="External"/><Relationship Id="rId6" Type="http://schemas.openxmlformats.org/officeDocument/2006/relationships/hyperlink" Target="https://hudoc.echr.coe.int/eng" TargetMode="External"/><Relationship Id="rId11" Type="http://schemas.openxmlformats.org/officeDocument/2006/relationships/hyperlink" Target="https://hudoc.echr.coe.int/eng" TargetMode="External"/><Relationship Id="rId24" Type="http://schemas.openxmlformats.org/officeDocument/2006/relationships/hyperlink" Target="https://hudoc.echr.coe.int/eng" TargetMode="External"/><Relationship Id="rId32" Type="http://schemas.openxmlformats.org/officeDocument/2006/relationships/hyperlink" Target="https://www.vtek.lt/index.php/en" TargetMode="External"/><Relationship Id="rId37" Type="http://schemas.openxmlformats.org/officeDocument/2006/relationships/hyperlink" Target="http://hudoc.echr.coe.int/eng?i=001-101212" TargetMode="External"/><Relationship Id="rId5" Type="http://schemas.openxmlformats.org/officeDocument/2006/relationships/hyperlink" Target="https://hudoc.echr.coe.int/eng" TargetMode="External"/><Relationship Id="rId15" Type="http://schemas.openxmlformats.org/officeDocument/2006/relationships/hyperlink" Target="https://hudoc.echr.coe.int/eng" TargetMode="External"/><Relationship Id="rId23" Type="http://schemas.openxmlformats.org/officeDocument/2006/relationships/hyperlink" Target="https://hudoc.echr.coe.int/eng" TargetMode="External"/><Relationship Id="rId28" Type="http://schemas.openxmlformats.org/officeDocument/2006/relationships/hyperlink" Target="https://www.venice.coe.int/webforms/documents/default.aspx?pdffile=CDL-REF(2014)041-e" TargetMode="External"/><Relationship Id="rId36" Type="http://schemas.openxmlformats.org/officeDocument/2006/relationships/hyperlink" Target="https://www.legislationline.org/download/id/7363/file/298_JUD_UKR_30June2017_en.pdf" TargetMode="External"/><Relationship Id="rId10" Type="http://schemas.openxmlformats.org/officeDocument/2006/relationships/hyperlink" Target="https://www.echr.coe.int/Documents/Guide_Art_8_ENG.pdf" TargetMode="External"/><Relationship Id="rId19" Type="http://schemas.openxmlformats.org/officeDocument/2006/relationships/hyperlink" Target="https://rm.coe.int/t-pd-2018-15-case-law-on-data-protection-may2018-en/16808b2d36" TargetMode="External"/><Relationship Id="rId31" Type="http://schemas.openxmlformats.org/officeDocument/2006/relationships/hyperlink" Target="https://euralius.eu/index.php/en/library/albanian-legislation/send/90-institutions-combating-corruption-and-organized-crime/239-law-on-the-organization-and-functioning-of-institutions-for-combating-corruption-and-organized-crime-en" TargetMode="External"/><Relationship Id="rId4" Type="http://schemas.openxmlformats.org/officeDocument/2006/relationships/hyperlink" Target="https://hudoc.echr.coe.int/eng" TargetMode="External"/><Relationship Id="rId9" Type="http://schemas.openxmlformats.org/officeDocument/2006/relationships/hyperlink" Target="https://rm.coe.int/t-pd-2018-15-case-law-on-data-protection-may2018-en/16808b2d36" TargetMode="External"/><Relationship Id="rId14" Type="http://schemas.openxmlformats.org/officeDocument/2006/relationships/hyperlink" Target="https://hudoc.echr.coe.int/eng" TargetMode="External"/><Relationship Id="rId22" Type="http://schemas.openxmlformats.org/officeDocument/2006/relationships/hyperlink" Target="https://hudoc.echr.coe.int/eng" TargetMode="External"/><Relationship Id="rId27" Type="http://schemas.openxmlformats.org/officeDocument/2006/relationships/hyperlink" Target="https://www.echr.coe.int/Documents/Guide_Art_10_ENG.pdf" TargetMode="External"/><Relationship Id="rId30" Type="http://schemas.openxmlformats.org/officeDocument/2006/relationships/hyperlink" Target="https://vkksu.gov.ua/userfiles/doc/Law_on_Judiciary_and_Status_of_Judges_16%2007%202016_ENG.pdf" TargetMode="External"/><Relationship Id="rId35" Type="http://schemas.openxmlformats.org/officeDocument/2006/relationships/hyperlink" Target="https://rm.coe.int/council-of-europe-opinion-on-the-rules-of-procedure-of-the-public-coun/16807224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A0EB7-2A75-4B22-A657-07374D520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15</Pages>
  <Words>4051</Words>
  <Characters>23094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https://mul2.gov.am/tasks/388958/oneclick/Arajarkutyun.docx?token=b2eaa9362ef8c8f9df5ed6b9f36d2562</cp:keywords>
  <cp:lastModifiedBy>Zohrab Daveyan</cp:lastModifiedBy>
  <cp:revision>23</cp:revision>
  <cp:lastPrinted>2021-02-08T14:00:00Z</cp:lastPrinted>
  <dcterms:created xsi:type="dcterms:W3CDTF">2021-02-04T10:34:00Z</dcterms:created>
  <dcterms:modified xsi:type="dcterms:W3CDTF">2021-03-01T07:54:00Z</dcterms:modified>
</cp:coreProperties>
</file>