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F40990" w14:textId="7D6217DD" w:rsidR="00590A95" w:rsidRPr="00590A95" w:rsidRDefault="00590A95" w:rsidP="004C125C">
      <w:pPr>
        <w:widowControl w:val="0"/>
        <w:spacing w:line="360" w:lineRule="auto"/>
        <w:jc w:val="center"/>
        <w:textAlignment w:val="baseline"/>
        <w:rPr>
          <w:rFonts w:ascii="GHEA Grapalat" w:hAnsi="GHEA Grapalat"/>
          <w:sz w:val="24"/>
        </w:rPr>
      </w:pPr>
      <w:r>
        <w:rPr>
          <w:rFonts w:ascii="GHEA Grapalat" w:hAnsi="GHEA Grapalat"/>
          <w:sz w:val="24"/>
        </w:rPr>
        <w:t>ԱՄՓՈՓԱԹԵՐԹ</w:t>
      </w:r>
    </w:p>
    <w:p w14:paraId="7B2BD9A8" w14:textId="7DDDA68D" w:rsidR="000611A9" w:rsidRPr="00D73751" w:rsidRDefault="00C9079F" w:rsidP="004C125C">
      <w:pPr>
        <w:widowControl w:val="0"/>
        <w:spacing w:line="360" w:lineRule="auto"/>
        <w:jc w:val="center"/>
        <w:textAlignment w:val="baseline"/>
        <w:rPr>
          <w:rFonts w:ascii="GHEA Grapalat" w:hAnsi="GHEA Grapalat" w:cs="Sylfaen"/>
          <w:sz w:val="24"/>
          <w:lang w:val="af-ZA"/>
        </w:rPr>
      </w:pPr>
      <w:r w:rsidRPr="00C9079F">
        <w:rPr>
          <w:rFonts w:ascii="GHEA Grapalat" w:hAnsi="GHEA Grapalat"/>
          <w:sz w:val="24"/>
          <w:lang w:val="hy-AM"/>
        </w:rPr>
        <w:t>«Հայաստանի Հանրապետության հարկային օրենսգրքում փոփոխություններ և լրացումներ կատարելու մասին ՀՀ օրենքի նախագծի</w:t>
      </w:r>
      <w:r w:rsidR="001F4FE2" w:rsidRPr="00D73751">
        <w:rPr>
          <w:rFonts w:ascii="GHEA Grapalat" w:hAnsi="GHEA Grapalat" w:cs="Sylfaen"/>
          <w:sz w:val="24"/>
          <w:lang w:val="af-ZA"/>
        </w:rPr>
        <w:t xml:space="preserve"> վերաբերյալ ստացված առաջարկությունների, դրանց ընդունման կամ չընդունման վերաբերյալ</w:t>
      </w:r>
    </w:p>
    <w:tbl>
      <w:tblPr>
        <w:tblpPr w:leftFromText="180" w:rightFromText="180" w:vertAnchor="text" w:horzAnchor="margin" w:tblpX="530" w:tblpY="235"/>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3"/>
        <w:gridCol w:w="5375"/>
        <w:gridCol w:w="2160"/>
        <w:gridCol w:w="3652"/>
      </w:tblGrid>
      <w:tr w:rsidR="001F4FE2" w:rsidRPr="00D73751" w14:paraId="38FC8A91" w14:textId="77777777" w:rsidTr="00B72E06">
        <w:trPr>
          <w:trHeight w:val="1490"/>
        </w:trPr>
        <w:tc>
          <w:tcPr>
            <w:tcW w:w="2813" w:type="dxa"/>
            <w:tcBorders>
              <w:top w:val="single" w:sz="4" w:space="0" w:color="auto"/>
              <w:left w:val="single" w:sz="4" w:space="0" w:color="auto"/>
              <w:bottom w:val="single" w:sz="4" w:space="0" w:color="auto"/>
              <w:right w:val="single" w:sz="4" w:space="0" w:color="auto"/>
            </w:tcBorders>
            <w:vAlign w:val="center"/>
            <w:hideMark/>
          </w:tcPr>
          <w:p w14:paraId="6A60A29D" w14:textId="77777777" w:rsidR="001F4FE2" w:rsidRPr="00D73751" w:rsidRDefault="001F4FE2" w:rsidP="00576875">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Առարկության, առաջարկության հեղինակը¸ գրության ամսաթիվը և համարը</w:t>
            </w:r>
          </w:p>
        </w:tc>
        <w:tc>
          <w:tcPr>
            <w:tcW w:w="5375" w:type="dxa"/>
            <w:tcBorders>
              <w:top w:val="single" w:sz="4" w:space="0" w:color="auto"/>
              <w:left w:val="single" w:sz="4" w:space="0" w:color="auto"/>
              <w:bottom w:val="single" w:sz="4" w:space="0" w:color="auto"/>
              <w:right w:val="single" w:sz="4" w:space="0" w:color="auto"/>
            </w:tcBorders>
            <w:vAlign w:val="center"/>
            <w:hideMark/>
          </w:tcPr>
          <w:p w14:paraId="184B55B4" w14:textId="77777777" w:rsidR="001F4FE2" w:rsidRPr="00D73751" w:rsidRDefault="001F4FE2" w:rsidP="00576875">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Առարկության, առաջարկության բովանդակությունը</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D2386C0" w14:textId="77777777" w:rsidR="001F4FE2" w:rsidRPr="00D73751" w:rsidRDefault="001F4FE2" w:rsidP="00576875">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Եզրակացություն</w:t>
            </w:r>
          </w:p>
        </w:tc>
        <w:tc>
          <w:tcPr>
            <w:tcW w:w="3652" w:type="dxa"/>
            <w:tcBorders>
              <w:top w:val="single" w:sz="4" w:space="0" w:color="auto"/>
              <w:left w:val="single" w:sz="4" w:space="0" w:color="auto"/>
              <w:bottom w:val="single" w:sz="4" w:space="0" w:color="auto"/>
              <w:right w:val="single" w:sz="4" w:space="0" w:color="auto"/>
            </w:tcBorders>
            <w:vAlign w:val="center"/>
            <w:hideMark/>
          </w:tcPr>
          <w:p w14:paraId="76F53B9A" w14:textId="77777777" w:rsidR="001F4FE2" w:rsidRPr="00D73751" w:rsidRDefault="001F4FE2" w:rsidP="00576875">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Կատարված փոփոխությունները</w:t>
            </w:r>
          </w:p>
        </w:tc>
      </w:tr>
      <w:tr w:rsidR="00891FD0" w:rsidRPr="00B72E06" w14:paraId="4CE7A26C" w14:textId="77777777" w:rsidTr="00B72E06">
        <w:trPr>
          <w:trHeight w:val="1384"/>
        </w:trPr>
        <w:tc>
          <w:tcPr>
            <w:tcW w:w="2813" w:type="dxa"/>
            <w:vMerge w:val="restart"/>
            <w:tcBorders>
              <w:top w:val="single" w:sz="4" w:space="0" w:color="auto"/>
              <w:left w:val="single" w:sz="4" w:space="0" w:color="auto"/>
              <w:right w:val="single" w:sz="4" w:space="0" w:color="auto"/>
            </w:tcBorders>
          </w:tcPr>
          <w:p w14:paraId="35AB649F" w14:textId="0E4A20D1" w:rsidR="00891FD0" w:rsidRPr="00D73751" w:rsidRDefault="00891FD0" w:rsidP="00590A95">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 xml:space="preserve">ՀՀ </w:t>
            </w:r>
            <w:proofErr w:type="spellStart"/>
            <w:r>
              <w:rPr>
                <w:rFonts w:ascii="GHEA Grapalat" w:hAnsi="GHEA Grapalat" w:cs="Sylfaen"/>
                <w:sz w:val="24"/>
              </w:rPr>
              <w:t>էկոնոմիկայի</w:t>
            </w:r>
            <w:proofErr w:type="spellEnd"/>
            <w:r w:rsidRPr="00D73751">
              <w:rPr>
                <w:rFonts w:ascii="GHEA Grapalat" w:hAnsi="GHEA Grapalat" w:cs="Sylfaen"/>
                <w:sz w:val="24"/>
                <w:lang w:val="af-ZA"/>
              </w:rPr>
              <w:t xml:space="preserve"> նախարարություն</w:t>
            </w:r>
          </w:p>
          <w:p w14:paraId="0B400B1F" w14:textId="4A4925C2" w:rsidR="00891FD0" w:rsidRPr="00D73751" w:rsidRDefault="00891FD0" w:rsidP="00590A95">
            <w:pPr>
              <w:widowControl w:val="0"/>
              <w:tabs>
                <w:tab w:val="left" w:pos="181"/>
                <w:tab w:val="left" w:pos="340"/>
              </w:tabs>
              <w:jc w:val="center"/>
              <w:textAlignment w:val="baseline"/>
              <w:rPr>
                <w:rFonts w:ascii="GHEA Grapalat" w:hAnsi="GHEA Grapalat" w:cs="Sylfaen"/>
                <w:sz w:val="24"/>
                <w:lang w:val="af-ZA"/>
              </w:rPr>
            </w:pPr>
            <w:r>
              <w:rPr>
                <w:rFonts w:ascii="GHEA Grapalat" w:hAnsi="GHEA Grapalat" w:cs="Sylfaen"/>
                <w:sz w:val="24"/>
                <w:lang w:val="af-ZA"/>
              </w:rPr>
              <w:t>10</w:t>
            </w:r>
            <w:r w:rsidRPr="00D73751">
              <w:rPr>
                <w:rFonts w:ascii="GHEA Grapalat" w:hAnsi="GHEA Grapalat" w:cs="Sylfaen"/>
                <w:sz w:val="24"/>
                <w:lang w:val="af-ZA"/>
              </w:rPr>
              <w:t>.</w:t>
            </w:r>
            <w:r>
              <w:rPr>
                <w:rFonts w:ascii="GHEA Grapalat" w:hAnsi="GHEA Grapalat" w:cs="Sylfaen"/>
                <w:sz w:val="24"/>
                <w:lang w:val="af-ZA"/>
              </w:rPr>
              <w:t>08</w:t>
            </w:r>
            <w:r w:rsidRPr="00D73751">
              <w:rPr>
                <w:rFonts w:ascii="GHEA Grapalat" w:hAnsi="GHEA Grapalat" w:cs="Sylfaen"/>
                <w:sz w:val="24"/>
                <w:lang w:val="af-ZA"/>
              </w:rPr>
              <w:t>.20</w:t>
            </w:r>
            <w:r>
              <w:rPr>
                <w:rFonts w:ascii="GHEA Grapalat" w:hAnsi="GHEA Grapalat" w:cs="Sylfaen"/>
                <w:sz w:val="24"/>
                <w:lang w:val="af-ZA"/>
              </w:rPr>
              <w:t>20</w:t>
            </w:r>
            <w:r w:rsidRPr="00D73751">
              <w:rPr>
                <w:rFonts w:ascii="GHEA Grapalat" w:hAnsi="GHEA Grapalat" w:cs="Sylfaen"/>
                <w:sz w:val="24"/>
                <w:lang w:val="af-ZA"/>
              </w:rPr>
              <w:t>թ.</w:t>
            </w:r>
          </w:p>
          <w:p w14:paraId="41516E8B" w14:textId="1DC6E898" w:rsidR="00891FD0" w:rsidRPr="00D73751" w:rsidRDefault="00891FD0" w:rsidP="00590A95">
            <w:pPr>
              <w:widowControl w:val="0"/>
              <w:tabs>
                <w:tab w:val="left" w:pos="181"/>
                <w:tab w:val="left" w:pos="340"/>
              </w:tabs>
              <w:jc w:val="center"/>
              <w:textAlignment w:val="baseline"/>
              <w:rPr>
                <w:rFonts w:ascii="GHEA Grapalat" w:hAnsi="GHEA Grapalat" w:cs="Sylfaen"/>
                <w:sz w:val="24"/>
                <w:lang w:val="hy-AM"/>
              </w:rPr>
            </w:pPr>
            <w:r w:rsidRPr="00D73751">
              <w:rPr>
                <w:rFonts w:ascii="GHEA Grapalat" w:hAnsi="GHEA Grapalat" w:cs="Sylfaen"/>
                <w:sz w:val="24"/>
                <w:lang w:val="hy-AM"/>
              </w:rPr>
              <w:t>թ</w:t>
            </w:r>
            <w:r w:rsidRPr="00D73751">
              <w:rPr>
                <w:rFonts w:ascii="GHEA Grapalat" w:hAnsi="GHEA Grapalat" w:cs="Sylfaen"/>
                <w:sz w:val="24"/>
                <w:lang w:val="af-ZA"/>
              </w:rPr>
              <w:t xml:space="preserve">իվ </w:t>
            </w:r>
            <w:r w:rsidRPr="00590A95">
              <w:rPr>
                <w:rFonts w:ascii="GHEA Grapalat" w:hAnsi="GHEA Grapalat" w:cs="Sylfaen"/>
                <w:sz w:val="24"/>
              </w:rPr>
              <w:t>01/11175-2020</w:t>
            </w:r>
          </w:p>
        </w:tc>
        <w:tc>
          <w:tcPr>
            <w:tcW w:w="5375" w:type="dxa"/>
            <w:tcBorders>
              <w:top w:val="single" w:sz="4" w:space="0" w:color="auto"/>
              <w:left w:val="single" w:sz="4" w:space="0" w:color="auto"/>
              <w:bottom w:val="single" w:sz="4" w:space="0" w:color="auto"/>
              <w:right w:val="single" w:sz="4" w:space="0" w:color="auto"/>
            </w:tcBorders>
          </w:tcPr>
          <w:p w14:paraId="6C0A9EDD" w14:textId="57C38D60" w:rsidR="00891FD0" w:rsidRPr="00D73751" w:rsidRDefault="00891FD0" w:rsidP="001F4FE2">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Նախագծի 1-ին հոդվածում «գյուղատնտեսական արտադրանքի» սահմանմանը վերաբերող մասում առաջարկվում է «ա. հացահատիկային և հացահատիկաոլոռային մշակաբույսերը» բառերը փոխարինել «ա. հացահատիկային և </w:t>
            </w:r>
            <w:proofErr w:type="spellStart"/>
            <w:r w:rsidRPr="00590A95">
              <w:rPr>
                <w:rFonts w:ascii="GHEA Grapalat" w:hAnsi="GHEA Grapalat" w:cs="Sylfaen"/>
                <w:sz w:val="24"/>
                <w:lang w:val="hy-AM"/>
              </w:rPr>
              <w:t>հատիկաընդեղենային</w:t>
            </w:r>
            <w:proofErr w:type="spellEnd"/>
            <w:r w:rsidRPr="00590A95">
              <w:rPr>
                <w:rFonts w:ascii="GHEA Grapalat" w:hAnsi="GHEA Grapalat" w:cs="Sylfaen"/>
                <w:sz w:val="24"/>
                <w:lang w:val="hy-AM"/>
              </w:rPr>
              <w:t xml:space="preserve"> մշակաբույսերը» բառերով, «ժ. անասնաբուծության արտադրանքը» բառերը փոխարինել «ժ</w:t>
            </w:r>
            <w:r w:rsidRPr="00590A95">
              <w:rPr>
                <w:rFonts w:ascii="Cambria Math" w:hAnsi="Cambria Math" w:cs="Cambria Math"/>
                <w:sz w:val="24"/>
                <w:lang w:val="hy-AM"/>
              </w:rPr>
              <w:t>․</w:t>
            </w:r>
            <w:r w:rsidRPr="00590A95">
              <w:rPr>
                <w:rFonts w:ascii="GHEA Grapalat" w:hAnsi="GHEA Grapalat" w:cs="Sylfaen"/>
                <w:sz w:val="24"/>
                <w:lang w:val="hy-AM"/>
              </w:rPr>
              <w:t xml:space="preserve"> տավարաբուծության արտադրանքը» բառերով, </w:t>
            </w:r>
            <w:proofErr w:type="spellStart"/>
            <w:r w:rsidRPr="00590A95">
              <w:rPr>
                <w:rFonts w:ascii="GHEA Grapalat" w:hAnsi="GHEA Grapalat" w:cs="Sylfaen"/>
                <w:sz w:val="24"/>
                <w:lang w:val="hy-AM"/>
              </w:rPr>
              <w:t>ժդ</w:t>
            </w:r>
            <w:proofErr w:type="spellEnd"/>
            <w:r w:rsidRPr="00590A95">
              <w:rPr>
                <w:rFonts w:ascii="Cambria Math" w:hAnsi="Cambria Math" w:cs="Cambria Math"/>
                <w:sz w:val="24"/>
                <w:lang w:val="hy-AM"/>
              </w:rPr>
              <w:t>․</w:t>
            </w:r>
            <w:r w:rsidRPr="00590A95">
              <w:rPr>
                <w:rFonts w:ascii="GHEA Grapalat" w:hAnsi="GHEA Grapalat" w:cs="Sylfaen"/>
                <w:sz w:val="24"/>
                <w:lang w:val="hy-AM"/>
              </w:rPr>
              <w:t xml:space="preserve"> ենթակետում ձիաբուծության» բառից հետո լրացնել «</w:t>
            </w:r>
            <w:proofErr w:type="spellStart"/>
            <w:r w:rsidRPr="00590A95">
              <w:rPr>
                <w:rFonts w:ascii="GHEA Grapalat" w:hAnsi="GHEA Grapalat" w:cs="Sylfaen"/>
                <w:sz w:val="24"/>
                <w:lang w:val="hy-AM"/>
              </w:rPr>
              <w:t>գոմեշաբուծության</w:t>
            </w:r>
            <w:proofErr w:type="spellEnd"/>
            <w:r w:rsidRPr="00590A95">
              <w:rPr>
                <w:rFonts w:ascii="GHEA Grapalat" w:hAnsi="GHEA Grapalat" w:cs="Sylfaen"/>
                <w:sz w:val="24"/>
                <w:lang w:val="hy-AM"/>
              </w:rPr>
              <w:t>» բառը, ժե</w:t>
            </w:r>
            <w:r w:rsidRPr="00590A95">
              <w:rPr>
                <w:rFonts w:ascii="Cambria Math" w:hAnsi="Cambria Math" w:cs="Cambria Math"/>
                <w:sz w:val="24"/>
                <w:lang w:val="hy-AM"/>
              </w:rPr>
              <w:t>․</w:t>
            </w:r>
            <w:r w:rsidRPr="00590A95">
              <w:rPr>
                <w:rFonts w:ascii="GHEA Grapalat" w:hAnsi="GHEA Grapalat" w:cs="Sylfaen"/>
                <w:sz w:val="24"/>
                <w:lang w:val="hy-AM"/>
              </w:rPr>
              <w:t xml:space="preserve"> ենթակետում «եղջերվաբուծության» բառից հետո լրացնել «</w:t>
            </w:r>
            <w:proofErr w:type="spellStart"/>
            <w:r w:rsidRPr="00590A95">
              <w:rPr>
                <w:rFonts w:ascii="GHEA Grapalat" w:hAnsi="GHEA Grapalat" w:cs="Sylfaen"/>
                <w:sz w:val="24"/>
                <w:lang w:val="hy-AM"/>
              </w:rPr>
              <w:t>ջայլամաբուծության</w:t>
            </w:r>
            <w:proofErr w:type="spellEnd"/>
            <w:r w:rsidRPr="00590A95">
              <w:rPr>
                <w:rFonts w:ascii="GHEA Grapalat" w:hAnsi="GHEA Grapalat" w:cs="Sylfaen"/>
                <w:sz w:val="24"/>
                <w:lang w:val="hy-AM"/>
              </w:rPr>
              <w:t>» բառը։</w:t>
            </w:r>
          </w:p>
        </w:tc>
        <w:tc>
          <w:tcPr>
            <w:tcW w:w="2160" w:type="dxa"/>
            <w:tcBorders>
              <w:top w:val="single" w:sz="4" w:space="0" w:color="auto"/>
              <w:left w:val="single" w:sz="4" w:space="0" w:color="auto"/>
              <w:bottom w:val="single" w:sz="4" w:space="0" w:color="auto"/>
              <w:right w:val="single" w:sz="4" w:space="0" w:color="auto"/>
            </w:tcBorders>
          </w:tcPr>
          <w:p w14:paraId="3CFDA5D1" w14:textId="65D18E78" w:rsidR="00CD311C" w:rsidRPr="00CD311C" w:rsidRDefault="00CD311C" w:rsidP="00576875">
            <w:pPr>
              <w:widowControl w:val="0"/>
              <w:tabs>
                <w:tab w:val="left" w:pos="181"/>
                <w:tab w:val="left" w:pos="340"/>
              </w:tabs>
              <w:jc w:val="center"/>
              <w:textAlignment w:val="baseline"/>
              <w:rPr>
                <w:rFonts w:ascii="GHEA Grapalat" w:hAnsi="GHEA Grapalat" w:cs="Sylfaen"/>
                <w:sz w:val="24"/>
              </w:rPr>
            </w:pPr>
            <w:proofErr w:type="spellStart"/>
            <w:r>
              <w:rPr>
                <w:rFonts w:ascii="GHEA Grapalat" w:hAnsi="GHEA Grapalat" w:cs="Sylfaen"/>
                <w:sz w:val="24"/>
              </w:rPr>
              <w:t>Ընդունվել</w:t>
            </w:r>
            <w:proofErr w:type="spellEnd"/>
            <w:r>
              <w:rPr>
                <w:rFonts w:ascii="GHEA Grapalat" w:hAnsi="GHEA Grapalat" w:cs="Sylfaen"/>
                <w:sz w:val="24"/>
              </w:rPr>
              <w:t xml:space="preserve"> է:</w:t>
            </w:r>
          </w:p>
          <w:p w14:paraId="10547AB0" w14:textId="078C5135" w:rsidR="00891FD0" w:rsidRDefault="00891FD0" w:rsidP="00576875">
            <w:pPr>
              <w:widowControl w:val="0"/>
              <w:tabs>
                <w:tab w:val="left" w:pos="181"/>
                <w:tab w:val="left" w:pos="340"/>
              </w:tabs>
              <w:jc w:val="center"/>
              <w:textAlignment w:val="baseline"/>
              <w:rPr>
                <w:rFonts w:ascii="GHEA Grapalat" w:hAnsi="GHEA Grapalat" w:cs="Sylfaen"/>
                <w:sz w:val="24"/>
                <w:lang w:val="hy-AM"/>
              </w:rPr>
            </w:pPr>
          </w:p>
          <w:p w14:paraId="6E7D725A" w14:textId="24A2B05C" w:rsidR="003F5543" w:rsidRPr="00590A95" w:rsidRDefault="003F5543" w:rsidP="00576875">
            <w:pPr>
              <w:widowControl w:val="0"/>
              <w:tabs>
                <w:tab w:val="left" w:pos="181"/>
                <w:tab w:val="left" w:pos="340"/>
              </w:tabs>
              <w:jc w:val="center"/>
              <w:textAlignment w:val="baseline"/>
              <w:rPr>
                <w:rFonts w:ascii="GHEA Grapalat" w:hAnsi="GHEA Grapalat" w:cs="Sylfaen"/>
                <w:sz w:val="24"/>
                <w:lang w:val="hy-AM"/>
              </w:rPr>
            </w:pPr>
          </w:p>
        </w:tc>
        <w:tc>
          <w:tcPr>
            <w:tcW w:w="3652" w:type="dxa"/>
            <w:tcBorders>
              <w:top w:val="single" w:sz="4" w:space="0" w:color="auto"/>
              <w:left w:val="single" w:sz="4" w:space="0" w:color="auto"/>
              <w:bottom w:val="single" w:sz="4" w:space="0" w:color="auto"/>
              <w:right w:val="single" w:sz="4" w:space="0" w:color="auto"/>
            </w:tcBorders>
          </w:tcPr>
          <w:p w14:paraId="5D98E074" w14:textId="6C1F34E5" w:rsidR="00891FD0" w:rsidRPr="00CD311C" w:rsidRDefault="00CD311C" w:rsidP="00CD311C">
            <w:pPr>
              <w:widowControl w:val="0"/>
              <w:tabs>
                <w:tab w:val="left" w:pos="181"/>
                <w:tab w:val="left" w:pos="340"/>
              </w:tabs>
              <w:textAlignment w:val="baseline"/>
              <w:rPr>
                <w:rFonts w:ascii="GHEA Grapalat" w:hAnsi="GHEA Grapalat" w:cs="Sylfaen"/>
                <w:sz w:val="24"/>
                <w:lang w:val="hy-AM"/>
              </w:rPr>
            </w:pPr>
            <w:r w:rsidRPr="00CD311C">
              <w:rPr>
                <w:rFonts w:ascii="GHEA Grapalat" w:hAnsi="GHEA Grapalat" w:cs="Sylfaen"/>
                <w:sz w:val="24"/>
                <w:lang w:val="hy-AM"/>
              </w:rPr>
              <w:t>Նախագծում կատարվել են համապատասխան փոփոխություններ և լրացումներ:</w:t>
            </w:r>
          </w:p>
        </w:tc>
      </w:tr>
      <w:tr w:rsidR="00891FD0" w:rsidRPr="00B72E06" w14:paraId="7AB81FE5" w14:textId="77777777" w:rsidTr="00B72E06">
        <w:trPr>
          <w:trHeight w:val="1384"/>
        </w:trPr>
        <w:tc>
          <w:tcPr>
            <w:tcW w:w="2813" w:type="dxa"/>
            <w:vMerge/>
            <w:tcBorders>
              <w:left w:val="single" w:sz="4" w:space="0" w:color="auto"/>
              <w:right w:val="single" w:sz="4" w:space="0" w:color="auto"/>
            </w:tcBorders>
          </w:tcPr>
          <w:p w14:paraId="4FD10F0A" w14:textId="77777777" w:rsidR="00891FD0" w:rsidRPr="00D73751" w:rsidRDefault="00891FD0" w:rsidP="00576875">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223ABFE3" w14:textId="6D3500EE" w:rsidR="00891FD0" w:rsidRPr="001F4FE2" w:rsidRDefault="00891FD0" w:rsidP="001F4FE2">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Հաշվի առնելով, որ ՀՀ Հարկային օրենսգրքի ներկայիս </w:t>
            </w:r>
            <w:proofErr w:type="spellStart"/>
            <w:r w:rsidRPr="00590A95">
              <w:rPr>
                <w:rFonts w:ascii="GHEA Grapalat" w:hAnsi="GHEA Grapalat" w:cs="Sylfaen"/>
                <w:sz w:val="24"/>
                <w:lang w:val="hy-AM"/>
              </w:rPr>
              <w:t>կարգավորումներով</w:t>
            </w:r>
            <w:proofErr w:type="spellEnd"/>
            <w:r w:rsidRPr="00590A95">
              <w:rPr>
                <w:rFonts w:ascii="GHEA Grapalat" w:hAnsi="GHEA Grapalat" w:cs="Sylfaen"/>
                <w:sz w:val="24"/>
                <w:lang w:val="hy-AM"/>
              </w:rPr>
              <w:t xml:space="preserve"> շահութահարկի մասով գործող ազատման արտոնության </w:t>
            </w:r>
            <w:proofErr w:type="spellStart"/>
            <w:r w:rsidRPr="00590A95">
              <w:rPr>
                <w:rFonts w:ascii="GHEA Grapalat" w:hAnsi="GHEA Grapalat" w:cs="Sylfaen"/>
                <w:sz w:val="24"/>
                <w:lang w:val="hy-AM"/>
              </w:rPr>
              <w:t>վերջնաժամկետը</w:t>
            </w:r>
            <w:proofErr w:type="spellEnd"/>
            <w:r w:rsidRPr="00590A95">
              <w:rPr>
                <w:rFonts w:ascii="GHEA Grapalat" w:hAnsi="GHEA Grapalat" w:cs="Sylfaen"/>
                <w:sz w:val="24"/>
                <w:lang w:val="hy-AM"/>
              </w:rPr>
              <w:t xml:space="preserve"> 2024 թվականի դեկտեմբերի 31-ն է, և այն խնդիրները, որոնց կարող են գյուղացիական տնտեսություններն </w:t>
            </w:r>
            <w:r w:rsidRPr="00590A95">
              <w:rPr>
                <w:rFonts w:ascii="GHEA Grapalat" w:hAnsi="GHEA Grapalat" w:cs="Sylfaen"/>
                <w:sz w:val="24"/>
                <w:lang w:val="hy-AM"/>
              </w:rPr>
              <w:lastRenderedPageBreak/>
              <w:t xml:space="preserve">առնչվել շահութահարկի կիրառության պարագայում, անհրաժեշտ ենք համարում ներկա փուլում հստակեցնել </w:t>
            </w:r>
            <w:proofErr w:type="spellStart"/>
            <w:r w:rsidRPr="00590A95">
              <w:rPr>
                <w:rFonts w:ascii="GHEA Grapalat" w:hAnsi="GHEA Grapalat" w:cs="Sylfaen"/>
                <w:sz w:val="24"/>
                <w:lang w:val="hy-AM"/>
              </w:rPr>
              <w:t>վերջնաժամկետից</w:t>
            </w:r>
            <w:proofErr w:type="spellEnd"/>
            <w:r w:rsidRPr="00590A95">
              <w:rPr>
                <w:rFonts w:ascii="GHEA Grapalat" w:hAnsi="GHEA Grapalat" w:cs="Sylfaen"/>
                <w:sz w:val="24"/>
                <w:lang w:val="hy-AM"/>
              </w:rPr>
              <w:t xml:space="preserve"> հետո կարգավորումները։ Ընդունելի կարգավորում է ԱԱՀ վճարող համարվելու շեմը նաև շահութահարկը վճարելու դեպքում սահմանելը։ Այսինքն՝ այն ֆիզիկական անձինք և կազմակերպությունները, որոնք ԱԱՀ վճարող համարվելու </w:t>
            </w:r>
            <w:proofErr w:type="spellStart"/>
            <w:r w:rsidRPr="00590A95">
              <w:rPr>
                <w:rFonts w:ascii="GHEA Grapalat" w:hAnsi="GHEA Grapalat" w:cs="Sylfaen"/>
                <w:sz w:val="24"/>
                <w:lang w:val="hy-AM"/>
              </w:rPr>
              <w:t>շեմից</w:t>
            </w:r>
            <w:proofErr w:type="spellEnd"/>
            <w:r w:rsidRPr="00590A95">
              <w:rPr>
                <w:rFonts w:ascii="GHEA Grapalat" w:hAnsi="GHEA Grapalat" w:cs="Sylfaen"/>
                <w:sz w:val="24"/>
                <w:lang w:val="hy-AM"/>
              </w:rPr>
              <w:t xml:space="preserve"> ցածր կգտնվեն, կշարունակեն ազատված լինել նաև եկամտային հարկ և շահութահարկ վճարելու պարտավորությունից, իսկ որոնք կգերազանցեն այդ շեմը, կշարունակեն հարկերը վճարել այնպես, ինչպես տնտեսական գործունեության այլ տեսակներով զբաղվող կազմակերպությունները։ Մեր գնահատականներով նման շեմի սահմանումը բազմաթիվ փոքր և միջին գյուղացիական տնտեսություններին թույլ կտա զբաղվել արդյունավետ գյուղատնտեսությամբ, չառնչվել հարկային վարչարարության դժվարություններին և կարողանալ </w:t>
            </w:r>
            <w:proofErr w:type="spellStart"/>
            <w:r w:rsidRPr="00590A95">
              <w:rPr>
                <w:rFonts w:ascii="GHEA Grapalat" w:hAnsi="GHEA Grapalat" w:cs="Sylfaen"/>
                <w:sz w:val="24"/>
                <w:lang w:val="hy-AM"/>
              </w:rPr>
              <w:t>միջնաժամկետ</w:t>
            </w:r>
            <w:proofErr w:type="spellEnd"/>
            <w:r w:rsidRPr="00590A95">
              <w:rPr>
                <w:rFonts w:ascii="GHEA Grapalat" w:hAnsi="GHEA Grapalat" w:cs="Sylfaen"/>
                <w:sz w:val="24"/>
                <w:lang w:val="hy-AM"/>
              </w:rPr>
              <w:t xml:space="preserve"> և երկարաժամկետ հորիզոնում պլանավորել գյուղատնտեսական գործունեության զարգացումը։</w:t>
            </w:r>
          </w:p>
        </w:tc>
        <w:tc>
          <w:tcPr>
            <w:tcW w:w="2160" w:type="dxa"/>
            <w:tcBorders>
              <w:top w:val="single" w:sz="4" w:space="0" w:color="auto"/>
              <w:left w:val="single" w:sz="4" w:space="0" w:color="auto"/>
              <w:bottom w:val="single" w:sz="4" w:space="0" w:color="auto"/>
              <w:right w:val="single" w:sz="4" w:space="0" w:color="auto"/>
            </w:tcBorders>
          </w:tcPr>
          <w:p w14:paraId="42E0255B" w14:textId="22C0F559" w:rsidR="00891FD0" w:rsidRPr="00CD311C" w:rsidRDefault="003F5543" w:rsidP="00576875">
            <w:pPr>
              <w:widowControl w:val="0"/>
              <w:tabs>
                <w:tab w:val="left" w:pos="181"/>
                <w:tab w:val="left" w:pos="340"/>
              </w:tabs>
              <w:jc w:val="center"/>
              <w:textAlignment w:val="baseline"/>
              <w:rPr>
                <w:rFonts w:ascii="GHEA Grapalat" w:hAnsi="GHEA Grapalat" w:cs="Sylfaen"/>
                <w:sz w:val="24"/>
                <w:lang w:val="hy-AM"/>
              </w:rPr>
            </w:pPr>
            <w:r>
              <w:rPr>
                <w:rFonts w:ascii="GHEA Grapalat" w:hAnsi="GHEA Grapalat" w:cs="Sylfaen"/>
                <w:sz w:val="24"/>
                <w:lang w:val="hy-AM"/>
              </w:rPr>
              <w:lastRenderedPageBreak/>
              <w:t>Ընդունվել է ի գիտություն։</w:t>
            </w:r>
          </w:p>
        </w:tc>
        <w:tc>
          <w:tcPr>
            <w:tcW w:w="3652" w:type="dxa"/>
            <w:tcBorders>
              <w:top w:val="single" w:sz="4" w:space="0" w:color="auto"/>
              <w:left w:val="single" w:sz="4" w:space="0" w:color="auto"/>
              <w:bottom w:val="single" w:sz="4" w:space="0" w:color="auto"/>
              <w:right w:val="single" w:sz="4" w:space="0" w:color="auto"/>
            </w:tcBorders>
          </w:tcPr>
          <w:p w14:paraId="2C05EF3F" w14:textId="1EA1BE18" w:rsidR="00891FD0" w:rsidRPr="005C6379" w:rsidRDefault="005A5393" w:rsidP="00576875">
            <w:pPr>
              <w:widowControl w:val="0"/>
              <w:tabs>
                <w:tab w:val="left" w:pos="181"/>
                <w:tab w:val="left" w:pos="340"/>
              </w:tabs>
              <w:textAlignment w:val="baseline"/>
              <w:rPr>
                <w:rFonts w:ascii="GHEA Grapalat" w:hAnsi="GHEA Grapalat" w:cs="Sylfaen"/>
                <w:sz w:val="24"/>
                <w:lang w:val="hy-AM"/>
              </w:rPr>
            </w:pPr>
            <w:r w:rsidRPr="005A5393">
              <w:rPr>
                <w:rFonts w:ascii="GHEA Grapalat" w:hAnsi="GHEA Grapalat" w:cs="Sylfaen"/>
                <w:sz w:val="24"/>
                <w:lang w:val="hy-AM"/>
              </w:rPr>
              <w:t xml:space="preserve">Ներկա փուլում նպատակահարմար է համարվել չանդրադառնալ խնդրո առարկա հարցերին և դրանց քննարկմանը անդրադառնալ հետագայում: </w:t>
            </w:r>
          </w:p>
        </w:tc>
      </w:tr>
      <w:tr w:rsidR="00CD311C" w:rsidRPr="00B72E06" w14:paraId="6C23A0FA" w14:textId="77777777" w:rsidTr="00B72E06">
        <w:trPr>
          <w:trHeight w:val="132"/>
        </w:trPr>
        <w:tc>
          <w:tcPr>
            <w:tcW w:w="2813" w:type="dxa"/>
            <w:vMerge/>
            <w:tcBorders>
              <w:left w:val="single" w:sz="4" w:space="0" w:color="auto"/>
              <w:right w:val="single" w:sz="4" w:space="0" w:color="auto"/>
            </w:tcBorders>
          </w:tcPr>
          <w:p w14:paraId="2435842D" w14:textId="77777777"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341C77A8" w14:textId="5E024B5D"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Պետք է գյուղատնտեսական գործունեությանը բնորոշ ցուցանիշների կիրառմամբ նկարագրել գնահատման այնպիսի անուղղակի եղանակներ, որոնց </w:t>
            </w:r>
            <w:r w:rsidRPr="00590A95">
              <w:rPr>
                <w:rFonts w:ascii="GHEA Grapalat" w:hAnsi="GHEA Grapalat" w:cs="Sylfaen"/>
                <w:sz w:val="24"/>
                <w:lang w:val="hy-AM"/>
              </w:rPr>
              <w:lastRenderedPageBreak/>
              <w:t>առկայությունը հիմք կտա որոշելու ԱԱՀ–ով հարկման շեմը գերազանցելու կամ չգերազանցելու փաստը, ինչն էլ կպարզեցնի հարկային մարմինների և գյուղատնտեսական գործունեությամբ զբաղվողների փոխհարաբերությունները։ Այն թույլ կտա նաև 2024 թվականի դեկտեմբերի 31-ից հետո խուսափել կոոպերատիվների և ֆիզիկական անձանց միջև անհավասար պայմաններից, քանի որ</w:t>
            </w:r>
            <w:r w:rsidRPr="00590A95">
              <w:rPr>
                <w:rFonts w:ascii="Calibri" w:hAnsi="Calibri" w:cs="Calibri"/>
                <w:sz w:val="24"/>
                <w:lang w:val="hy-AM"/>
              </w:rPr>
              <w:t> </w:t>
            </w:r>
            <w:r w:rsidRPr="00590A95">
              <w:rPr>
                <w:rFonts w:ascii="GHEA Grapalat" w:hAnsi="GHEA Grapalat" w:cs="Sylfaen"/>
                <w:sz w:val="24"/>
                <w:lang w:val="hy-AM"/>
              </w:rPr>
              <w:t xml:space="preserve">Նախագծով առաջարկվող փոփոխությունների արդյունքում տարեկան 115 մլն դրամ շրջանառության շեմը գերազանցող գյուղատնտեսական կոոպերատիվները կարող են </w:t>
            </w:r>
            <w:proofErr w:type="spellStart"/>
            <w:r w:rsidRPr="00590A95">
              <w:rPr>
                <w:rFonts w:ascii="GHEA Grapalat" w:hAnsi="GHEA Grapalat" w:cs="Sylfaen"/>
                <w:sz w:val="24"/>
                <w:lang w:val="hy-AM"/>
              </w:rPr>
              <w:t>մոտիվացված</w:t>
            </w:r>
            <w:proofErr w:type="spellEnd"/>
            <w:r w:rsidRPr="00590A95">
              <w:rPr>
                <w:rFonts w:ascii="GHEA Grapalat" w:hAnsi="GHEA Grapalat" w:cs="Sylfaen"/>
                <w:sz w:val="24"/>
                <w:lang w:val="hy-AM"/>
              </w:rPr>
              <w:t xml:space="preserve"> լինել լուծարվել և իրենց գործունեությունը շարունակել որպես ֆիզիկական անձ հանդիսացող առանձին տնտեսություններ։</w:t>
            </w:r>
          </w:p>
        </w:tc>
        <w:tc>
          <w:tcPr>
            <w:tcW w:w="2160" w:type="dxa"/>
            <w:tcBorders>
              <w:top w:val="single" w:sz="4" w:space="0" w:color="auto"/>
              <w:left w:val="single" w:sz="4" w:space="0" w:color="auto"/>
              <w:bottom w:val="single" w:sz="4" w:space="0" w:color="auto"/>
              <w:right w:val="single" w:sz="4" w:space="0" w:color="auto"/>
            </w:tcBorders>
          </w:tcPr>
          <w:p w14:paraId="4327428B" w14:textId="2E1D5322" w:rsidR="00CD311C" w:rsidRPr="00CD311C" w:rsidRDefault="005C59B2" w:rsidP="00CD311C">
            <w:pPr>
              <w:widowControl w:val="0"/>
              <w:tabs>
                <w:tab w:val="left" w:pos="181"/>
                <w:tab w:val="left" w:pos="340"/>
              </w:tabs>
              <w:jc w:val="center"/>
              <w:textAlignment w:val="baseline"/>
              <w:rPr>
                <w:rFonts w:ascii="GHEA Grapalat" w:hAnsi="GHEA Grapalat" w:cs="Sylfaen"/>
                <w:sz w:val="24"/>
                <w:lang w:val="hy-AM"/>
              </w:rPr>
            </w:pPr>
            <w:r>
              <w:rPr>
                <w:rFonts w:ascii="GHEA Grapalat" w:hAnsi="GHEA Grapalat" w:cs="Sylfaen"/>
                <w:sz w:val="24"/>
                <w:lang w:val="hy-AM"/>
              </w:rPr>
              <w:lastRenderedPageBreak/>
              <w:t>Ընդունվել է ի գիտություն։</w:t>
            </w:r>
          </w:p>
        </w:tc>
        <w:tc>
          <w:tcPr>
            <w:tcW w:w="3652" w:type="dxa"/>
            <w:tcBorders>
              <w:top w:val="single" w:sz="4" w:space="0" w:color="auto"/>
              <w:left w:val="single" w:sz="4" w:space="0" w:color="auto"/>
              <w:bottom w:val="single" w:sz="4" w:space="0" w:color="auto"/>
              <w:right w:val="single" w:sz="4" w:space="0" w:color="auto"/>
            </w:tcBorders>
          </w:tcPr>
          <w:p w14:paraId="5430B885" w14:textId="0476337D" w:rsidR="00CD311C" w:rsidRPr="005C59B2" w:rsidRDefault="00CD311C" w:rsidP="00BE3B2C">
            <w:pPr>
              <w:widowControl w:val="0"/>
              <w:tabs>
                <w:tab w:val="left" w:pos="181"/>
                <w:tab w:val="left" w:pos="340"/>
              </w:tabs>
              <w:textAlignment w:val="baseline"/>
              <w:rPr>
                <w:rFonts w:ascii="GHEA Grapalat" w:hAnsi="GHEA Grapalat" w:cs="Sylfaen"/>
                <w:sz w:val="24"/>
                <w:lang w:val="hy-AM"/>
              </w:rPr>
            </w:pPr>
            <w:r>
              <w:rPr>
                <w:rFonts w:ascii="GHEA Grapalat" w:hAnsi="GHEA Grapalat" w:cs="Sylfaen"/>
                <w:sz w:val="24"/>
                <w:lang w:val="hy-AM"/>
              </w:rPr>
              <w:t xml:space="preserve">Նախատեսվում է, որ գյուղատնտեսական արտադրանք արտադրող հարկ վճարողների իրացման </w:t>
            </w:r>
            <w:r>
              <w:rPr>
                <w:rFonts w:ascii="GHEA Grapalat" w:hAnsi="GHEA Grapalat" w:cs="Sylfaen"/>
                <w:sz w:val="24"/>
                <w:lang w:val="hy-AM"/>
              </w:rPr>
              <w:lastRenderedPageBreak/>
              <w:t>շրջանառությունները և դրանց ճշտության նկատմամբ հսկողությ</w:t>
            </w:r>
            <w:r w:rsidR="005C59B2">
              <w:rPr>
                <w:rFonts w:ascii="GHEA Grapalat" w:hAnsi="GHEA Grapalat" w:cs="Sylfaen"/>
                <w:sz w:val="24"/>
                <w:lang w:val="hy-AM"/>
              </w:rPr>
              <w:t>ունն</w:t>
            </w:r>
            <w:r>
              <w:rPr>
                <w:rFonts w:ascii="GHEA Grapalat" w:hAnsi="GHEA Grapalat" w:cs="Sylfaen"/>
                <w:sz w:val="24"/>
                <w:lang w:val="hy-AM"/>
              </w:rPr>
              <w:t xml:space="preserve"> իրականացվելու է հարկային օրենսդրությամբ սահմանված ընդհանուր կանոններով։ Այդ կապակցությամբ, եթե ՀՀ էկոնոմիկայի նախարարություն</w:t>
            </w:r>
            <w:r w:rsidR="005C59B2" w:rsidRPr="005C59B2">
              <w:rPr>
                <w:rFonts w:ascii="GHEA Grapalat" w:hAnsi="GHEA Grapalat" w:cs="Sylfaen"/>
                <w:sz w:val="24"/>
                <w:lang w:val="hy-AM"/>
              </w:rPr>
              <w:t>ը</w:t>
            </w:r>
            <w:r>
              <w:rPr>
                <w:rFonts w:ascii="GHEA Grapalat" w:hAnsi="GHEA Grapalat" w:cs="Sylfaen"/>
                <w:sz w:val="24"/>
                <w:lang w:val="hy-AM"/>
              </w:rPr>
              <w:t xml:space="preserve"> կարծում է, որ նշյալ կանոնները կարող են խնդրահարույց լինել հետագայում կիրառության տեսանկյունից՝ կարծում ենք, որ ճիշտ կլինի որպեսզի այդ մտավախությունները և դրանք </w:t>
            </w:r>
            <w:proofErr w:type="spellStart"/>
            <w:r>
              <w:rPr>
                <w:rFonts w:ascii="GHEA Grapalat" w:hAnsi="GHEA Grapalat" w:cs="Sylfaen"/>
                <w:sz w:val="24"/>
                <w:lang w:val="hy-AM"/>
              </w:rPr>
              <w:t>կարգավորելուն</w:t>
            </w:r>
            <w:proofErr w:type="spellEnd"/>
            <w:r>
              <w:rPr>
                <w:rFonts w:ascii="GHEA Grapalat" w:hAnsi="GHEA Grapalat" w:cs="Sylfaen"/>
                <w:sz w:val="24"/>
                <w:lang w:val="hy-AM"/>
              </w:rPr>
              <w:t xml:space="preserve"> ուղղված առաջարկությունները ներկայացվեն ավելի առարկայական։ Ինչ վերաբերում է այն խնդրին, որ առաջարկվող կարգավորումների արդյունքում կարող են առաջանալ խնդիրներ գյուղատնտեսական կոոպերատիվների համար, ապա գտնում ենք, որ</w:t>
            </w:r>
            <w:r w:rsidR="00BE3B2C" w:rsidRPr="00BE3B2C">
              <w:rPr>
                <w:rFonts w:ascii="GHEA Grapalat" w:hAnsi="GHEA Grapalat" w:cs="Sylfaen"/>
                <w:sz w:val="24"/>
                <w:lang w:val="hy-AM"/>
              </w:rPr>
              <w:t xml:space="preserve"> </w:t>
            </w:r>
            <w:r w:rsidR="00BE3B2C" w:rsidRPr="00BE3B2C">
              <w:rPr>
                <w:lang w:val="hy-AM"/>
              </w:rPr>
              <w:t xml:space="preserve"> </w:t>
            </w:r>
            <w:r w:rsidR="00BE3B2C" w:rsidRPr="00BE3B2C">
              <w:rPr>
                <w:rFonts w:ascii="GHEA Grapalat" w:hAnsi="GHEA Grapalat" w:cs="Sylfaen"/>
                <w:sz w:val="24"/>
                <w:lang w:val="hy-AM"/>
              </w:rPr>
              <w:t>բարձրացված</w:t>
            </w:r>
            <w:r w:rsidR="00BE3B2C" w:rsidRPr="00BE3B2C">
              <w:rPr>
                <w:rFonts w:ascii="Times New Roman" w:hAnsi="Times New Roman"/>
                <w:lang w:val="hy-AM"/>
              </w:rPr>
              <w:t xml:space="preserve"> </w:t>
            </w:r>
            <w:r w:rsidR="00BE3B2C" w:rsidRPr="00BE3B2C">
              <w:rPr>
                <w:rFonts w:ascii="GHEA Grapalat" w:hAnsi="GHEA Grapalat" w:cs="Sylfaen"/>
                <w:sz w:val="24"/>
                <w:lang w:val="hy-AM"/>
              </w:rPr>
              <w:t xml:space="preserve">խնդիրը առհասարակ պետք է քննարկել ձեռնարկատիրական </w:t>
            </w:r>
            <w:r w:rsidR="00BE3B2C" w:rsidRPr="00BE3B2C">
              <w:rPr>
                <w:rFonts w:ascii="GHEA Grapalat" w:hAnsi="GHEA Grapalat" w:cs="Sylfaen"/>
                <w:sz w:val="24"/>
                <w:lang w:val="hy-AM"/>
              </w:rPr>
              <w:lastRenderedPageBreak/>
              <w:t>գործունեության հատկանիշներով բնութագրվող գործունեություն իրականացնողներին՝ արդյունավետ գործիքներով առանձնացնելու և հաշվառելու հնարավորությունների տեսանկյունից</w:t>
            </w:r>
            <w:r w:rsidR="00BE3B2C">
              <w:rPr>
                <w:rFonts w:ascii="GHEA Grapalat" w:hAnsi="GHEA Grapalat" w:cs="Sylfaen"/>
                <w:sz w:val="24"/>
                <w:lang w:val="hy-AM"/>
              </w:rPr>
              <w:t>,</w:t>
            </w:r>
            <w:r>
              <w:rPr>
                <w:rFonts w:ascii="GHEA Grapalat" w:hAnsi="GHEA Grapalat" w:cs="Sylfaen"/>
                <w:sz w:val="24"/>
                <w:lang w:val="hy-AM"/>
              </w:rPr>
              <w:t xml:space="preserve"> հետևաբար խնդիրը կարգավորելու համար անհրաժեշտ է նախևառաջ անդրադառնալ այդ </w:t>
            </w:r>
            <w:r w:rsidR="00BE3B2C" w:rsidRPr="00BE3B2C">
              <w:rPr>
                <w:rFonts w:ascii="GHEA Grapalat" w:hAnsi="GHEA Grapalat" w:cs="Sylfaen"/>
                <w:sz w:val="24"/>
                <w:lang w:val="hy-AM"/>
              </w:rPr>
              <w:t>հարցին</w:t>
            </w:r>
            <w:r>
              <w:rPr>
                <w:rFonts w:ascii="GHEA Grapalat" w:hAnsi="GHEA Grapalat" w:cs="Sylfaen"/>
                <w:sz w:val="24"/>
                <w:lang w:val="hy-AM"/>
              </w:rPr>
              <w:t>։ Այդուհանդերձ</w:t>
            </w:r>
            <w:r w:rsidR="00011966" w:rsidRPr="00011966">
              <w:rPr>
                <w:rFonts w:ascii="GHEA Grapalat" w:hAnsi="GHEA Grapalat" w:cs="Sylfaen"/>
                <w:sz w:val="24"/>
                <w:lang w:val="hy-AM"/>
              </w:rPr>
              <w:t>,</w:t>
            </w:r>
            <w:r>
              <w:rPr>
                <w:rFonts w:ascii="GHEA Grapalat" w:hAnsi="GHEA Grapalat" w:cs="Sylfaen"/>
                <w:sz w:val="24"/>
                <w:lang w:val="hy-AM"/>
              </w:rPr>
              <w:t xml:space="preserve"> գտնում ենք, որ նշյալ խնդրի կարգավորումը ավելի խորքային քննարկումների առարկա պետք է դառնա և սույն նախագծով առաջարկվող կարգավորումների ընդունման հարցը նպատակահարմար չէ զուգորդել դրանց հետ</w:t>
            </w:r>
            <w:r w:rsidR="005C59B2" w:rsidRPr="005C59B2">
              <w:rPr>
                <w:rFonts w:ascii="GHEA Grapalat" w:hAnsi="GHEA Grapalat" w:cs="Sylfaen"/>
                <w:sz w:val="24"/>
                <w:lang w:val="hy-AM"/>
              </w:rPr>
              <w:t>:</w:t>
            </w:r>
          </w:p>
        </w:tc>
      </w:tr>
      <w:tr w:rsidR="00CD311C" w:rsidRPr="00B72E06" w14:paraId="60228EDB" w14:textId="77777777" w:rsidTr="00B72E06">
        <w:trPr>
          <w:trHeight w:val="980"/>
        </w:trPr>
        <w:tc>
          <w:tcPr>
            <w:tcW w:w="2813" w:type="dxa"/>
            <w:vMerge/>
            <w:tcBorders>
              <w:left w:val="single" w:sz="4" w:space="0" w:color="auto"/>
              <w:bottom w:val="single" w:sz="4" w:space="0" w:color="auto"/>
              <w:right w:val="single" w:sz="4" w:space="0" w:color="auto"/>
            </w:tcBorders>
          </w:tcPr>
          <w:p w14:paraId="6C743688" w14:textId="77777777"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7459547D"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Հիմք ընդունելով ԱՊՀ երկրներում կոոպերատիվների հարկման փորձը՝ ի հավելումն ՀՀ հարկային օրենսգրքում՝ կոոպերատիվների գործունեությունը կարգավորող դրույթների մասով նախատեսված փոփոխությունների առաջարկում ենք փոփոխություն կատարել նաև ՀՀ հարկային օրենսգրքի  126-րդ և 147-րդ հոդվածներում, մասնավորապես.</w:t>
            </w:r>
          </w:p>
          <w:p w14:paraId="220B2850"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 Շահութահարկով հարկման բազայի </w:t>
            </w:r>
            <w:r w:rsidRPr="00590A95">
              <w:rPr>
                <w:rFonts w:ascii="GHEA Grapalat" w:hAnsi="GHEA Grapalat" w:cs="Sylfaen"/>
                <w:sz w:val="24"/>
                <w:lang w:val="hy-AM"/>
              </w:rPr>
              <w:lastRenderedPageBreak/>
              <w:t>որոշման նպատակով եկամուտ չհամարել «Գյուղատնտեսական կոոպերատիվների մասին» և «Սպառողական կոոպերացիայի մասին» ՀՀ օրենքների համաձայն ստեղծված գյուղատնտեսական կոոպերատիվի կամ սպառողական կոոպերատիվի կողմից իր անդամներին ծառայությունների մատուցման, աշխատանքների կատարման և ապրանքների մատակարարման գործարքներից ստացվող եկամուտը:</w:t>
            </w:r>
            <w:r w:rsidRPr="00590A95">
              <w:rPr>
                <w:rFonts w:ascii="Calibri" w:hAnsi="Calibri" w:cs="Calibri"/>
                <w:sz w:val="24"/>
                <w:lang w:val="hy-AM"/>
              </w:rPr>
              <w:t> </w:t>
            </w:r>
          </w:p>
          <w:p w14:paraId="415CF7F7" w14:textId="211643EE"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Չհարկել գյուղատնտեսական կոոպերատիվների անդամների՝ կոոպերատիվ ավելցուկի բաշխման արդյունքում որպես կոոպերատիվ փոխհատուցում ստացվող եկամուտները:</w:t>
            </w:r>
          </w:p>
        </w:tc>
        <w:tc>
          <w:tcPr>
            <w:tcW w:w="2160" w:type="dxa"/>
            <w:tcBorders>
              <w:top w:val="single" w:sz="4" w:space="0" w:color="auto"/>
              <w:left w:val="single" w:sz="4" w:space="0" w:color="auto"/>
              <w:bottom w:val="single" w:sz="4" w:space="0" w:color="auto"/>
              <w:right w:val="single" w:sz="4" w:space="0" w:color="auto"/>
            </w:tcBorders>
          </w:tcPr>
          <w:p w14:paraId="26A1A29D" w14:textId="01E7A98E" w:rsidR="00CD311C" w:rsidRPr="005C59B2" w:rsidRDefault="00CD311C" w:rsidP="005C59B2">
            <w:pPr>
              <w:widowControl w:val="0"/>
              <w:tabs>
                <w:tab w:val="left" w:pos="181"/>
                <w:tab w:val="left" w:pos="340"/>
              </w:tabs>
              <w:jc w:val="center"/>
              <w:textAlignment w:val="baseline"/>
              <w:rPr>
                <w:rFonts w:ascii="GHEA Grapalat" w:hAnsi="GHEA Grapalat" w:cs="Sylfaen"/>
                <w:sz w:val="24"/>
                <w:lang w:val="hy-AM"/>
              </w:rPr>
            </w:pPr>
            <w:r>
              <w:rPr>
                <w:rFonts w:ascii="GHEA Grapalat" w:hAnsi="GHEA Grapalat" w:cs="Sylfaen"/>
                <w:sz w:val="24"/>
                <w:lang w:val="hy-AM"/>
              </w:rPr>
              <w:lastRenderedPageBreak/>
              <w:t xml:space="preserve">Չի ընդունվել։ </w:t>
            </w:r>
          </w:p>
        </w:tc>
        <w:tc>
          <w:tcPr>
            <w:tcW w:w="3652" w:type="dxa"/>
            <w:tcBorders>
              <w:top w:val="single" w:sz="4" w:space="0" w:color="auto"/>
              <w:left w:val="single" w:sz="4" w:space="0" w:color="auto"/>
              <w:bottom w:val="single" w:sz="4" w:space="0" w:color="auto"/>
              <w:right w:val="single" w:sz="4" w:space="0" w:color="auto"/>
            </w:tcBorders>
          </w:tcPr>
          <w:p w14:paraId="21E81962" w14:textId="2F606C93" w:rsidR="00CD311C" w:rsidRPr="000611A9" w:rsidRDefault="005C59B2" w:rsidP="00CD311C">
            <w:pPr>
              <w:widowControl w:val="0"/>
              <w:tabs>
                <w:tab w:val="left" w:pos="181"/>
                <w:tab w:val="left" w:pos="340"/>
              </w:tabs>
              <w:textAlignment w:val="baseline"/>
              <w:rPr>
                <w:rFonts w:ascii="GHEA Grapalat" w:hAnsi="GHEA Grapalat" w:cs="Sylfaen"/>
                <w:sz w:val="24"/>
                <w:lang w:val="af-ZA"/>
              </w:rPr>
            </w:pPr>
            <w:r>
              <w:rPr>
                <w:rFonts w:ascii="GHEA Grapalat" w:hAnsi="GHEA Grapalat" w:cs="Sylfaen"/>
                <w:sz w:val="24"/>
                <w:lang w:val="hy-AM"/>
              </w:rPr>
              <w:t>Բարձրացված խնդիրները քննարկվել է ՀՀ վարչապետի աշխատակազմում տեղի ունեցած աշխատանքային քննարկումների ժամանակ և որոշում է կայացվել նախագծով կարգավորել միայն այն հարցերը, որոնց կարգավորումներն ամրագրված են նախագծով։</w:t>
            </w:r>
          </w:p>
        </w:tc>
      </w:tr>
      <w:tr w:rsidR="00CD311C" w:rsidRPr="004A2D60" w14:paraId="4E2E1ACD" w14:textId="77777777" w:rsidTr="00B72E06">
        <w:trPr>
          <w:trHeight w:val="1384"/>
        </w:trPr>
        <w:tc>
          <w:tcPr>
            <w:tcW w:w="2813" w:type="dxa"/>
            <w:vMerge w:val="restart"/>
            <w:tcBorders>
              <w:top w:val="single" w:sz="4" w:space="0" w:color="auto"/>
              <w:left w:val="single" w:sz="4" w:space="0" w:color="auto"/>
              <w:right w:val="single" w:sz="4" w:space="0" w:color="auto"/>
            </w:tcBorders>
          </w:tcPr>
          <w:p w14:paraId="54EDDD62" w14:textId="77777777"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 xml:space="preserve">ՀՀ </w:t>
            </w:r>
            <w:r w:rsidRPr="00D73751">
              <w:rPr>
                <w:rFonts w:ascii="GHEA Grapalat" w:hAnsi="GHEA Grapalat" w:cs="Sylfaen"/>
                <w:sz w:val="24"/>
                <w:lang w:val="hy-AM"/>
              </w:rPr>
              <w:t>պետական եկամուտների կոմիտե</w:t>
            </w:r>
          </w:p>
          <w:p w14:paraId="4452D19E" w14:textId="5732C3CB"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r>
              <w:rPr>
                <w:rFonts w:ascii="GHEA Grapalat" w:hAnsi="GHEA Grapalat" w:cs="Sylfaen"/>
                <w:sz w:val="24"/>
                <w:lang w:val="hy-AM"/>
              </w:rPr>
              <w:t>11</w:t>
            </w:r>
            <w:r w:rsidRPr="00D73751">
              <w:rPr>
                <w:rFonts w:ascii="GHEA Grapalat" w:hAnsi="GHEA Grapalat" w:cs="Sylfaen"/>
                <w:sz w:val="24"/>
                <w:lang w:val="af-ZA"/>
              </w:rPr>
              <w:t>.</w:t>
            </w:r>
            <w:r>
              <w:rPr>
                <w:rFonts w:ascii="GHEA Grapalat" w:hAnsi="GHEA Grapalat" w:cs="Sylfaen"/>
                <w:sz w:val="24"/>
                <w:lang w:val="hy-AM"/>
              </w:rPr>
              <w:t>08</w:t>
            </w:r>
            <w:r w:rsidRPr="00D73751">
              <w:rPr>
                <w:rFonts w:ascii="GHEA Grapalat" w:hAnsi="GHEA Grapalat" w:cs="Sylfaen"/>
                <w:sz w:val="24"/>
                <w:lang w:val="af-ZA"/>
              </w:rPr>
              <w:t>.20</w:t>
            </w:r>
            <w:r>
              <w:rPr>
                <w:rFonts w:ascii="GHEA Grapalat" w:hAnsi="GHEA Grapalat" w:cs="Sylfaen"/>
                <w:sz w:val="24"/>
                <w:lang w:val="af-ZA"/>
              </w:rPr>
              <w:t>20</w:t>
            </w:r>
            <w:r w:rsidRPr="00D73751">
              <w:rPr>
                <w:rFonts w:ascii="GHEA Grapalat" w:hAnsi="GHEA Grapalat" w:cs="Sylfaen"/>
                <w:sz w:val="24"/>
                <w:lang w:val="af-ZA"/>
              </w:rPr>
              <w:t>թ.</w:t>
            </w:r>
          </w:p>
          <w:p w14:paraId="7B0F2D93" w14:textId="5BFB2FFC" w:rsidR="00CD311C" w:rsidRPr="00590A95" w:rsidRDefault="00CD311C" w:rsidP="00CD311C">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 xml:space="preserve">թիվ </w:t>
            </w:r>
            <w:r w:rsidRPr="00590A95">
              <w:rPr>
                <w:lang w:val="af-ZA"/>
              </w:rPr>
              <w:t xml:space="preserve"> </w:t>
            </w:r>
            <w:r w:rsidRPr="00590A95">
              <w:rPr>
                <w:rFonts w:ascii="GHEA Grapalat" w:hAnsi="GHEA Grapalat" w:cs="Sylfaen"/>
                <w:sz w:val="24"/>
                <w:lang w:val="af-ZA"/>
              </w:rPr>
              <w:t>03/3-3/51591-2020</w:t>
            </w:r>
          </w:p>
          <w:p w14:paraId="38135104" w14:textId="13FB95B8"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360CDE79"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Նախագծի 2-րդ հոդվածով առաջարկվում է լրացում կատարել ՀՀ հարկային օրենսգրքի 103-րդ հոդվածում, համաձայն որի՝ բացառապես գյուղատնտեսական արտադրանք արտադրող ռեզիդենտ կազմակերպությունները, մշտական հաստատության միջոցով ՀՀ-ում գործունեություն իրականացնող՝ բացառապես գյուղատնտեսական արտադրանք արտադրող ոչ ռեզիդենտ կազմակերպությունները և ՀՀ-ում հաշվառված անհատ ձեռնարկատերերը 2025թ. հունվարի 1-ից շահութահարկ վճարող են համարվում Օրենսգրքով սահմանված կարգով հաշվետու տարվա ընթացքում ԱԱՀ վճարող համարվելու դեպքում՝ ԱԱՀ վճարող համարվելու ժամանակահատվածին </w:t>
            </w:r>
            <w:r w:rsidRPr="00590A95">
              <w:rPr>
                <w:rFonts w:ascii="GHEA Grapalat" w:hAnsi="GHEA Grapalat" w:cs="Sylfaen"/>
                <w:sz w:val="24"/>
                <w:lang w:val="hy-AM"/>
              </w:rPr>
              <w:lastRenderedPageBreak/>
              <w:t>վերագրվող՝ շահութահարկով հարկվող բազայի մասով:</w:t>
            </w:r>
          </w:p>
          <w:p w14:paraId="26BFA818"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Ներկայացված առաջարկի հետ կապված անհրաժեշտ է հաշվի առնել, որ «բացառապես գյուղատնտեսական արտադրանք արտադրող» համարվելու հանգամանքը շատ խնդրահարույց է, հաշվի առնելով, որ հնարավոր է հարկ վճարողը եկամուտներ ստանա հիմնական միջոցի օտարումից կամ ստանա որևէ պասիվ եկամուտ (օրինակ՝ բանկային հաշվում առկա գումարի մնացորդի մասով տոկոսի ստացում, որն ի դեպ, չի հանդիսանում ԱԱՀ-ով հարկման օբյեկտ): Այսինքն, տվյալ դեպքում հարկ վճարողը դադարում է համարվել «բացառապես» գյուղատնտեսական արտադրանք արտադրող:</w:t>
            </w:r>
          </w:p>
          <w:p w14:paraId="21A055EC"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Միաժամանակ, ՀՀ հարկային օրենսգրքի 59-րդ հոդվածով սահմանված են ԱԱՀ վճարող համարվելու դեպքերը (շեմի գերազանցում, հատուկ հարկման համակարգերի պահանջներին չբավարարել կամ հայտարարություն չներկայացնել, </w:t>
            </w:r>
            <w:proofErr w:type="spellStart"/>
            <w:r w:rsidRPr="00590A95">
              <w:rPr>
                <w:rFonts w:ascii="GHEA Grapalat" w:hAnsi="GHEA Grapalat" w:cs="Sylfaen"/>
                <w:sz w:val="24"/>
                <w:lang w:val="hy-AM"/>
              </w:rPr>
              <w:t>կամավորությամբ</w:t>
            </w:r>
            <w:proofErr w:type="spellEnd"/>
            <w:r w:rsidRPr="00590A95">
              <w:rPr>
                <w:rFonts w:ascii="GHEA Grapalat" w:hAnsi="GHEA Grapalat" w:cs="Sylfaen"/>
                <w:sz w:val="24"/>
                <w:lang w:val="hy-AM"/>
              </w:rPr>
              <w:t xml:space="preserve"> հայտարարություն ներկայացնելով և այլն)։ Ընդ որում, օրենսգրքով սահմանված կարգով ԱԱՀ վճարող համարվելու համար որոշ դեպքերում անհրաժեշտ է, որ հարկ վճարողի հայտարարության հիման վրա հարկ վճարողը հաշվառվի որպես ԱԱՀ վճարող։ Միաժամանակ, օրենսգրքով </w:t>
            </w:r>
            <w:r w:rsidRPr="00590A95">
              <w:rPr>
                <w:rFonts w:ascii="GHEA Grapalat" w:hAnsi="GHEA Grapalat" w:cs="Sylfaen"/>
                <w:sz w:val="24"/>
                <w:lang w:val="hy-AM"/>
              </w:rPr>
              <w:lastRenderedPageBreak/>
              <w:t xml:space="preserve">գյուղատնտեսական արտադրանքի արտադրությամբ զբաղվողների ԱԱՀ վճարող համարվելու համար նախատեսված են առանձնահատուկ կարգավորումներ։ Հաշվի առնելով վերոնշյալ հանգամանքները կարծում ենք, որ խնդրի լուծման այս տարբերակը վարչարարության առումով դժվարություններ կստեղծի։ </w:t>
            </w:r>
          </w:p>
          <w:p w14:paraId="1F0CF0DD"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ՀՀ պետական եկամուտների կոմիտեն կարևորելով խնդրի լուծման անհրաժեշտությունը, առաջարկում է քննարկել լուծման հետևյալ տարբերակները։</w:t>
            </w:r>
          </w:p>
          <w:p w14:paraId="4E81159E" w14:textId="3643AC6D"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1) Օրենսգրքով սահմանել, որ եթե հաշվետու տարում գյուղատնտեսական արտադրանքի իրացումից եկամտի և գյուղատնտեսական արտադրանքից իրացումից տարբերվող այլ եկամուտների հանրագումարը չի գերազանցում 115 մլն դրամը, ապա գյուղատնտեսական արտադրանքի իրացումից եկամուտը՝ Օրենսգրքի 108-րդ հոդվածի կարգավորումների համաձայն համարել եկամուտ չհամարվող տարր։ Միաժամանակ, Օրենսգրքի 112-րդ հոդվածում սահմանել, որ գյուղատնտեսական արտադրանքի արտադրության հետ կախված ծախսերը համարվելու են ծախս չհամարվող տարր։  </w:t>
            </w:r>
          </w:p>
          <w:p w14:paraId="4927253D" w14:textId="77777777"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Այս կարգավորման դեպքում առկա է այն ռիսկը, որ 115 մլն դրամ հանրագումարի (գյուղատնտեսական և ոչ գյուղատնտեսական եկամտի) շեմը թեկուզ չնչին չափով գերազանցելու դեպքում պայմանը կհամարվի </w:t>
            </w:r>
            <w:r w:rsidRPr="00590A95">
              <w:rPr>
                <w:rFonts w:ascii="GHEA Grapalat" w:hAnsi="GHEA Grapalat" w:cs="Sylfaen"/>
                <w:sz w:val="24"/>
                <w:lang w:val="hy-AM"/>
              </w:rPr>
              <w:lastRenderedPageBreak/>
              <w:t xml:space="preserve">խախտված և արտոնությունը (եկամուտ չհամարվող տարր) կիրառելի չի լինի հաշվետու տարվա ընթացքում գյուղատնտեսական արտադրանքի իրացումից եկամտի ամբողջ մեծության նկատմամբ։ Այս տարբերակը կառաջացնի բազմաթիվ խնդիրներ ինչպես հարկ վճարողների, այնպես էլ վարչարարություն իրականացնող մարմնի համար։ </w:t>
            </w:r>
          </w:p>
          <w:p w14:paraId="7DCC8300" w14:textId="515EFC95" w:rsidR="00CD311C" w:rsidRPr="00590A95" w:rsidRDefault="00CD311C" w:rsidP="00CD311C">
            <w:pPr>
              <w:widowControl w:val="0"/>
              <w:tabs>
                <w:tab w:val="left" w:pos="181"/>
                <w:tab w:val="left" w:pos="340"/>
              </w:tabs>
              <w:textAlignment w:val="baseline"/>
              <w:rPr>
                <w:rFonts w:ascii="GHEA Grapalat" w:hAnsi="GHEA Grapalat" w:cs="Sylfaen"/>
                <w:sz w:val="24"/>
                <w:lang w:val="hy-AM"/>
              </w:rPr>
            </w:pPr>
            <w:r w:rsidRPr="00590A95">
              <w:rPr>
                <w:rFonts w:ascii="GHEA Grapalat" w:hAnsi="GHEA Grapalat" w:cs="Sylfaen"/>
                <w:sz w:val="24"/>
                <w:lang w:val="hy-AM"/>
              </w:rPr>
              <w:t xml:space="preserve">2)Օրենսգրքով սահմանել, որ նախորդ հարկային տարում մինչև 115 մլն դրամ համախառն եկամուտ ունեցող շահութահարկ վճարողի՝ շահութահարկով հարկման բազայի որոշման նպատակով համախառն եկամտից նվազեցվում է գյուղատնտեսական արտադրանքի իրացումից եկամտի գումարը։ Միաժամանակ, Օրենսգրքի 113-րդ հոդվածի 1-ին մասի 4-րդ կետի համաձայն՝ շահութահարկ վճարողի հարկման բազան որոշելիս համախառն եկամտից չեն նվազեցվում այն եկամուտների ստացման հետ կապված ծախսերը, որոնք շահութահարկով հարկման բազան որոշելիս նվազեցվում են համախառն եկամտից։ Այս կարգավորման դեպքում, Օրենսգրքով սահմանվող արտոնությունից կարող են օգտվել միայն այն շահութահարկ վճարողները, որոնց նախորդ տարվա համախառն եկամուտը չի գերազանցել 115 մլն դրամը։ Խնդիրներ են առաջանում այն դեպքերում, երբ շահութահարկ վճարողը նախորդ հարկային տարում այլ </w:t>
            </w:r>
            <w:r w:rsidRPr="00590A95">
              <w:rPr>
                <w:rFonts w:ascii="GHEA Grapalat" w:hAnsi="GHEA Grapalat" w:cs="Sylfaen"/>
                <w:sz w:val="24"/>
                <w:lang w:val="hy-AM"/>
              </w:rPr>
              <w:lastRenderedPageBreak/>
              <w:t xml:space="preserve">գործունեություններից ստացվող եկամուտների մասով է գերազանցել 115 մլն դրամը, կամ ընթացիկ տարում է սկսել զբաղվել գյուղատնտեսական արտադրանքի արտադրությամբ և </w:t>
            </w:r>
            <w:proofErr w:type="spellStart"/>
            <w:r w:rsidRPr="00590A95">
              <w:rPr>
                <w:rFonts w:ascii="GHEA Grapalat" w:hAnsi="GHEA Grapalat" w:cs="Sylfaen"/>
                <w:sz w:val="24"/>
                <w:lang w:val="hy-AM"/>
              </w:rPr>
              <w:t>իրացմամբ</w:t>
            </w:r>
            <w:proofErr w:type="spellEnd"/>
            <w:r w:rsidRPr="00590A95">
              <w:rPr>
                <w:rFonts w:ascii="GHEA Grapalat" w:hAnsi="GHEA Grapalat" w:cs="Sylfaen"/>
                <w:sz w:val="24"/>
                <w:lang w:val="hy-AM"/>
              </w:rPr>
              <w:t>, նոր է գրանցվել որպես գյուղատնտեսական արտադրանք արտադրող և իրացնող հարկ վճարող և այլն։</w:t>
            </w:r>
          </w:p>
          <w:p w14:paraId="268E9439" w14:textId="6B01B3C9" w:rsidR="00CD311C" w:rsidRPr="00D73751" w:rsidRDefault="00CD311C" w:rsidP="00CD311C">
            <w:pPr>
              <w:widowControl w:val="0"/>
              <w:tabs>
                <w:tab w:val="left" w:pos="181"/>
                <w:tab w:val="left" w:pos="340"/>
              </w:tabs>
              <w:textAlignment w:val="baseline"/>
              <w:rPr>
                <w:rFonts w:ascii="GHEA Grapalat" w:hAnsi="GHEA Grapalat" w:cs="Sylfaen"/>
                <w:sz w:val="24"/>
                <w:lang w:val="hy-AM"/>
              </w:rPr>
            </w:pPr>
            <w:r w:rsidRPr="00891FD0">
              <w:rPr>
                <w:rFonts w:ascii="GHEA Grapalat" w:hAnsi="GHEA Grapalat" w:cs="Sylfaen"/>
                <w:sz w:val="24"/>
                <w:lang w:val="hy-AM"/>
              </w:rPr>
              <w:t>3</w:t>
            </w:r>
            <w:r w:rsidRPr="00590A95">
              <w:rPr>
                <w:rFonts w:ascii="GHEA Grapalat" w:hAnsi="GHEA Grapalat" w:cs="Sylfaen"/>
                <w:sz w:val="24"/>
                <w:lang w:val="hy-AM"/>
              </w:rPr>
              <w:t xml:space="preserve">)Օրենսգրքով սահմանել, որ շահութահարկ վճարողի՝ շահութահարկով հարկման բազայի որոշման նպատակով համախառն եկամտից նվազեցվում է գյուղատնտեսական արտադրանքի իրացումից ստացված եկամտի գումարը, բայց ոչ ավելի 115 մլն դրամը։ Այս պարագայում արտոնությունը </w:t>
            </w:r>
            <w:proofErr w:type="spellStart"/>
            <w:r w:rsidRPr="00590A95">
              <w:rPr>
                <w:rFonts w:ascii="GHEA Grapalat" w:hAnsi="GHEA Grapalat" w:cs="Sylfaen"/>
                <w:sz w:val="24"/>
                <w:lang w:val="hy-AM"/>
              </w:rPr>
              <w:t>վերապահելի</w:t>
            </w:r>
            <w:proofErr w:type="spellEnd"/>
            <w:r w:rsidRPr="00590A95">
              <w:rPr>
                <w:rFonts w:ascii="GHEA Grapalat" w:hAnsi="GHEA Grapalat" w:cs="Sylfaen"/>
                <w:sz w:val="24"/>
                <w:lang w:val="hy-AM"/>
              </w:rPr>
              <w:t xml:space="preserve"> կլինի գյուղատնտեսական արտադրանքի արտադրությամբ զբաղվող բոլոր հարկ վճարողների նկատմամբ մինչև 115 մլն դրամ գյուղատնտեսական արտադրանքի իրացումից ստացվող եկամտի նկատմամբ, սակայն, և՛ հարկ վճարողների, և՛ վարչարարություն իրականացնող մարմնի համար պարզ և կիրառելի տարբերակ կլինի։ Այն կապահովի արտոնության աստիճանական կրճատում։ Միաժամանակ, Օրենսգրքի 113-րդ հոդվածի 1-ին մասի 4-րդ կետի համաձայն՝ շահութահարկ վճարողի հարկման բազան որոշելիս համախառն եկամտից չեն նվազեցվում այն եկամուտների ստացման հետ կապված ծախսերը, որոնք շահութահարկով հարկման բազան որոշելիս նվազեցվում են համախառն </w:t>
            </w:r>
            <w:r w:rsidRPr="00590A95">
              <w:rPr>
                <w:rFonts w:ascii="GHEA Grapalat" w:hAnsi="GHEA Grapalat" w:cs="Sylfaen"/>
                <w:sz w:val="24"/>
                <w:lang w:val="hy-AM"/>
              </w:rPr>
              <w:lastRenderedPageBreak/>
              <w:t>եկամտից։ Այս կարգավորման դեպքում, բոլոր շահութահարկ վճարողները կարող են օգտվել շահութահարկի նշված արտոնությունից։</w:t>
            </w:r>
          </w:p>
        </w:tc>
        <w:tc>
          <w:tcPr>
            <w:tcW w:w="2160" w:type="dxa"/>
            <w:tcBorders>
              <w:top w:val="single" w:sz="4" w:space="0" w:color="auto"/>
              <w:left w:val="single" w:sz="4" w:space="0" w:color="auto"/>
              <w:bottom w:val="single" w:sz="4" w:space="0" w:color="auto"/>
              <w:right w:val="single" w:sz="4" w:space="0" w:color="auto"/>
            </w:tcBorders>
          </w:tcPr>
          <w:p w14:paraId="46D9113E" w14:textId="22FC82FD" w:rsidR="00CD311C" w:rsidRPr="004A2D60" w:rsidRDefault="004A2D60" w:rsidP="00CD311C">
            <w:pPr>
              <w:widowControl w:val="0"/>
              <w:tabs>
                <w:tab w:val="left" w:pos="181"/>
                <w:tab w:val="left" w:pos="340"/>
              </w:tabs>
              <w:jc w:val="center"/>
              <w:textAlignment w:val="baseline"/>
              <w:rPr>
                <w:rFonts w:ascii="GHEA Grapalat" w:hAnsi="GHEA Grapalat" w:cs="Sylfaen"/>
                <w:sz w:val="24"/>
              </w:rPr>
            </w:pPr>
            <w:proofErr w:type="spellStart"/>
            <w:r>
              <w:rPr>
                <w:rFonts w:ascii="GHEA Grapalat" w:hAnsi="GHEA Grapalat" w:cs="Sylfaen"/>
                <w:sz w:val="24"/>
              </w:rPr>
              <w:lastRenderedPageBreak/>
              <w:t>Ընդունվել</w:t>
            </w:r>
            <w:proofErr w:type="spellEnd"/>
            <w:r>
              <w:rPr>
                <w:rFonts w:ascii="GHEA Grapalat" w:hAnsi="GHEA Grapalat" w:cs="Sylfaen"/>
                <w:sz w:val="24"/>
              </w:rPr>
              <w:t xml:space="preserve"> է ի </w:t>
            </w:r>
            <w:proofErr w:type="spellStart"/>
            <w:r>
              <w:rPr>
                <w:rFonts w:ascii="GHEA Grapalat" w:hAnsi="GHEA Grapalat" w:cs="Sylfaen"/>
                <w:sz w:val="24"/>
              </w:rPr>
              <w:t>գիտություն</w:t>
            </w:r>
            <w:proofErr w:type="spellEnd"/>
            <w:r>
              <w:rPr>
                <w:rFonts w:ascii="GHEA Grapalat" w:hAnsi="GHEA Grapalat" w:cs="Sylfaen"/>
                <w:sz w:val="24"/>
              </w:rPr>
              <w:t>:</w:t>
            </w:r>
          </w:p>
        </w:tc>
        <w:tc>
          <w:tcPr>
            <w:tcW w:w="3652" w:type="dxa"/>
            <w:tcBorders>
              <w:top w:val="single" w:sz="4" w:space="0" w:color="auto"/>
              <w:left w:val="single" w:sz="4" w:space="0" w:color="auto"/>
              <w:bottom w:val="single" w:sz="4" w:space="0" w:color="auto"/>
              <w:right w:val="single" w:sz="4" w:space="0" w:color="auto"/>
            </w:tcBorders>
          </w:tcPr>
          <w:p w14:paraId="10775CC1" w14:textId="4BC9BDEC" w:rsidR="00CD311C" w:rsidRPr="004A2D60" w:rsidRDefault="004A2D60" w:rsidP="004A2D60">
            <w:pPr>
              <w:widowControl w:val="0"/>
              <w:tabs>
                <w:tab w:val="left" w:pos="181"/>
                <w:tab w:val="left" w:pos="340"/>
              </w:tabs>
              <w:textAlignment w:val="baseline"/>
              <w:rPr>
                <w:rFonts w:ascii="GHEA Grapalat" w:hAnsi="GHEA Grapalat" w:cs="Sylfaen"/>
                <w:sz w:val="24"/>
              </w:rPr>
            </w:pPr>
            <w:proofErr w:type="spellStart"/>
            <w:r>
              <w:rPr>
                <w:rFonts w:ascii="GHEA Grapalat" w:hAnsi="GHEA Grapalat" w:cs="Sylfaen"/>
                <w:sz w:val="24"/>
              </w:rPr>
              <w:t>Ներկա</w:t>
            </w:r>
            <w:proofErr w:type="spellEnd"/>
            <w:r>
              <w:rPr>
                <w:rFonts w:ascii="GHEA Grapalat" w:hAnsi="GHEA Grapalat" w:cs="Sylfaen"/>
                <w:sz w:val="24"/>
              </w:rPr>
              <w:t xml:space="preserve"> </w:t>
            </w:r>
            <w:proofErr w:type="spellStart"/>
            <w:r>
              <w:rPr>
                <w:rFonts w:ascii="GHEA Grapalat" w:hAnsi="GHEA Grapalat" w:cs="Sylfaen"/>
                <w:sz w:val="24"/>
              </w:rPr>
              <w:t>փուլում</w:t>
            </w:r>
            <w:proofErr w:type="spellEnd"/>
            <w:r>
              <w:rPr>
                <w:rFonts w:ascii="GHEA Grapalat" w:hAnsi="GHEA Grapalat" w:cs="Sylfaen"/>
                <w:sz w:val="24"/>
              </w:rPr>
              <w:t xml:space="preserve"> </w:t>
            </w:r>
            <w:proofErr w:type="spellStart"/>
            <w:r>
              <w:rPr>
                <w:rFonts w:ascii="GHEA Grapalat" w:hAnsi="GHEA Grapalat" w:cs="Sylfaen"/>
                <w:sz w:val="24"/>
              </w:rPr>
              <w:t>նպատակահարմար</w:t>
            </w:r>
            <w:proofErr w:type="spellEnd"/>
            <w:r>
              <w:rPr>
                <w:rFonts w:ascii="GHEA Grapalat" w:hAnsi="GHEA Grapalat" w:cs="Sylfaen"/>
                <w:sz w:val="24"/>
              </w:rPr>
              <w:t xml:space="preserve"> է </w:t>
            </w:r>
            <w:proofErr w:type="spellStart"/>
            <w:r>
              <w:rPr>
                <w:rFonts w:ascii="GHEA Grapalat" w:hAnsi="GHEA Grapalat" w:cs="Sylfaen"/>
                <w:sz w:val="24"/>
              </w:rPr>
              <w:t>համարվել</w:t>
            </w:r>
            <w:proofErr w:type="spellEnd"/>
            <w:r>
              <w:rPr>
                <w:rFonts w:ascii="GHEA Grapalat" w:hAnsi="GHEA Grapalat" w:cs="Sylfaen"/>
                <w:sz w:val="24"/>
              </w:rPr>
              <w:t xml:space="preserve"> </w:t>
            </w:r>
            <w:proofErr w:type="spellStart"/>
            <w:r>
              <w:rPr>
                <w:rFonts w:ascii="GHEA Grapalat" w:hAnsi="GHEA Grapalat" w:cs="Sylfaen"/>
                <w:sz w:val="24"/>
              </w:rPr>
              <w:t>նշյալ</w:t>
            </w:r>
            <w:proofErr w:type="spellEnd"/>
            <w:r>
              <w:rPr>
                <w:rFonts w:ascii="GHEA Grapalat" w:hAnsi="GHEA Grapalat" w:cs="Sylfaen"/>
                <w:sz w:val="24"/>
              </w:rPr>
              <w:t xml:space="preserve"> </w:t>
            </w:r>
            <w:proofErr w:type="spellStart"/>
            <w:r>
              <w:rPr>
                <w:rFonts w:ascii="GHEA Grapalat" w:hAnsi="GHEA Grapalat" w:cs="Sylfaen"/>
                <w:sz w:val="24"/>
              </w:rPr>
              <w:t>հոդվածը</w:t>
            </w:r>
            <w:proofErr w:type="spellEnd"/>
            <w:r>
              <w:rPr>
                <w:rFonts w:ascii="GHEA Grapalat" w:hAnsi="GHEA Grapalat" w:cs="Sylfaen"/>
                <w:sz w:val="24"/>
              </w:rPr>
              <w:t xml:space="preserve"> </w:t>
            </w:r>
            <w:proofErr w:type="spellStart"/>
            <w:r>
              <w:rPr>
                <w:rFonts w:ascii="GHEA Grapalat" w:hAnsi="GHEA Grapalat" w:cs="Sylfaen"/>
                <w:sz w:val="24"/>
              </w:rPr>
              <w:t>հանել</w:t>
            </w:r>
            <w:proofErr w:type="spellEnd"/>
            <w:r>
              <w:rPr>
                <w:rFonts w:ascii="GHEA Grapalat" w:hAnsi="GHEA Grapalat" w:cs="Sylfaen"/>
                <w:sz w:val="24"/>
              </w:rPr>
              <w:t xml:space="preserve"> </w:t>
            </w:r>
            <w:proofErr w:type="spellStart"/>
            <w:r>
              <w:rPr>
                <w:rFonts w:ascii="GHEA Grapalat" w:hAnsi="GHEA Grapalat" w:cs="Sylfaen"/>
                <w:sz w:val="24"/>
              </w:rPr>
              <w:t>նախագծից</w:t>
            </w:r>
            <w:proofErr w:type="spellEnd"/>
            <w:r>
              <w:rPr>
                <w:rFonts w:ascii="GHEA Grapalat" w:hAnsi="GHEA Grapalat" w:cs="Sylfaen"/>
                <w:sz w:val="24"/>
              </w:rPr>
              <w:t xml:space="preserve"> և </w:t>
            </w:r>
            <w:proofErr w:type="spellStart"/>
            <w:r>
              <w:rPr>
                <w:rFonts w:ascii="GHEA Grapalat" w:hAnsi="GHEA Grapalat" w:cs="Sylfaen"/>
                <w:sz w:val="24"/>
              </w:rPr>
              <w:t>դրա</w:t>
            </w:r>
            <w:proofErr w:type="spellEnd"/>
            <w:r>
              <w:rPr>
                <w:rFonts w:ascii="GHEA Grapalat" w:hAnsi="GHEA Grapalat" w:cs="Sylfaen"/>
                <w:sz w:val="24"/>
              </w:rPr>
              <w:t xml:space="preserve"> </w:t>
            </w:r>
            <w:proofErr w:type="spellStart"/>
            <w:r>
              <w:rPr>
                <w:rFonts w:ascii="GHEA Grapalat" w:hAnsi="GHEA Grapalat" w:cs="Sylfaen"/>
                <w:sz w:val="24"/>
              </w:rPr>
              <w:t>քննարկմանը</w:t>
            </w:r>
            <w:proofErr w:type="spellEnd"/>
            <w:r>
              <w:rPr>
                <w:rFonts w:ascii="GHEA Grapalat" w:hAnsi="GHEA Grapalat" w:cs="Sylfaen"/>
                <w:sz w:val="24"/>
              </w:rPr>
              <w:t xml:space="preserve"> </w:t>
            </w:r>
            <w:proofErr w:type="spellStart"/>
            <w:r>
              <w:rPr>
                <w:rFonts w:ascii="GHEA Grapalat" w:hAnsi="GHEA Grapalat" w:cs="Sylfaen"/>
                <w:sz w:val="24"/>
              </w:rPr>
              <w:t>անդրադառնալ</w:t>
            </w:r>
            <w:proofErr w:type="spellEnd"/>
            <w:r>
              <w:rPr>
                <w:rFonts w:ascii="GHEA Grapalat" w:hAnsi="GHEA Grapalat" w:cs="Sylfaen"/>
                <w:sz w:val="24"/>
              </w:rPr>
              <w:t xml:space="preserve"> </w:t>
            </w:r>
            <w:proofErr w:type="spellStart"/>
            <w:r>
              <w:rPr>
                <w:rFonts w:ascii="GHEA Grapalat" w:hAnsi="GHEA Grapalat" w:cs="Sylfaen"/>
                <w:sz w:val="24"/>
              </w:rPr>
              <w:t>հետագայում</w:t>
            </w:r>
            <w:proofErr w:type="spellEnd"/>
            <w:r>
              <w:rPr>
                <w:rFonts w:ascii="GHEA Grapalat" w:hAnsi="GHEA Grapalat" w:cs="Sylfaen"/>
                <w:sz w:val="24"/>
              </w:rPr>
              <w:t xml:space="preserve">: </w:t>
            </w:r>
          </w:p>
        </w:tc>
      </w:tr>
      <w:tr w:rsidR="00CD311C" w:rsidRPr="00B72E06" w14:paraId="2F38A1CE" w14:textId="77777777" w:rsidTr="00B72E06">
        <w:trPr>
          <w:trHeight w:val="416"/>
        </w:trPr>
        <w:tc>
          <w:tcPr>
            <w:tcW w:w="2813" w:type="dxa"/>
            <w:vMerge/>
            <w:tcBorders>
              <w:left w:val="single" w:sz="4" w:space="0" w:color="auto"/>
              <w:right w:val="single" w:sz="4" w:space="0" w:color="auto"/>
            </w:tcBorders>
          </w:tcPr>
          <w:p w14:paraId="59C6F746" w14:textId="77777777"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0B255EE1" w14:textId="77777777" w:rsidR="00CD311C" w:rsidRPr="00891FD0" w:rsidRDefault="00CD311C" w:rsidP="00CD311C">
            <w:pPr>
              <w:widowControl w:val="0"/>
              <w:tabs>
                <w:tab w:val="left" w:pos="181"/>
                <w:tab w:val="left" w:pos="340"/>
              </w:tabs>
              <w:textAlignment w:val="baseline"/>
              <w:rPr>
                <w:rFonts w:ascii="GHEA Grapalat" w:hAnsi="GHEA Grapalat" w:cs="Sylfaen"/>
                <w:sz w:val="24"/>
                <w:lang w:val="hy-AM"/>
              </w:rPr>
            </w:pPr>
            <w:r w:rsidRPr="00891FD0">
              <w:rPr>
                <w:rFonts w:ascii="GHEA Grapalat" w:hAnsi="GHEA Grapalat" w:cs="Sylfaen"/>
                <w:sz w:val="24"/>
                <w:lang w:val="hy-AM"/>
              </w:rPr>
              <w:t>Նախագծի 1-ին, 5-րդ և 6-րդ հոդվածներով նախատեսվում է 2025 թվականի հունվարի 1-ից օրենսգրքի 4-րդ հոդվածով սահմանել «գյուղատնտեսական արտադրանք» հասկացությունը՝ որպես հարկ վճարողի կողմից իրականացված գոր</w:t>
            </w:r>
            <w:r w:rsidRPr="00891FD0">
              <w:rPr>
                <w:rFonts w:ascii="GHEA Grapalat" w:hAnsi="GHEA Grapalat" w:cs="Sylfaen"/>
                <w:sz w:val="24"/>
                <w:lang w:val="hy-AM"/>
              </w:rPr>
              <w:softHyphen/>
              <w:t>ծո</w:t>
            </w:r>
            <w:r w:rsidRPr="00891FD0">
              <w:rPr>
                <w:rFonts w:ascii="GHEA Grapalat" w:hAnsi="GHEA Grapalat" w:cs="Sylfaen"/>
                <w:sz w:val="24"/>
                <w:lang w:val="hy-AM"/>
              </w:rPr>
              <w:softHyphen/>
              <w:t>ղու</w:t>
            </w:r>
            <w:r w:rsidRPr="00891FD0">
              <w:rPr>
                <w:rFonts w:ascii="GHEA Grapalat" w:hAnsi="GHEA Grapalat" w:cs="Sylfaen"/>
                <w:sz w:val="24"/>
                <w:lang w:val="hy-AM"/>
              </w:rPr>
              <w:softHyphen/>
            </w:r>
            <w:r w:rsidRPr="00891FD0">
              <w:rPr>
                <w:rFonts w:ascii="GHEA Grapalat" w:hAnsi="GHEA Grapalat" w:cs="Sylfaen"/>
                <w:sz w:val="24"/>
                <w:lang w:val="hy-AM"/>
              </w:rPr>
              <w:softHyphen/>
              <w:t>թյունների արդյունքում կենդանիների կամ բույսերի կենսաբանական վերափոխման միջո</w:t>
            </w:r>
            <w:r w:rsidRPr="00891FD0">
              <w:rPr>
                <w:rFonts w:ascii="GHEA Grapalat" w:hAnsi="GHEA Grapalat" w:cs="Sylfaen"/>
                <w:sz w:val="24"/>
                <w:lang w:val="hy-AM"/>
              </w:rPr>
              <w:softHyphen/>
              <w:t>ցով վերջ</w:t>
            </w:r>
            <w:r w:rsidRPr="00891FD0">
              <w:rPr>
                <w:rFonts w:ascii="GHEA Grapalat" w:hAnsi="GHEA Grapalat" w:cs="Sylfaen"/>
                <w:sz w:val="24"/>
                <w:lang w:val="hy-AM"/>
              </w:rPr>
              <w:softHyphen/>
              <w:t>նական կամ միջանկյալ սպառման համար ստացվող նույն կետում թվարկված արտադրանք, իսկ օրենսգրքի 126-րդ հոդվածի 1-ին մասն ուժը կորցրած ճանաչել։</w:t>
            </w:r>
          </w:p>
          <w:p w14:paraId="33B597F5" w14:textId="77777777" w:rsidR="00CD311C" w:rsidRPr="00891FD0" w:rsidRDefault="00CD311C" w:rsidP="00CD311C">
            <w:pPr>
              <w:widowControl w:val="0"/>
              <w:tabs>
                <w:tab w:val="left" w:pos="181"/>
                <w:tab w:val="left" w:pos="340"/>
              </w:tabs>
              <w:textAlignment w:val="baseline"/>
              <w:rPr>
                <w:rFonts w:ascii="GHEA Grapalat" w:hAnsi="GHEA Grapalat" w:cs="Sylfaen"/>
                <w:sz w:val="24"/>
                <w:lang w:val="hy-AM"/>
              </w:rPr>
            </w:pPr>
            <w:proofErr w:type="spellStart"/>
            <w:r w:rsidRPr="00891FD0">
              <w:rPr>
                <w:rFonts w:ascii="GHEA Grapalat" w:hAnsi="GHEA Grapalat" w:cs="Sylfaen"/>
                <w:sz w:val="24"/>
                <w:lang w:val="hy-AM"/>
              </w:rPr>
              <w:t>Վերոնշվածի</w:t>
            </w:r>
            <w:proofErr w:type="spellEnd"/>
            <w:r w:rsidRPr="00891FD0">
              <w:rPr>
                <w:rFonts w:ascii="GHEA Grapalat" w:hAnsi="GHEA Grapalat" w:cs="Sylfaen"/>
                <w:sz w:val="24"/>
                <w:lang w:val="hy-AM"/>
              </w:rPr>
              <w:t xml:space="preserve"> հետ կապված անհրաժեշտ է հաշվի առնել, որ օրենսգրքի 148-րդ հոդվածին համապատասխան՝ եկամտային հարկով հարկման բազան որոշելու նպատակով նվազեցվող եկամուտներ են համարվում նաև գյուղատնտեսական արտադրանքի արտադրությամբ զբաղված ֆիզիկական անձանց՝ օրենսգրքի 126-րդ հոդվածի 1-ին մասի 1-ին կետով սահմանված՝ գյուղատնտեսական արտադրանքի իրացումից ստացվող եկամուտները: </w:t>
            </w:r>
          </w:p>
          <w:p w14:paraId="4109193D" w14:textId="58937103" w:rsidR="00CD311C" w:rsidRPr="00A2746A" w:rsidRDefault="00CD311C" w:rsidP="00CD311C">
            <w:pPr>
              <w:widowControl w:val="0"/>
              <w:tabs>
                <w:tab w:val="left" w:pos="181"/>
                <w:tab w:val="left" w:pos="340"/>
              </w:tabs>
              <w:textAlignment w:val="baseline"/>
              <w:rPr>
                <w:rFonts w:ascii="GHEA Grapalat" w:hAnsi="GHEA Grapalat" w:cs="Sylfaen"/>
                <w:sz w:val="24"/>
                <w:lang w:val="af-ZA"/>
              </w:rPr>
            </w:pPr>
            <w:r w:rsidRPr="00891FD0">
              <w:rPr>
                <w:rFonts w:ascii="GHEA Grapalat" w:hAnsi="GHEA Grapalat" w:cs="Sylfaen"/>
                <w:sz w:val="24"/>
                <w:lang w:val="hy-AM"/>
              </w:rPr>
              <w:t xml:space="preserve">Հաշվի առնելով վերոնշվածը՝ առաջարկում ենք օրենսգրքի 148-րդ հոդվածով սահմանված դրույթը համապատասխանեցնել </w:t>
            </w:r>
            <w:r w:rsidRPr="00891FD0">
              <w:rPr>
                <w:rFonts w:ascii="GHEA Grapalat" w:hAnsi="GHEA Grapalat" w:cs="Sylfaen"/>
                <w:sz w:val="24"/>
                <w:lang w:val="hy-AM"/>
              </w:rPr>
              <w:lastRenderedPageBreak/>
              <w:t>նախագծով առաջարկվող վերոնշյալ փոփոխություններին։</w:t>
            </w:r>
          </w:p>
        </w:tc>
        <w:tc>
          <w:tcPr>
            <w:tcW w:w="2160" w:type="dxa"/>
            <w:tcBorders>
              <w:top w:val="single" w:sz="4" w:space="0" w:color="auto"/>
              <w:left w:val="single" w:sz="4" w:space="0" w:color="auto"/>
              <w:bottom w:val="single" w:sz="4" w:space="0" w:color="auto"/>
              <w:right w:val="single" w:sz="4" w:space="0" w:color="auto"/>
            </w:tcBorders>
          </w:tcPr>
          <w:p w14:paraId="5215D744" w14:textId="3F6F9FF7" w:rsidR="00CD311C" w:rsidRPr="005C59B2" w:rsidRDefault="005C59B2" w:rsidP="00CD311C">
            <w:pPr>
              <w:widowControl w:val="0"/>
              <w:tabs>
                <w:tab w:val="left" w:pos="181"/>
                <w:tab w:val="left" w:pos="340"/>
              </w:tabs>
              <w:jc w:val="center"/>
              <w:textAlignment w:val="baseline"/>
              <w:rPr>
                <w:rFonts w:ascii="GHEA Grapalat" w:hAnsi="GHEA Grapalat" w:cs="Sylfaen"/>
                <w:sz w:val="24"/>
              </w:rPr>
            </w:pPr>
            <w:proofErr w:type="spellStart"/>
            <w:r>
              <w:rPr>
                <w:rFonts w:ascii="GHEA Grapalat" w:hAnsi="GHEA Grapalat" w:cs="Sylfaen"/>
                <w:sz w:val="24"/>
              </w:rPr>
              <w:lastRenderedPageBreak/>
              <w:t>Ընդունվել</w:t>
            </w:r>
            <w:proofErr w:type="spellEnd"/>
            <w:r>
              <w:rPr>
                <w:rFonts w:ascii="GHEA Grapalat" w:hAnsi="GHEA Grapalat" w:cs="Sylfaen"/>
                <w:sz w:val="24"/>
              </w:rPr>
              <w:t xml:space="preserve"> է</w:t>
            </w:r>
            <w:r w:rsidR="00B72E06">
              <w:rPr>
                <w:rFonts w:ascii="GHEA Grapalat" w:hAnsi="GHEA Grapalat" w:cs="Sylfaen"/>
                <w:sz w:val="24"/>
                <w:lang w:val="hy-AM"/>
              </w:rPr>
              <w:t xml:space="preserve"> ի գիտություն</w:t>
            </w:r>
            <w:r>
              <w:rPr>
                <w:rFonts w:ascii="GHEA Grapalat" w:hAnsi="GHEA Grapalat" w:cs="Sylfaen"/>
                <w:sz w:val="24"/>
              </w:rPr>
              <w:t>:</w:t>
            </w:r>
          </w:p>
          <w:p w14:paraId="151A06B7" w14:textId="5C37571D" w:rsidR="00CD311C" w:rsidRPr="00D73751" w:rsidRDefault="00CD311C" w:rsidP="005C59B2">
            <w:pPr>
              <w:widowControl w:val="0"/>
              <w:tabs>
                <w:tab w:val="left" w:pos="181"/>
                <w:tab w:val="left" w:pos="340"/>
              </w:tabs>
              <w:textAlignment w:val="baseline"/>
              <w:rPr>
                <w:rFonts w:ascii="GHEA Grapalat" w:hAnsi="GHEA Grapalat" w:cs="Sylfaen"/>
                <w:sz w:val="24"/>
                <w:lang w:val="hy-AM"/>
              </w:rPr>
            </w:pPr>
          </w:p>
        </w:tc>
        <w:tc>
          <w:tcPr>
            <w:tcW w:w="3652" w:type="dxa"/>
            <w:tcBorders>
              <w:top w:val="single" w:sz="4" w:space="0" w:color="auto"/>
              <w:left w:val="single" w:sz="4" w:space="0" w:color="auto"/>
              <w:bottom w:val="single" w:sz="4" w:space="0" w:color="auto"/>
              <w:right w:val="single" w:sz="4" w:space="0" w:color="auto"/>
            </w:tcBorders>
          </w:tcPr>
          <w:p w14:paraId="22804DE2" w14:textId="10CA8613" w:rsidR="00CD311C" w:rsidRPr="005C59B2" w:rsidRDefault="00B72E06" w:rsidP="00CD311C">
            <w:pPr>
              <w:widowControl w:val="0"/>
              <w:tabs>
                <w:tab w:val="left" w:pos="181"/>
                <w:tab w:val="left" w:pos="340"/>
              </w:tabs>
              <w:textAlignment w:val="baseline"/>
              <w:rPr>
                <w:rFonts w:ascii="GHEA Grapalat" w:hAnsi="GHEA Grapalat" w:cs="Sylfaen"/>
                <w:sz w:val="24"/>
                <w:lang w:val="hy-AM"/>
              </w:rPr>
            </w:pPr>
            <w:r>
              <w:rPr>
                <w:rFonts w:ascii="GHEA Grapalat" w:hAnsi="GHEA Grapalat" w:cs="Sylfaen"/>
                <w:sz w:val="24"/>
                <w:lang w:val="hy-AM"/>
              </w:rPr>
              <w:t>Նախագծից հանվել է Օրենսգրքի 4-րդ հոդվածով «գյուղատնտեսական արտադրանք» հասկացության սահմանում նախատեսող հոդվածը: Հետևաբար, ներկայացված առաջարկությանը համապատասխան Օրենսգրքի 148-րդ հոդվածում փոփոխություններ կատարելու անհրաժեշտությունը բացակայում է:</w:t>
            </w:r>
          </w:p>
        </w:tc>
      </w:tr>
      <w:tr w:rsidR="00CD311C" w:rsidRPr="00B72E06" w14:paraId="2F3A4EAB" w14:textId="77777777" w:rsidTr="00B72E06">
        <w:trPr>
          <w:trHeight w:val="4610"/>
        </w:trPr>
        <w:tc>
          <w:tcPr>
            <w:tcW w:w="2813" w:type="dxa"/>
            <w:vMerge/>
            <w:tcBorders>
              <w:left w:val="single" w:sz="4" w:space="0" w:color="auto"/>
              <w:right w:val="single" w:sz="4" w:space="0" w:color="auto"/>
            </w:tcBorders>
          </w:tcPr>
          <w:p w14:paraId="3E877D01" w14:textId="77777777" w:rsidR="00CD311C" w:rsidRPr="00D73751" w:rsidRDefault="00CD311C" w:rsidP="00CD311C">
            <w:pPr>
              <w:widowControl w:val="0"/>
              <w:tabs>
                <w:tab w:val="left" w:pos="181"/>
                <w:tab w:val="left" w:pos="340"/>
              </w:tabs>
              <w:jc w:val="center"/>
              <w:textAlignment w:val="baseline"/>
              <w:rPr>
                <w:rFonts w:ascii="GHEA Grapalat" w:hAnsi="GHEA Grapalat" w:cs="Sylfaen"/>
                <w:sz w:val="24"/>
                <w:lang w:val="af-ZA"/>
              </w:rPr>
            </w:pPr>
          </w:p>
        </w:tc>
        <w:tc>
          <w:tcPr>
            <w:tcW w:w="5375" w:type="dxa"/>
            <w:tcBorders>
              <w:top w:val="single" w:sz="4" w:space="0" w:color="auto"/>
              <w:left w:val="single" w:sz="4" w:space="0" w:color="auto"/>
              <w:bottom w:val="single" w:sz="4" w:space="0" w:color="auto"/>
              <w:right w:val="single" w:sz="4" w:space="0" w:color="auto"/>
            </w:tcBorders>
          </w:tcPr>
          <w:p w14:paraId="6ED376FD" w14:textId="7A7ABEAC" w:rsidR="00CD311C" w:rsidRPr="005C59B2" w:rsidRDefault="00CD311C" w:rsidP="00CD311C">
            <w:pPr>
              <w:widowControl w:val="0"/>
              <w:tabs>
                <w:tab w:val="left" w:pos="181"/>
                <w:tab w:val="left" w:pos="340"/>
              </w:tabs>
              <w:textAlignment w:val="baseline"/>
              <w:rPr>
                <w:rFonts w:ascii="GHEA Grapalat" w:hAnsi="GHEA Grapalat"/>
                <w:sz w:val="24"/>
                <w:lang w:val="hy-AM"/>
              </w:rPr>
            </w:pPr>
            <w:r w:rsidRPr="005C59B2">
              <w:rPr>
                <w:rFonts w:ascii="GHEA Grapalat" w:hAnsi="GHEA Grapalat"/>
                <w:sz w:val="24"/>
                <w:lang w:val="hy-AM"/>
              </w:rPr>
              <w:t xml:space="preserve">Հաշվի առնելով օրենսգրքով սահմանված «գյուղատնտեսական արտադրանք» հասկացության մեկնաբանման հետ կապված գործնականում առաջացող խնդրահարույց հարցերը, առաջարկում ենք հստակեցնել նաև «կենսաբանական վերափոխում» հասկացությունը՝ որպես </w:t>
            </w:r>
            <w:proofErr w:type="spellStart"/>
            <w:r w:rsidRPr="005C59B2">
              <w:rPr>
                <w:rFonts w:ascii="GHEA Grapalat" w:hAnsi="GHEA Grapalat"/>
                <w:sz w:val="24"/>
                <w:lang w:val="hy-AM"/>
              </w:rPr>
              <w:t>գենետիկական</w:t>
            </w:r>
            <w:proofErr w:type="spellEnd"/>
            <w:r w:rsidRPr="005C59B2">
              <w:rPr>
                <w:rFonts w:ascii="GHEA Grapalat" w:hAnsi="GHEA Grapalat"/>
                <w:sz w:val="24"/>
                <w:lang w:val="hy-AM"/>
              </w:rPr>
              <w:t xml:space="preserve"> </w:t>
            </w:r>
            <w:proofErr w:type="spellStart"/>
            <w:r w:rsidRPr="005C59B2">
              <w:rPr>
                <w:rFonts w:ascii="GHEA Grapalat" w:hAnsi="GHEA Grapalat"/>
                <w:sz w:val="24"/>
                <w:lang w:val="hy-AM"/>
              </w:rPr>
              <w:t>ձևափոխմանը</w:t>
            </w:r>
            <w:proofErr w:type="spellEnd"/>
            <w:r w:rsidRPr="005C59B2">
              <w:rPr>
                <w:rFonts w:ascii="GHEA Grapalat" w:hAnsi="GHEA Grapalat"/>
                <w:sz w:val="24"/>
                <w:lang w:val="hy-AM"/>
              </w:rPr>
              <w:t xml:space="preserve"> վերաբերող հասկացություն, որի արդյունքը պարունակում է ժամանակակից </w:t>
            </w:r>
            <w:proofErr w:type="spellStart"/>
            <w:r w:rsidRPr="005C59B2">
              <w:rPr>
                <w:rFonts w:ascii="GHEA Grapalat" w:hAnsi="GHEA Grapalat"/>
                <w:sz w:val="24"/>
                <w:lang w:val="hy-AM"/>
              </w:rPr>
              <w:t>կենսատեխնոլոգիաների</w:t>
            </w:r>
            <w:proofErr w:type="spellEnd"/>
            <w:r w:rsidRPr="005C59B2">
              <w:rPr>
                <w:rFonts w:ascii="GHEA Grapalat" w:hAnsi="GHEA Grapalat"/>
                <w:sz w:val="24"/>
                <w:lang w:val="hy-AM"/>
              </w:rPr>
              <w:t xml:space="preserve"> օգտագործման շնորհիվ ստացված </w:t>
            </w:r>
            <w:proofErr w:type="spellStart"/>
            <w:r w:rsidRPr="005C59B2">
              <w:rPr>
                <w:rFonts w:ascii="GHEA Grapalat" w:hAnsi="GHEA Grapalat"/>
                <w:sz w:val="24"/>
                <w:lang w:val="hy-AM"/>
              </w:rPr>
              <w:t>գենետիկական</w:t>
            </w:r>
            <w:proofErr w:type="spellEnd"/>
            <w:r w:rsidRPr="005C59B2">
              <w:rPr>
                <w:rFonts w:ascii="GHEA Grapalat" w:hAnsi="GHEA Grapalat"/>
                <w:sz w:val="24"/>
                <w:lang w:val="hy-AM"/>
              </w:rPr>
              <w:t xml:space="preserve"> նյութի նոր համակցություն և իրենից ներկայացնում է ցանկացած կենսաբանական գոյացություն, որն ունի գենետիկ նյութի փոխանցման կամ վերարտադրման (</w:t>
            </w:r>
            <w:proofErr w:type="spellStart"/>
            <w:r w:rsidRPr="005C59B2">
              <w:rPr>
                <w:rFonts w:ascii="GHEA Grapalat" w:hAnsi="GHEA Grapalat"/>
                <w:sz w:val="24"/>
                <w:lang w:val="hy-AM"/>
              </w:rPr>
              <w:t>ռեպլիկացիայի</w:t>
            </w:r>
            <w:proofErr w:type="spellEnd"/>
            <w:r w:rsidRPr="005C59B2">
              <w:rPr>
                <w:rFonts w:ascii="GHEA Grapalat" w:hAnsi="GHEA Grapalat"/>
                <w:sz w:val="24"/>
                <w:lang w:val="hy-AM"/>
              </w:rPr>
              <w:t>) ունակություն։</w:t>
            </w:r>
          </w:p>
        </w:tc>
        <w:tc>
          <w:tcPr>
            <w:tcW w:w="2160" w:type="dxa"/>
            <w:tcBorders>
              <w:top w:val="single" w:sz="4" w:space="0" w:color="auto"/>
              <w:left w:val="single" w:sz="4" w:space="0" w:color="auto"/>
              <w:bottom w:val="single" w:sz="4" w:space="0" w:color="auto"/>
              <w:right w:val="single" w:sz="4" w:space="0" w:color="auto"/>
            </w:tcBorders>
          </w:tcPr>
          <w:p w14:paraId="4188A9C4" w14:textId="0E20ADFF" w:rsidR="00CD311C" w:rsidRPr="005C59B2" w:rsidRDefault="005C59B2" w:rsidP="00CD311C">
            <w:pPr>
              <w:widowControl w:val="0"/>
              <w:tabs>
                <w:tab w:val="left" w:pos="181"/>
                <w:tab w:val="left" w:pos="340"/>
              </w:tabs>
              <w:jc w:val="center"/>
              <w:textAlignment w:val="baseline"/>
              <w:rPr>
                <w:rFonts w:ascii="GHEA Grapalat" w:hAnsi="GHEA Grapalat" w:cs="Sylfaen"/>
                <w:sz w:val="24"/>
              </w:rPr>
            </w:pPr>
            <w:proofErr w:type="spellStart"/>
            <w:r w:rsidRPr="005C59B2">
              <w:rPr>
                <w:rFonts w:ascii="GHEA Grapalat" w:hAnsi="GHEA Grapalat" w:cs="Sylfaen"/>
                <w:sz w:val="24"/>
              </w:rPr>
              <w:t>Ընդունվել</w:t>
            </w:r>
            <w:proofErr w:type="spellEnd"/>
            <w:r w:rsidRPr="005C59B2">
              <w:rPr>
                <w:rFonts w:ascii="GHEA Grapalat" w:hAnsi="GHEA Grapalat" w:cs="Sylfaen"/>
                <w:sz w:val="24"/>
              </w:rPr>
              <w:t xml:space="preserve"> է</w:t>
            </w:r>
            <w:r w:rsidR="00C0404B">
              <w:rPr>
                <w:rFonts w:ascii="GHEA Grapalat" w:hAnsi="GHEA Grapalat" w:cs="Sylfaen"/>
                <w:sz w:val="24"/>
                <w:lang w:val="hy-AM"/>
              </w:rPr>
              <w:t xml:space="preserve"> ի գիտություն</w:t>
            </w:r>
            <w:r w:rsidRPr="005C59B2">
              <w:rPr>
                <w:rFonts w:ascii="GHEA Grapalat" w:hAnsi="GHEA Grapalat" w:cs="Sylfaen"/>
                <w:sz w:val="24"/>
              </w:rPr>
              <w:t>:</w:t>
            </w:r>
          </w:p>
        </w:tc>
        <w:tc>
          <w:tcPr>
            <w:tcW w:w="3652" w:type="dxa"/>
            <w:tcBorders>
              <w:top w:val="single" w:sz="4" w:space="0" w:color="auto"/>
              <w:left w:val="single" w:sz="4" w:space="0" w:color="auto"/>
              <w:bottom w:val="single" w:sz="4" w:space="0" w:color="auto"/>
              <w:right w:val="single" w:sz="4" w:space="0" w:color="auto"/>
            </w:tcBorders>
          </w:tcPr>
          <w:p w14:paraId="32E5A6BC" w14:textId="68277385" w:rsidR="00CD311C" w:rsidRPr="00B72E06" w:rsidRDefault="00C0404B" w:rsidP="00B72E06">
            <w:pPr>
              <w:widowControl w:val="0"/>
              <w:tabs>
                <w:tab w:val="left" w:pos="181"/>
                <w:tab w:val="left" w:pos="340"/>
              </w:tabs>
              <w:textAlignment w:val="baseline"/>
              <w:rPr>
                <w:rFonts w:ascii="GHEA Grapalat" w:hAnsi="GHEA Grapalat" w:cs="Sylfaen"/>
                <w:sz w:val="24"/>
                <w:lang w:val="hy-AM"/>
              </w:rPr>
            </w:pPr>
            <w:r w:rsidRPr="005A5393">
              <w:rPr>
                <w:rFonts w:ascii="GHEA Grapalat" w:hAnsi="GHEA Grapalat" w:cs="Sylfaen"/>
                <w:sz w:val="24"/>
                <w:lang w:val="hy-AM"/>
              </w:rPr>
              <w:t xml:space="preserve">Ներկա փուլում նպատակահարմար է համարվել </w:t>
            </w:r>
            <w:r w:rsidR="00B72E06">
              <w:rPr>
                <w:rFonts w:ascii="GHEA Grapalat" w:hAnsi="GHEA Grapalat" w:cs="Sylfaen"/>
                <w:sz w:val="24"/>
                <w:lang w:val="hy-AM"/>
              </w:rPr>
              <w:t>ձեռնպահ մնալ Օրենսգրքի կիրառության իմաստով  «գյուղատնտեսական արտադրանք» հասկացության վերանայումից:</w:t>
            </w:r>
          </w:p>
        </w:tc>
      </w:tr>
      <w:tr w:rsidR="004277E2" w:rsidRPr="00B72E06" w14:paraId="3A50AAF3" w14:textId="77777777" w:rsidTr="00B72E06">
        <w:trPr>
          <w:trHeight w:val="1970"/>
        </w:trPr>
        <w:tc>
          <w:tcPr>
            <w:tcW w:w="2813" w:type="dxa"/>
            <w:tcBorders>
              <w:left w:val="single" w:sz="4" w:space="0" w:color="auto"/>
              <w:right w:val="single" w:sz="4" w:space="0" w:color="auto"/>
            </w:tcBorders>
          </w:tcPr>
          <w:p w14:paraId="43BAECCA" w14:textId="6F774A09" w:rsidR="004277E2" w:rsidRPr="00D73751" w:rsidRDefault="004277E2" w:rsidP="004277E2">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af-ZA"/>
              </w:rPr>
              <w:t xml:space="preserve">ՀՀ </w:t>
            </w:r>
            <w:r>
              <w:rPr>
                <w:rFonts w:ascii="GHEA Grapalat" w:hAnsi="GHEA Grapalat" w:cs="Sylfaen"/>
                <w:sz w:val="24"/>
                <w:lang w:val="af-ZA"/>
              </w:rPr>
              <w:t xml:space="preserve">արդարադատության </w:t>
            </w:r>
            <w:r w:rsidRPr="00D73751">
              <w:rPr>
                <w:rFonts w:ascii="GHEA Grapalat" w:hAnsi="GHEA Grapalat" w:cs="Sylfaen"/>
                <w:sz w:val="24"/>
                <w:lang w:val="af-ZA"/>
              </w:rPr>
              <w:t>նախարարություն</w:t>
            </w:r>
          </w:p>
          <w:p w14:paraId="751AEA48" w14:textId="226D5836" w:rsidR="004277E2" w:rsidRPr="00D73751" w:rsidRDefault="004277E2" w:rsidP="004277E2">
            <w:pPr>
              <w:widowControl w:val="0"/>
              <w:tabs>
                <w:tab w:val="left" w:pos="181"/>
                <w:tab w:val="left" w:pos="340"/>
              </w:tabs>
              <w:jc w:val="center"/>
              <w:textAlignment w:val="baseline"/>
              <w:rPr>
                <w:rFonts w:ascii="GHEA Grapalat" w:hAnsi="GHEA Grapalat" w:cs="Sylfaen"/>
                <w:sz w:val="24"/>
                <w:lang w:val="af-ZA"/>
              </w:rPr>
            </w:pPr>
            <w:r>
              <w:rPr>
                <w:rFonts w:ascii="GHEA Grapalat" w:hAnsi="GHEA Grapalat" w:cs="Sylfaen"/>
                <w:sz w:val="24"/>
                <w:lang w:val="af-ZA"/>
              </w:rPr>
              <w:t>30</w:t>
            </w:r>
            <w:r w:rsidRPr="00D73751">
              <w:rPr>
                <w:rFonts w:ascii="GHEA Grapalat" w:hAnsi="GHEA Grapalat" w:cs="Sylfaen"/>
                <w:sz w:val="24"/>
                <w:lang w:val="af-ZA"/>
              </w:rPr>
              <w:t>.</w:t>
            </w:r>
            <w:r>
              <w:rPr>
                <w:rFonts w:ascii="GHEA Grapalat" w:hAnsi="GHEA Grapalat" w:cs="Sylfaen"/>
                <w:sz w:val="24"/>
                <w:lang w:val="af-ZA"/>
              </w:rPr>
              <w:t>12</w:t>
            </w:r>
            <w:r w:rsidRPr="00D73751">
              <w:rPr>
                <w:rFonts w:ascii="GHEA Grapalat" w:hAnsi="GHEA Grapalat" w:cs="Sylfaen"/>
                <w:sz w:val="24"/>
                <w:lang w:val="af-ZA"/>
              </w:rPr>
              <w:t>.20</w:t>
            </w:r>
            <w:r>
              <w:rPr>
                <w:rFonts w:ascii="GHEA Grapalat" w:hAnsi="GHEA Grapalat" w:cs="Sylfaen"/>
                <w:sz w:val="24"/>
                <w:lang w:val="af-ZA"/>
              </w:rPr>
              <w:t>20</w:t>
            </w:r>
            <w:r w:rsidRPr="00D73751">
              <w:rPr>
                <w:rFonts w:ascii="GHEA Grapalat" w:hAnsi="GHEA Grapalat" w:cs="Sylfaen"/>
                <w:sz w:val="24"/>
                <w:lang w:val="af-ZA"/>
              </w:rPr>
              <w:t>թ.</w:t>
            </w:r>
          </w:p>
          <w:p w14:paraId="4E706A7D" w14:textId="72BA3E3B" w:rsidR="004277E2" w:rsidRPr="00D73751" w:rsidRDefault="004277E2" w:rsidP="004277E2">
            <w:pPr>
              <w:widowControl w:val="0"/>
              <w:tabs>
                <w:tab w:val="left" w:pos="181"/>
                <w:tab w:val="left" w:pos="340"/>
              </w:tabs>
              <w:jc w:val="center"/>
              <w:textAlignment w:val="baseline"/>
              <w:rPr>
                <w:rFonts w:ascii="GHEA Grapalat" w:hAnsi="GHEA Grapalat" w:cs="Sylfaen"/>
                <w:sz w:val="24"/>
                <w:lang w:val="af-ZA"/>
              </w:rPr>
            </w:pPr>
            <w:r w:rsidRPr="00D73751">
              <w:rPr>
                <w:rFonts w:ascii="GHEA Grapalat" w:hAnsi="GHEA Grapalat" w:cs="Sylfaen"/>
                <w:sz w:val="24"/>
                <w:lang w:val="hy-AM"/>
              </w:rPr>
              <w:t>թ</w:t>
            </w:r>
            <w:r w:rsidRPr="00D73751">
              <w:rPr>
                <w:rFonts w:ascii="GHEA Grapalat" w:hAnsi="GHEA Grapalat" w:cs="Sylfaen"/>
                <w:sz w:val="24"/>
                <w:lang w:val="af-ZA"/>
              </w:rPr>
              <w:t xml:space="preserve">իվ </w:t>
            </w:r>
            <w:r w:rsidRPr="004277E2">
              <w:rPr>
                <w:rFonts w:ascii="GHEA Grapalat" w:hAnsi="GHEA Grapalat" w:cs="Sylfaen"/>
                <w:sz w:val="24"/>
              </w:rPr>
              <w:t>/27.1/29952-2020</w:t>
            </w:r>
          </w:p>
        </w:tc>
        <w:tc>
          <w:tcPr>
            <w:tcW w:w="5375" w:type="dxa"/>
            <w:tcBorders>
              <w:top w:val="single" w:sz="4" w:space="0" w:color="auto"/>
              <w:left w:val="single" w:sz="4" w:space="0" w:color="auto"/>
              <w:right w:val="single" w:sz="4" w:space="0" w:color="auto"/>
            </w:tcBorders>
          </w:tcPr>
          <w:p w14:paraId="49B2099D" w14:textId="7988087B" w:rsidR="004277E2" w:rsidRPr="004277E2" w:rsidRDefault="004277E2" w:rsidP="004277E2">
            <w:pPr>
              <w:widowControl w:val="0"/>
              <w:tabs>
                <w:tab w:val="left" w:pos="181"/>
                <w:tab w:val="left" w:pos="340"/>
              </w:tabs>
              <w:textAlignment w:val="baseline"/>
              <w:rPr>
                <w:rFonts w:ascii="GHEA Grapalat" w:hAnsi="GHEA Grapalat"/>
                <w:sz w:val="24"/>
                <w:lang w:val="af-ZA"/>
              </w:rPr>
            </w:pPr>
            <w:proofErr w:type="spellStart"/>
            <w:r>
              <w:rPr>
                <w:rFonts w:ascii="GHEA Grapalat" w:hAnsi="GHEA Grapalat"/>
                <w:sz w:val="24"/>
              </w:rPr>
              <w:t>Նշվում</w:t>
            </w:r>
            <w:proofErr w:type="spellEnd"/>
            <w:r w:rsidRPr="004277E2">
              <w:rPr>
                <w:rFonts w:ascii="GHEA Grapalat" w:hAnsi="GHEA Grapalat"/>
                <w:sz w:val="24"/>
                <w:lang w:val="af-ZA"/>
              </w:rPr>
              <w:t xml:space="preserve"> </w:t>
            </w:r>
            <w:r>
              <w:rPr>
                <w:rFonts w:ascii="GHEA Grapalat" w:hAnsi="GHEA Grapalat"/>
                <w:sz w:val="24"/>
              </w:rPr>
              <w:t>է</w:t>
            </w:r>
            <w:r w:rsidRPr="004277E2">
              <w:rPr>
                <w:rFonts w:ascii="GHEA Grapalat" w:hAnsi="GHEA Grapalat"/>
                <w:sz w:val="24"/>
                <w:lang w:val="af-ZA"/>
              </w:rPr>
              <w:t xml:space="preserve">, </w:t>
            </w:r>
            <w:proofErr w:type="spellStart"/>
            <w:r>
              <w:rPr>
                <w:rFonts w:ascii="GHEA Grapalat" w:hAnsi="GHEA Grapalat"/>
                <w:sz w:val="24"/>
              </w:rPr>
              <w:t>որ</w:t>
            </w:r>
            <w:proofErr w:type="spellEnd"/>
            <w:r w:rsidRPr="004277E2">
              <w:rPr>
                <w:rFonts w:ascii="GHEA Grapalat" w:hAnsi="GHEA Grapalat"/>
                <w:sz w:val="24"/>
                <w:lang w:val="af-ZA"/>
              </w:rPr>
              <w:t xml:space="preserve"> </w:t>
            </w:r>
            <w:r>
              <w:rPr>
                <w:rFonts w:ascii="GHEA Grapalat" w:hAnsi="GHEA Grapalat"/>
                <w:sz w:val="24"/>
              </w:rPr>
              <w:t>ն</w:t>
            </w:r>
            <w:proofErr w:type="spellStart"/>
            <w:r>
              <w:rPr>
                <w:rFonts w:ascii="GHEA Grapalat" w:hAnsi="GHEA Grapalat"/>
                <w:sz w:val="24"/>
                <w:lang w:val="hy-AM"/>
              </w:rPr>
              <w:t>ախագծի</w:t>
            </w:r>
            <w:proofErr w:type="spellEnd"/>
            <w:r w:rsidRPr="004277E2">
              <w:rPr>
                <w:rFonts w:ascii="GHEA Grapalat" w:hAnsi="GHEA Grapalat"/>
                <w:sz w:val="24"/>
                <w:lang w:val="hy-AM"/>
              </w:rPr>
              <w:t xml:space="preserve"> 1-ի</w:t>
            </w:r>
            <w:r>
              <w:rPr>
                <w:rFonts w:ascii="GHEA Grapalat" w:hAnsi="GHEA Grapalat"/>
                <w:sz w:val="24"/>
              </w:rPr>
              <w:t>ն</w:t>
            </w:r>
            <w:r w:rsidRPr="004277E2">
              <w:rPr>
                <w:rFonts w:ascii="GHEA Grapalat" w:hAnsi="GHEA Grapalat"/>
                <w:sz w:val="24"/>
                <w:lang w:val="hy-AM"/>
              </w:rPr>
              <w:t xml:space="preserve"> հոդվածով նախատեսվում է լրացում կատարել հարկային օրենսգրքի 4-րդ հոդվածի 1-ին մասում՝ լրացնելով 69-րդ կետ: Այս առումով</w:t>
            </w:r>
            <w:r w:rsidRPr="004277E2">
              <w:rPr>
                <w:rFonts w:ascii="GHEA Grapalat" w:hAnsi="GHEA Grapalat"/>
                <w:sz w:val="24"/>
                <w:lang w:val="af-ZA"/>
              </w:rPr>
              <w:t>,</w:t>
            </w:r>
            <w:r>
              <w:rPr>
                <w:rFonts w:ascii="GHEA Grapalat" w:hAnsi="GHEA Grapalat"/>
                <w:sz w:val="24"/>
                <w:lang w:val="hy-AM"/>
              </w:rPr>
              <w:t xml:space="preserve"> </w:t>
            </w:r>
            <w:r w:rsidRPr="004277E2">
              <w:rPr>
                <w:rFonts w:ascii="GHEA Grapalat" w:hAnsi="GHEA Grapalat"/>
                <w:sz w:val="24"/>
                <w:lang w:val="hy-AM"/>
              </w:rPr>
              <w:t>նշ</w:t>
            </w:r>
            <w:proofErr w:type="spellStart"/>
            <w:r>
              <w:rPr>
                <w:rFonts w:ascii="GHEA Grapalat" w:hAnsi="GHEA Grapalat"/>
                <w:sz w:val="24"/>
              </w:rPr>
              <w:t>վում</w:t>
            </w:r>
            <w:proofErr w:type="spellEnd"/>
            <w:r w:rsidRPr="004277E2">
              <w:rPr>
                <w:rFonts w:ascii="GHEA Grapalat" w:hAnsi="GHEA Grapalat"/>
                <w:sz w:val="24"/>
                <w:lang w:val="af-ZA"/>
              </w:rPr>
              <w:t xml:space="preserve"> </w:t>
            </w:r>
            <w:r>
              <w:rPr>
                <w:rFonts w:ascii="GHEA Grapalat" w:hAnsi="GHEA Grapalat"/>
                <w:sz w:val="24"/>
              </w:rPr>
              <w:t>է</w:t>
            </w:r>
            <w:r w:rsidRPr="004277E2">
              <w:rPr>
                <w:rFonts w:ascii="GHEA Grapalat" w:hAnsi="GHEA Grapalat"/>
                <w:sz w:val="24"/>
                <w:lang w:val="hy-AM"/>
              </w:rPr>
              <w:t xml:space="preserve">, որ հարկային օրենսգրքի 4-րդ հոդվածի 1-ին մասում արդեն իսկ առկա է 69-րդ կետը: Վերոգրյալի համատեքստում </w:t>
            </w:r>
            <w:r>
              <w:rPr>
                <w:rFonts w:ascii="GHEA Grapalat" w:hAnsi="GHEA Grapalat"/>
                <w:sz w:val="24"/>
              </w:rPr>
              <w:t>առաջարկվում</w:t>
            </w:r>
            <w:r w:rsidRPr="004277E2">
              <w:rPr>
                <w:rFonts w:ascii="GHEA Grapalat" w:hAnsi="GHEA Grapalat"/>
                <w:sz w:val="24"/>
                <w:lang w:val="hy-AM"/>
              </w:rPr>
              <w:t xml:space="preserve"> է խմբագրել նաև նախագծի 5-րդ հոդվածը</w:t>
            </w:r>
            <w:r w:rsidRPr="004277E2">
              <w:rPr>
                <w:rFonts w:ascii="GHEA Grapalat" w:hAnsi="GHEA Grapalat"/>
                <w:sz w:val="24"/>
                <w:lang w:val="af-ZA"/>
              </w:rPr>
              <w:t>:</w:t>
            </w:r>
          </w:p>
        </w:tc>
        <w:tc>
          <w:tcPr>
            <w:tcW w:w="2160" w:type="dxa"/>
            <w:tcBorders>
              <w:top w:val="single" w:sz="4" w:space="0" w:color="auto"/>
              <w:left w:val="single" w:sz="4" w:space="0" w:color="auto"/>
              <w:right w:val="single" w:sz="4" w:space="0" w:color="auto"/>
            </w:tcBorders>
          </w:tcPr>
          <w:p w14:paraId="4E279B75" w14:textId="711C6B45" w:rsidR="004277E2" w:rsidRPr="004277E2" w:rsidRDefault="004277E2" w:rsidP="00CD311C">
            <w:pPr>
              <w:widowControl w:val="0"/>
              <w:tabs>
                <w:tab w:val="left" w:pos="181"/>
                <w:tab w:val="left" w:pos="340"/>
              </w:tabs>
              <w:jc w:val="center"/>
              <w:textAlignment w:val="baseline"/>
              <w:rPr>
                <w:rFonts w:ascii="GHEA Grapalat" w:hAnsi="GHEA Grapalat" w:cs="Sylfaen"/>
                <w:sz w:val="24"/>
                <w:lang w:val="af-ZA"/>
              </w:rPr>
            </w:pPr>
            <w:r>
              <w:rPr>
                <w:rFonts w:ascii="GHEA Grapalat" w:hAnsi="GHEA Grapalat" w:cs="Sylfaen"/>
                <w:sz w:val="24"/>
                <w:lang w:val="af-ZA"/>
              </w:rPr>
              <w:t>Ընդունվել է:</w:t>
            </w:r>
          </w:p>
        </w:tc>
        <w:tc>
          <w:tcPr>
            <w:tcW w:w="3652" w:type="dxa"/>
            <w:tcBorders>
              <w:top w:val="single" w:sz="4" w:space="0" w:color="auto"/>
              <w:left w:val="single" w:sz="4" w:space="0" w:color="auto"/>
              <w:right w:val="single" w:sz="4" w:space="0" w:color="auto"/>
            </w:tcBorders>
          </w:tcPr>
          <w:p w14:paraId="6083C605" w14:textId="36BC7D0A" w:rsidR="004277E2" w:rsidRPr="004277E2" w:rsidRDefault="004277E2" w:rsidP="00CD311C">
            <w:pPr>
              <w:widowControl w:val="0"/>
              <w:tabs>
                <w:tab w:val="left" w:pos="181"/>
                <w:tab w:val="left" w:pos="340"/>
              </w:tabs>
              <w:textAlignment w:val="baseline"/>
              <w:rPr>
                <w:rFonts w:ascii="GHEA Grapalat" w:hAnsi="GHEA Grapalat" w:cs="Sylfaen"/>
                <w:sz w:val="24"/>
                <w:lang w:val="af-ZA"/>
              </w:rPr>
            </w:pPr>
            <w:r>
              <w:rPr>
                <w:rFonts w:ascii="GHEA Grapalat" w:hAnsi="GHEA Grapalat" w:cs="Sylfaen"/>
                <w:sz w:val="24"/>
                <w:lang w:val="af-ZA"/>
              </w:rPr>
              <w:t>Նախագծում կատարվել են համապատասխան փոփոխություններ:</w:t>
            </w:r>
          </w:p>
        </w:tc>
      </w:tr>
    </w:tbl>
    <w:p w14:paraId="2EFDC956" w14:textId="1925D38C" w:rsidR="009C0DB2" w:rsidRPr="009C0DB2" w:rsidRDefault="009C0DB2" w:rsidP="009C0DB2">
      <w:pPr>
        <w:rPr>
          <w:rFonts w:ascii="GHEA Grapalat" w:hAnsi="GHEA Grapalat" w:cs="GHEA Grapalat"/>
          <w:sz w:val="24"/>
          <w:lang w:val="hy-AM" w:eastAsia="ru-RU"/>
        </w:rPr>
      </w:pPr>
    </w:p>
    <w:p w14:paraId="7FE8A83F" w14:textId="77777777" w:rsidR="009C0DB2" w:rsidRPr="009C0DB2" w:rsidRDefault="009C0DB2" w:rsidP="009C0DB2">
      <w:pPr>
        <w:rPr>
          <w:rFonts w:ascii="GHEA Grapalat" w:hAnsi="GHEA Grapalat" w:cs="GHEA Grapalat"/>
          <w:sz w:val="24"/>
          <w:lang w:val="hy-AM" w:eastAsia="ru-RU"/>
        </w:rPr>
      </w:pPr>
    </w:p>
    <w:p w14:paraId="4DA35C47" w14:textId="77777777" w:rsidR="009C0DB2" w:rsidRPr="009C0DB2" w:rsidRDefault="009C0DB2" w:rsidP="009C0DB2">
      <w:pPr>
        <w:rPr>
          <w:rFonts w:ascii="GHEA Grapalat" w:hAnsi="GHEA Grapalat" w:cs="GHEA Grapalat"/>
          <w:sz w:val="24"/>
          <w:lang w:val="hy-AM" w:eastAsia="ru-RU"/>
        </w:rPr>
      </w:pPr>
    </w:p>
    <w:p w14:paraId="0903B41E" w14:textId="5B31631F" w:rsidR="009C0DB2" w:rsidRPr="009C0DB2" w:rsidRDefault="009C0DB2" w:rsidP="009C0DB2">
      <w:pPr>
        <w:rPr>
          <w:rFonts w:ascii="GHEA Grapalat" w:hAnsi="GHEA Grapalat" w:cs="GHEA Grapalat"/>
          <w:sz w:val="24"/>
          <w:lang w:val="hy-AM" w:eastAsia="ru-RU"/>
        </w:rPr>
      </w:pPr>
    </w:p>
    <w:sectPr w:rsidR="009C0DB2" w:rsidRPr="009C0DB2" w:rsidSect="004C125C">
      <w:pgSz w:w="15840" w:h="12240" w:orient="landscape"/>
      <w:pgMar w:top="1166" w:right="814" w:bottom="99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339CC" w14:textId="77777777" w:rsidR="00B73EBA" w:rsidRDefault="00B73EBA" w:rsidP="00723289">
      <w:r>
        <w:separator/>
      </w:r>
    </w:p>
  </w:endnote>
  <w:endnote w:type="continuationSeparator" w:id="0">
    <w:p w14:paraId="444F9FD4" w14:textId="77777777" w:rsidR="00B73EBA" w:rsidRDefault="00B73EBA" w:rsidP="0072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769DE" w14:textId="77777777" w:rsidR="00B73EBA" w:rsidRDefault="00B73EBA" w:rsidP="00723289">
      <w:r>
        <w:separator/>
      </w:r>
    </w:p>
  </w:footnote>
  <w:footnote w:type="continuationSeparator" w:id="0">
    <w:p w14:paraId="2B3D5E48" w14:textId="77777777" w:rsidR="00B73EBA" w:rsidRDefault="00B73EBA" w:rsidP="00723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F3508"/>
    <w:multiLevelType w:val="hybridMultilevel"/>
    <w:tmpl w:val="5EA2FBD4"/>
    <w:lvl w:ilvl="0" w:tplc="B93A8D0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37F2C"/>
    <w:multiLevelType w:val="hybridMultilevel"/>
    <w:tmpl w:val="28327D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3" w15:restartNumberingAfterBreak="0">
    <w:nsid w:val="124B0C14"/>
    <w:multiLevelType w:val="hybridMultilevel"/>
    <w:tmpl w:val="2D44FC4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15DE2C18"/>
    <w:multiLevelType w:val="hybridMultilevel"/>
    <w:tmpl w:val="78C23640"/>
    <w:lvl w:ilvl="0" w:tplc="041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63C2641"/>
    <w:multiLevelType w:val="hybridMultilevel"/>
    <w:tmpl w:val="99D4E1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D154B"/>
    <w:multiLevelType w:val="hybridMultilevel"/>
    <w:tmpl w:val="3FB2EC8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7" w15:restartNumberingAfterBreak="0">
    <w:nsid w:val="4B373BEB"/>
    <w:multiLevelType w:val="hybridMultilevel"/>
    <w:tmpl w:val="A20AD0F8"/>
    <w:lvl w:ilvl="0" w:tplc="EA600BB2">
      <w:start w:val="1"/>
      <w:numFmt w:val="decimal"/>
      <w:lvlText w:val="%1."/>
      <w:lvlJc w:val="left"/>
      <w:pPr>
        <w:ind w:left="1571" w:hanging="360"/>
      </w:pPr>
      <w:rPr>
        <w:b w:val="0"/>
        <w:bCs/>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15:restartNumberingAfterBreak="0">
    <w:nsid w:val="524F59B4"/>
    <w:multiLevelType w:val="hybridMultilevel"/>
    <w:tmpl w:val="BAD2B68A"/>
    <w:lvl w:ilvl="0" w:tplc="93B2A18A">
      <w:start w:val="1"/>
      <w:numFmt w:val="decimal"/>
      <w:lvlText w:val="%1)"/>
      <w:lvlJc w:val="left"/>
      <w:pPr>
        <w:ind w:left="1080" w:hanging="360"/>
      </w:pPr>
      <w:rPr>
        <w:rFonts w:cs="Sylfaen"/>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A9B58EB"/>
    <w:multiLevelType w:val="hybridMultilevel"/>
    <w:tmpl w:val="AF583DC0"/>
    <w:lvl w:ilvl="0" w:tplc="37F41E70">
      <w:start w:val="1"/>
      <w:numFmt w:val="decimal"/>
      <w:lvlText w:val="%1."/>
      <w:lvlJc w:val="left"/>
      <w:pPr>
        <w:ind w:left="1427" w:hanging="360"/>
      </w:pPr>
      <w:rPr>
        <w:rFonts w:ascii="GHEA Grapalat" w:hAnsi="GHEA Grapalat" w:cs="GHEA Grapalat" w:hint="default"/>
        <w:sz w:val="24"/>
        <w:szCs w:val="24"/>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num w:numId="1">
    <w:abstractNumId w:val="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7"/>
  </w:num>
  <w:num w:numId="6">
    <w:abstractNumId w:val="6"/>
  </w:num>
  <w:num w:numId="7">
    <w:abstractNumId w:val="5"/>
  </w:num>
  <w:num w:numId="8">
    <w:abstractNumId w:val="4"/>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3CE1"/>
    <w:rsid w:val="00003AA9"/>
    <w:rsid w:val="00011966"/>
    <w:rsid w:val="00011DDB"/>
    <w:rsid w:val="00013F6A"/>
    <w:rsid w:val="000336F5"/>
    <w:rsid w:val="00037DE8"/>
    <w:rsid w:val="000421AE"/>
    <w:rsid w:val="000461C8"/>
    <w:rsid w:val="000611A9"/>
    <w:rsid w:val="00075673"/>
    <w:rsid w:val="0008172E"/>
    <w:rsid w:val="000820C9"/>
    <w:rsid w:val="000860C1"/>
    <w:rsid w:val="00087414"/>
    <w:rsid w:val="000927E0"/>
    <w:rsid w:val="000C69D9"/>
    <w:rsid w:val="000D2218"/>
    <w:rsid w:val="000D4809"/>
    <w:rsid w:val="001058C4"/>
    <w:rsid w:val="00106BAF"/>
    <w:rsid w:val="00111C98"/>
    <w:rsid w:val="00114261"/>
    <w:rsid w:val="00124478"/>
    <w:rsid w:val="00124490"/>
    <w:rsid w:val="00127882"/>
    <w:rsid w:val="00136918"/>
    <w:rsid w:val="00137C42"/>
    <w:rsid w:val="001509FC"/>
    <w:rsid w:val="00163BCD"/>
    <w:rsid w:val="00170369"/>
    <w:rsid w:val="00171F14"/>
    <w:rsid w:val="00192311"/>
    <w:rsid w:val="001A3EAC"/>
    <w:rsid w:val="001B463B"/>
    <w:rsid w:val="001B6C4A"/>
    <w:rsid w:val="001C3460"/>
    <w:rsid w:val="001E1ACD"/>
    <w:rsid w:val="001F24F1"/>
    <w:rsid w:val="001F4FE2"/>
    <w:rsid w:val="0020108C"/>
    <w:rsid w:val="00214B62"/>
    <w:rsid w:val="00215544"/>
    <w:rsid w:val="00223524"/>
    <w:rsid w:val="00224A81"/>
    <w:rsid w:val="002316F8"/>
    <w:rsid w:val="00233CE1"/>
    <w:rsid w:val="00236E2C"/>
    <w:rsid w:val="00240BB2"/>
    <w:rsid w:val="00276AE4"/>
    <w:rsid w:val="00281499"/>
    <w:rsid w:val="002864F3"/>
    <w:rsid w:val="00296AED"/>
    <w:rsid w:val="002A73EA"/>
    <w:rsid w:val="002B5C4A"/>
    <w:rsid w:val="002D2071"/>
    <w:rsid w:val="002D3AF2"/>
    <w:rsid w:val="002E06E1"/>
    <w:rsid w:val="003014F0"/>
    <w:rsid w:val="00342FD2"/>
    <w:rsid w:val="003477D8"/>
    <w:rsid w:val="00381B9A"/>
    <w:rsid w:val="00382550"/>
    <w:rsid w:val="0039054F"/>
    <w:rsid w:val="003A0DDB"/>
    <w:rsid w:val="003B00A3"/>
    <w:rsid w:val="003B3620"/>
    <w:rsid w:val="003D3260"/>
    <w:rsid w:val="003D5EEE"/>
    <w:rsid w:val="003E6B5B"/>
    <w:rsid w:val="003F5473"/>
    <w:rsid w:val="003F5543"/>
    <w:rsid w:val="004116DB"/>
    <w:rsid w:val="00426AA2"/>
    <w:rsid w:val="004277E2"/>
    <w:rsid w:val="00442C4B"/>
    <w:rsid w:val="00447237"/>
    <w:rsid w:val="0045406F"/>
    <w:rsid w:val="00461161"/>
    <w:rsid w:val="0047102F"/>
    <w:rsid w:val="00483713"/>
    <w:rsid w:val="00483910"/>
    <w:rsid w:val="00483A23"/>
    <w:rsid w:val="00483FE5"/>
    <w:rsid w:val="004A2D60"/>
    <w:rsid w:val="004A3198"/>
    <w:rsid w:val="004A3F7E"/>
    <w:rsid w:val="004C125C"/>
    <w:rsid w:val="004E3E10"/>
    <w:rsid w:val="0050185E"/>
    <w:rsid w:val="00501D8D"/>
    <w:rsid w:val="005216D5"/>
    <w:rsid w:val="005231C1"/>
    <w:rsid w:val="0053212C"/>
    <w:rsid w:val="00546F7E"/>
    <w:rsid w:val="00547316"/>
    <w:rsid w:val="005722EF"/>
    <w:rsid w:val="00572989"/>
    <w:rsid w:val="00577834"/>
    <w:rsid w:val="00583734"/>
    <w:rsid w:val="00590A95"/>
    <w:rsid w:val="0059278C"/>
    <w:rsid w:val="005A2D0D"/>
    <w:rsid w:val="005A5393"/>
    <w:rsid w:val="005A7743"/>
    <w:rsid w:val="005B0501"/>
    <w:rsid w:val="005C02B8"/>
    <w:rsid w:val="005C59B2"/>
    <w:rsid w:val="005C6379"/>
    <w:rsid w:val="005F1169"/>
    <w:rsid w:val="005F1374"/>
    <w:rsid w:val="00604AAD"/>
    <w:rsid w:val="00604D04"/>
    <w:rsid w:val="00617F48"/>
    <w:rsid w:val="0063361F"/>
    <w:rsid w:val="0063622D"/>
    <w:rsid w:val="006414A3"/>
    <w:rsid w:val="00645961"/>
    <w:rsid w:val="0069483E"/>
    <w:rsid w:val="00697012"/>
    <w:rsid w:val="006D2C9B"/>
    <w:rsid w:val="006E0CC9"/>
    <w:rsid w:val="00711653"/>
    <w:rsid w:val="00722758"/>
    <w:rsid w:val="007228EA"/>
    <w:rsid w:val="00723289"/>
    <w:rsid w:val="00732387"/>
    <w:rsid w:val="0074145F"/>
    <w:rsid w:val="00744E2F"/>
    <w:rsid w:val="0075752C"/>
    <w:rsid w:val="00760E21"/>
    <w:rsid w:val="007D77AD"/>
    <w:rsid w:val="007F3C49"/>
    <w:rsid w:val="00806F2C"/>
    <w:rsid w:val="00822C50"/>
    <w:rsid w:val="00823812"/>
    <w:rsid w:val="008277C4"/>
    <w:rsid w:val="008304E8"/>
    <w:rsid w:val="00845D5A"/>
    <w:rsid w:val="00862495"/>
    <w:rsid w:val="008732B4"/>
    <w:rsid w:val="00890605"/>
    <w:rsid w:val="00891FD0"/>
    <w:rsid w:val="008F371B"/>
    <w:rsid w:val="008F4726"/>
    <w:rsid w:val="008F4982"/>
    <w:rsid w:val="009322F8"/>
    <w:rsid w:val="0093466E"/>
    <w:rsid w:val="00942564"/>
    <w:rsid w:val="00976060"/>
    <w:rsid w:val="00977C7D"/>
    <w:rsid w:val="00982157"/>
    <w:rsid w:val="00983AC5"/>
    <w:rsid w:val="00987D25"/>
    <w:rsid w:val="0099175F"/>
    <w:rsid w:val="009C0DB2"/>
    <w:rsid w:val="009D6018"/>
    <w:rsid w:val="009F698E"/>
    <w:rsid w:val="00A040B3"/>
    <w:rsid w:val="00A12078"/>
    <w:rsid w:val="00A22215"/>
    <w:rsid w:val="00A2746A"/>
    <w:rsid w:val="00A357DB"/>
    <w:rsid w:val="00A56E30"/>
    <w:rsid w:val="00A637A2"/>
    <w:rsid w:val="00A65874"/>
    <w:rsid w:val="00A667AA"/>
    <w:rsid w:val="00A9495D"/>
    <w:rsid w:val="00A97B0B"/>
    <w:rsid w:val="00AA203A"/>
    <w:rsid w:val="00AB2DA7"/>
    <w:rsid w:val="00AB3DDE"/>
    <w:rsid w:val="00AD44B5"/>
    <w:rsid w:val="00B11A08"/>
    <w:rsid w:val="00B31C25"/>
    <w:rsid w:val="00B341C1"/>
    <w:rsid w:val="00B70D22"/>
    <w:rsid w:val="00B72CE3"/>
    <w:rsid w:val="00B72E06"/>
    <w:rsid w:val="00B73EBA"/>
    <w:rsid w:val="00B85900"/>
    <w:rsid w:val="00B96FF3"/>
    <w:rsid w:val="00BB3EC3"/>
    <w:rsid w:val="00BB5DF0"/>
    <w:rsid w:val="00BC505A"/>
    <w:rsid w:val="00BE3B2C"/>
    <w:rsid w:val="00BF7EB5"/>
    <w:rsid w:val="00C00757"/>
    <w:rsid w:val="00C0404B"/>
    <w:rsid w:val="00C34726"/>
    <w:rsid w:val="00C34C64"/>
    <w:rsid w:val="00C40640"/>
    <w:rsid w:val="00C43B59"/>
    <w:rsid w:val="00C720B8"/>
    <w:rsid w:val="00C737C7"/>
    <w:rsid w:val="00C9079F"/>
    <w:rsid w:val="00CB53C3"/>
    <w:rsid w:val="00CD311C"/>
    <w:rsid w:val="00CD47E4"/>
    <w:rsid w:val="00CE41E6"/>
    <w:rsid w:val="00D00626"/>
    <w:rsid w:val="00D015FE"/>
    <w:rsid w:val="00D05E46"/>
    <w:rsid w:val="00D16667"/>
    <w:rsid w:val="00D259E5"/>
    <w:rsid w:val="00D27B87"/>
    <w:rsid w:val="00D31BE3"/>
    <w:rsid w:val="00D334FD"/>
    <w:rsid w:val="00D432E1"/>
    <w:rsid w:val="00D47BD6"/>
    <w:rsid w:val="00D73751"/>
    <w:rsid w:val="00D767DC"/>
    <w:rsid w:val="00D76AA9"/>
    <w:rsid w:val="00D77A7B"/>
    <w:rsid w:val="00D81532"/>
    <w:rsid w:val="00D866CB"/>
    <w:rsid w:val="00D93337"/>
    <w:rsid w:val="00DA4E41"/>
    <w:rsid w:val="00DA6E81"/>
    <w:rsid w:val="00DB0470"/>
    <w:rsid w:val="00DB0626"/>
    <w:rsid w:val="00DB34ED"/>
    <w:rsid w:val="00DC5683"/>
    <w:rsid w:val="00DD7B1A"/>
    <w:rsid w:val="00DE2753"/>
    <w:rsid w:val="00DE2D0C"/>
    <w:rsid w:val="00DF0465"/>
    <w:rsid w:val="00DF5FD2"/>
    <w:rsid w:val="00DF7718"/>
    <w:rsid w:val="00DF7C22"/>
    <w:rsid w:val="00E1013C"/>
    <w:rsid w:val="00E104A6"/>
    <w:rsid w:val="00E2075D"/>
    <w:rsid w:val="00E222D8"/>
    <w:rsid w:val="00E24DE7"/>
    <w:rsid w:val="00E25022"/>
    <w:rsid w:val="00E314F2"/>
    <w:rsid w:val="00E671EA"/>
    <w:rsid w:val="00E83E5E"/>
    <w:rsid w:val="00EA5B28"/>
    <w:rsid w:val="00EC261A"/>
    <w:rsid w:val="00EC28E8"/>
    <w:rsid w:val="00EC756F"/>
    <w:rsid w:val="00ED0BA8"/>
    <w:rsid w:val="00ED74D2"/>
    <w:rsid w:val="00EE4DA2"/>
    <w:rsid w:val="00F14418"/>
    <w:rsid w:val="00F40952"/>
    <w:rsid w:val="00F47F0F"/>
    <w:rsid w:val="00F47F89"/>
    <w:rsid w:val="00F51754"/>
    <w:rsid w:val="00F52946"/>
    <w:rsid w:val="00F579A4"/>
    <w:rsid w:val="00F75597"/>
    <w:rsid w:val="00F87404"/>
    <w:rsid w:val="00F9026A"/>
    <w:rsid w:val="00F94DA9"/>
    <w:rsid w:val="00FB2485"/>
    <w:rsid w:val="00FB4857"/>
    <w:rsid w:val="00FC01B0"/>
    <w:rsid w:val="00FD182F"/>
    <w:rsid w:val="00FD5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B2AD"/>
  <w15:docId w15:val="{7E9EFCAA-3FB3-40A0-B47B-DC8523359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4F1"/>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5900"/>
  </w:style>
  <w:style w:type="character" w:styleId="Strong">
    <w:name w:val="Strong"/>
    <w:basedOn w:val="DefaultParagraphFont"/>
    <w:uiPriority w:val="22"/>
    <w:qFormat/>
    <w:rsid w:val="00E1013C"/>
    <w:rPr>
      <w:b/>
      <w:bCs/>
    </w:rPr>
  </w:style>
  <w:style w:type="paragraph" w:styleId="CommentText">
    <w:name w:val="annotation text"/>
    <w:basedOn w:val="Normal"/>
    <w:link w:val="CommentTextChar"/>
    <w:uiPriority w:val="99"/>
    <w:semiHidden/>
    <w:unhideWhenUsed/>
    <w:rsid w:val="00170369"/>
    <w:pPr>
      <w:spacing w:after="160"/>
    </w:pPr>
    <w:rPr>
      <w:rFonts w:asciiTheme="minorHAnsi" w:eastAsiaTheme="minorHAnsi" w:hAnsiTheme="minorHAnsi" w:cstheme="minorBidi"/>
      <w:bCs w:val="0"/>
      <w:iCs w:val="0"/>
      <w:szCs w:val="20"/>
    </w:rPr>
  </w:style>
  <w:style w:type="character" w:customStyle="1" w:styleId="CommentTextChar">
    <w:name w:val="Comment Text Char"/>
    <w:basedOn w:val="DefaultParagraphFont"/>
    <w:link w:val="CommentText"/>
    <w:uiPriority w:val="99"/>
    <w:semiHidden/>
    <w:rsid w:val="00170369"/>
    <w:rPr>
      <w:sz w:val="20"/>
      <w:szCs w:val="20"/>
    </w:rPr>
  </w:style>
  <w:style w:type="paragraph" w:styleId="ListParagraph">
    <w:name w:val="List Paragraph"/>
    <w:basedOn w:val="Normal"/>
    <w:uiPriority w:val="34"/>
    <w:qFormat/>
    <w:rsid w:val="002E06E1"/>
    <w:pPr>
      <w:ind w:left="720"/>
      <w:contextualSpacing/>
    </w:pPr>
  </w:style>
  <w:style w:type="paragraph" w:styleId="BalloonText">
    <w:name w:val="Balloon Text"/>
    <w:basedOn w:val="Normal"/>
    <w:link w:val="BalloonTextChar"/>
    <w:uiPriority w:val="99"/>
    <w:semiHidden/>
    <w:unhideWhenUsed/>
    <w:rsid w:val="002864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4F3"/>
    <w:rPr>
      <w:rFonts w:ascii="Segoe UI" w:eastAsia="Times New Roman" w:hAnsi="Segoe UI" w:cs="Segoe UI"/>
      <w:bCs/>
      <w:iCs/>
      <w:sz w:val="18"/>
      <w:szCs w:val="18"/>
    </w:rPr>
  </w:style>
  <w:style w:type="paragraph" w:styleId="Header">
    <w:name w:val="header"/>
    <w:basedOn w:val="Normal"/>
    <w:link w:val="HeaderChar"/>
    <w:uiPriority w:val="99"/>
    <w:unhideWhenUsed/>
    <w:rsid w:val="00723289"/>
    <w:pPr>
      <w:tabs>
        <w:tab w:val="center" w:pos="4680"/>
        <w:tab w:val="right" w:pos="9360"/>
      </w:tabs>
      <w:spacing w:after="200" w:line="276" w:lineRule="auto"/>
    </w:pPr>
    <w:rPr>
      <w:rFonts w:ascii="Calibri" w:hAnsi="Calibri"/>
      <w:bCs w:val="0"/>
      <w:iCs w:val="0"/>
      <w:sz w:val="22"/>
      <w:szCs w:val="22"/>
    </w:rPr>
  </w:style>
  <w:style w:type="character" w:customStyle="1" w:styleId="HeaderChar">
    <w:name w:val="Header Char"/>
    <w:basedOn w:val="DefaultParagraphFont"/>
    <w:link w:val="Header"/>
    <w:uiPriority w:val="99"/>
    <w:rsid w:val="00723289"/>
    <w:rPr>
      <w:rFonts w:ascii="Calibri" w:eastAsia="Times New Roman" w:hAnsi="Calibri" w:cs="Times New Roman"/>
    </w:rPr>
  </w:style>
  <w:style w:type="paragraph" w:styleId="Footer">
    <w:name w:val="footer"/>
    <w:basedOn w:val="Normal"/>
    <w:link w:val="FooterChar"/>
    <w:uiPriority w:val="99"/>
    <w:unhideWhenUsed/>
    <w:rsid w:val="00723289"/>
    <w:pPr>
      <w:tabs>
        <w:tab w:val="center" w:pos="4680"/>
        <w:tab w:val="right" w:pos="9360"/>
      </w:tabs>
    </w:pPr>
  </w:style>
  <w:style w:type="character" w:customStyle="1" w:styleId="FooterChar">
    <w:name w:val="Footer Char"/>
    <w:basedOn w:val="DefaultParagraphFont"/>
    <w:link w:val="Footer"/>
    <w:uiPriority w:val="99"/>
    <w:rsid w:val="00723289"/>
    <w:rPr>
      <w:rFonts w:ascii="Times Armenian" w:eastAsia="Times New Roman" w:hAnsi="Times Armenian" w:cs="Times New Roman"/>
      <w:bCs/>
      <w:iCs/>
      <w:sz w:val="20"/>
      <w:szCs w:val="24"/>
    </w:rPr>
  </w:style>
  <w:style w:type="paragraph" w:styleId="NormalWeb">
    <w:name w:val="Normal (Web)"/>
    <w:basedOn w:val="Normal"/>
    <w:uiPriority w:val="99"/>
    <w:unhideWhenUsed/>
    <w:rsid w:val="00037DE8"/>
    <w:pPr>
      <w:spacing w:before="100" w:beforeAutospacing="1" w:after="100" w:afterAutospacing="1"/>
    </w:pPr>
    <w:rPr>
      <w:rFonts w:ascii="Times New Roman" w:hAnsi="Times New Roman"/>
      <w:bCs w:val="0"/>
      <w:iCs w:val="0"/>
      <w:sz w:val="24"/>
    </w:rPr>
  </w:style>
  <w:style w:type="character" w:customStyle="1" w:styleId="BodyTextChar">
    <w:name w:val="Body Text Char"/>
    <w:link w:val="BodyText"/>
    <w:uiPriority w:val="99"/>
    <w:locked/>
    <w:rsid w:val="00037DE8"/>
    <w:rPr>
      <w:rFonts w:cs="Times New Roman"/>
      <w:sz w:val="24"/>
      <w:szCs w:val="24"/>
    </w:rPr>
  </w:style>
  <w:style w:type="paragraph" w:styleId="BodyText">
    <w:name w:val="Body Text"/>
    <w:basedOn w:val="Normal"/>
    <w:link w:val="BodyTextChar"/>
    <w:uiPriority w:val="99"/>
    <w:rsid w:val="00037DE8"/>
    <w:pPr>
      <w:spacing w:after="120"/>
    </w:pPr>
    <w:rPr>
      <w:rFonts w:asciiTheme="minorHAnsi" w:eastAsiaTheme="minorHAnsi" w:hAnsiTheme="minorHAnsi"/>
      <w:bCs w:val="0"/>
      <w:iCs w:val="0"/>
      <w:sz w:val="24"/>
    </w:rPr>
  </w:style>
  <w:style w:type="character" w:customStyle="1" w:styleId="BodyTextChar1">
    <w:name w:val="Body Text Char1"/>
    <w:basedOn w:val="DefaultParagraphFont"/>
    <w:uiPriority w:val="99"/>
    <w:semiHidden/>
    <w:rsid w:val="00037DE8"/>
    <w:rPr>
      <w:rFonts w:ascii="Times Armenian" w:eastAsia="Times New Roman" w:hAnsi="Times Armenian" w:cs="Times New Roman"/>
      <w:bCs/>
      <w:iCs/>
      <w:sz w:val="20"/>
      <w:szCs w:val="24"/>
    </w:rPr>
  </w:style>
  <w:style w:type="character" w:styleId="CommentReference">
    <w:name w:val="annotation reference"/>
    <w:basedOn w:val="DefaultParagraphFont"/>
    <w:uiPriority w:val="99"/>
    <w:semiHidden/>
    <w:unhideWhenUsed/>
    <w:rsid w:val="005A2D0D"/>
    <w:rPr>
      <w:sz w:val="16"/>
      <w:szCs w:val="16"/>
    </w:rPr>
  </w:style>
  <w:style w:type="paragraph" w:styleId="CommentSubject">
    <w:name w:val="annotation subject"/>
    <w:basedOn w:val="CommentText"/>
    <w:next w:val="CommentText"/>
    <w:link w:val="CommentSubjectChar"/>
    <w:uiPriority w:val="99"/>
    <w:semiHidden/>
    <w:unhideWhenUsed/>
    <w:rsid w:val="005A2D0D"/>
    <w:pPr>
      <w:spacing w:after="0"/>
    </w:pPr>
    <w:rPr>
      <w:rFonts w:ascii="Times Armenian" w:eastAsia="Times New Roman" w:hAnsi="Times Armenian" w:cs="Times New Roman"/>
      <w:b/>
      <w:bCs/>
      <w:iCs/>
    </w:rPr>
  </w:style>
  <w:style w:type="character" w:customStyle="1" w:styleId="CommentSubjectChar">
    <w:name w:val="Comment Subject Char"/>
    <w:basedOn w:val="CommentTextChar"/>
    <w:link w:val="CommentSubject"/>
    <w:uiPriority w:val="99"/>
    <w:semiHidden/>
    <w:rsid w:val="005A2D0D"/>
    <w:rPr>
      <w:rFonts w:ascii="Times Armenian" w:eastAsia="Times New Roman" w:hAnsi="Times Armenian" w:cs="Times New Roman"/>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036369">
      <w:bodyDiv w:val="1"/>
      <w:marLeft w:val="0"/>
      <w:marRight w:val="0"/>
      <w:marTop w:val="0"/>
      <w:marBottom w:val="0"/>
      <w:divBdr>
        <w:top w:val="none" w:sz="0" w:space="0" w:color="auto"/>
        <w:left w:val="none" w:sz="0" w:space="0" w:color="auto"/>
        <w:bottom w:val="none" w:sz="0" w:space="0" w:color="auto"/>
        <w:right w:val="none" w:sz="0" w:space="0" w:color="auto"/>
      </w:divBdr>
    </w:div>
    <w:div w:id="1049842573">
      <w:bodyDiv w:val="1"/>
      <w:marLeft w:val="0"/>
      <w:marRight w:val="0"/>
      <w:marTop w:val="0"/>
      <w:marBottom w:val="0"/>
      <w:divBdr>
        <w:top w:val="none" w:sz="0" w:space="0" w:color="auto"/>
        <w:left w:val="none" w:sz="0" w:space="0" w:color="auto"/>
        <w:bottom w:val="none" w:sz="0" w:space="0" w:color="auto"/>
        <w:right w:val="none" w:sz="0" w:space="0" w:color="auto"/>
      </w:divBdr>
    </w:div>
    <w:div w:id="1080448678">
      <w:bodyDiv w:val="1"/>
      <w:marLeft w:val="0"/>
      <w:marRight w:val="0"/>
      <w:marTop w:val="0"/>
      <w:marBottom w:val="0"/>
      <w:divBdr>
        <w:top w:val="none" w:sz="0" w:space="0" w:color="auto"/>
        <w:left w:val="none" w:sz="0" w:space="0" w:color="auto"/>
        <w:bottom w:val="none" w:sz="0" w:space="0" w:color="auto"/>
        <w:right w:val="none" w:sz="0" w:space="0" w:color="auto"/>
      </w:divBdr>
    </w:div>
    <w:div w:id="1240213841">
      <w:bodyDiv w:val="1"/>
      <w:marLeft w:val="0"/>
      <w:marRight w:val="0"/>
      <w:marTop w:val="0"/>
      <w:marBottom w:val="0"/>
      <w:divBdr>
        <w:top w:val="none" w:sz="0" w:space="0" w:color="auto"/>
        <w:left w:val="none" w:sz="0" w:space="0" w:color="auto"/>
        <w:bottom w:val="none" w:sz="0" w:space="0" w:color="auto"/>
        <w:right w:val="none" w:sz="0" w:space="0" w:color="auto"/>
      </w:divBdr>
    </w:div>
    <w:div w:id="1349865338">
      <w:bodyDiv w:val="1"/>
      <w:marLeft w:val="0"/>
      <w:marRight w:val="0"/>
      <w:marTop w:val="0"/>
      <w:marBottom w:val="0"/>
      <w:divBdr>
        <w:top w:val="none" w:sz="0" w:space="0" w:color="auto"/>
        <w:left w:val="none" w:sz="0" w:space="0" w:color="auto"/>
        <w:bottom w:val="none" w:sz="0" w:space="0" w:color="auto"/>
        <w:right w:val="none" w:sz="0" w:space="0" w:color="auto"/>
      </w:divBdr>
    </w:div>
    <w:div w:id="214395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C86CA-6644-4589-8BFB-962A4960F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1435</Words>
  <Characters>10992</Characters>
  <Application>Microsoft Office Word</Application>
  <DocSecurity>0</DocSecurity>
  <Lines>446</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Sevak Bazeyan</dc:creator>
  <cp:keywords>https://mul2-minfin.gov.am/tasks/263458/oneclick/Ampopatert-Kooperativ.docx?token=619dae25afee1b9a9e51a844aadcadec</cp:keywords>
  <cp:lastModifiedBy>Ori Alaverdyan</cp:lastModifiedBy>
  <cp:revision>4</cp:revision>
  <cp:lastPrinted>2018-10-01T08:34:00Z</cp:lastPrinted>
  <dcterms:created xsi:type="dcterms:W3CDTF">2021-02-12T08:14:00Z</dcterms:created>
  <dcterms:modified xsi:type="dcterms:W3CDTF">2021-02-12T12:46:00Z</dcterms:modified>
</cp:coreProperties>
</file>