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5" w:rsidRPr="00BD674E" w:rsidRDefault="00207635" w:rsidP="0020763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 w:cs="GHEA Grapalat"/>
          <w:color w:val="000000"/>
          <w:lang w:val="hy-AM"/>
        </w:rPr>
      </w:pP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ՀԻՄՆԱՎՈՐՈՒՄ–ՏԵՂԵԿԱՆՔ</w:t>
      </w:r>
    </w:p>
    <w:p w:rsidR="00207635" w:rsidRPr="00BD674E" w:rsidRDefault="00207635" w:rsidP="0020763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BD674E">
        <w:rPr>
          <w:rStyle w:val="Strong"/>
          <w:rFonts w:ascii="GHEA Grapalat" w:hAnsi="GHEA Grapalat"/>
          <w:color w:val="000000"/>
          <w:lang w:val="hy-AM"/>
        </w:rPr>
        <w:t>«ՀԱՅԱՍՏԱՆԻ ՀԱՆՐԱՊԵՏՈՒԹՅԱՆ ԿԱՌԱՎԱՐՈՒԹՅԱՆ 2020 ԹՎԱԿԱՆԻ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ՄԱՅԻՍԻ</w:t>
      </w:r>
      <w:r w:rsidRPr="00BD674E">
        <w:rPr>
          <w:rStyle w:val="Strong"/>
          <w:rFonts w:ascii="GHEA Grapalat" w:hAnsi="GHEA Grapalat"/>
          <w:color w:val="000000"/>
          <w:lang w:val="hy-AM"/>
        </w:rPr>
        <w:t xml:space="preserve"> 14-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N 968-Լ ԵՎ 2020 ԹՎԱԿԱՆԻ ՀՈՒԼԻՍԻ 9-Ի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 xml:space="preserve">N </w:t>
      </w:r>
      <w:r w:rsidRPr="00BD674E">
        <w:rPr>
          <w:rStyle w:val="Strong"/>
          <w:rFonts w:ascii="GHEA Grapalat" w:hAnsi="GHEA Grapalat" w:cs="GHEA Grapalat"/>
          <w:lang w:val="hy-AM"/>
        </w:rPr>
        <w:t>1167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-Լ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 xml:space="preserve">ՈՐՈՇՈՒՄՆԵՐՈՒՄ </w:t>
      </w:r>
      <w:r w:rsidRPr="00BD674E">
        <w:rPr>
          <w:rStyle w:val="Strong"/>
          <w:rFonts w:ascii="GHEA Grapalat" w:hAnsi="GHEA Grapalat"/>
          <w:color w:val="000000"/>
          <w:lang w:val="hy-AM"/>
        </w:rPr>
        <w:t>ԼՐԱՑՈՒՄՆԵՐ ԵՎ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ՓՈՓՈԽՈՒԹՅՈՒՆՆԵՐ</w:t>
      </w:r>
      <w:r w:rsidRPr="00BD674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ԿԱՏԱՐԵԼՈՒ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ՄԱՍԻՆ» ԿԱՌԱՎԱՐՈՒԹՅԱՆ ՈՐՈՇՄԱՆ ՆԱԽԱԳԾԻ ԸՆԴՈՒՆՄԱՆ</w:t>
      </w:r>
    </w:p>
    <w:p w:rsidR="00207635" w:rsidRPr="00BD674E" w:rsidRDefault="00207635" w:rsidP="0020763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  <w:r w:rsidRPr="00BD67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Ներկայացվող նախագծի նպատակը երեխա ունեցող ընտանիքների բնակարանային ապահովության պետական աջակցության ծրագրերի իրականացման ընթացակարգերի և դրույթների </w:t>
      </w:r>
      <w:proofErr w:type="spellStart"/>
      <w:r w:rsidRPr="00BD674E">
        <w:rPr>
          <w:rFonts w:ascii="GHEA Grapalat" w:hAnsi="GHEA Grapalat" w:cs="Sylfaen"/>
          <w:sz w:val="24"/>
          <w:szCs w:val="24"/>
          <w:lang w:val="hy-AM"/>
        </w:rPr>
        <w:t>հստակեցումն</w:t>
      </w:r>
      <w:proofErr w:type="spellEnd"/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 է։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1.1.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հարաբերությունների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ներկա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վիճակը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առկա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խնդիրները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74E">
        <w:rPr>
          <w:rFonts w:ascii="GHEA Grapalat" w:hAnsi="GHEA Grapalat" w:cs="Sylfaen"/>
          <w:sz w:val="24"/>
          <w:szCs w:val="24"/>
          <w:lang w:val="hy-AM"/>
        </w:rPr>
        <w:t>ՀՀ կառավարության 2020 թվականի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 w:cs="Sylfaen"/>
          <w:sz w:val="24"/>
          <w:szCs w:val="24"/>
          <w:lang w:val="hy-AM"/>
        </w:rPr>
        <w:t>մայիսի 14-ի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 w:cs="Sylfaen"/>
          <w:sz w:val="24"/>
          <w:szCs w:val="24"/>
          <w:lang w:val="hy-AM"/>
        </w:rPr>
        <w:t>N 968-Լ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որոշմամբ սահմանվել են երեխա ունեցող ընտանիքների բնակարանային ապահովության պետական աջակցության 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2020-2023 թվականների </w:t>
      </w:r>
      <w:r w:rsidRPr="00BD674E">
        <w:rPr>
          <w:rFonts w:ascii="GHEA Grapalat" w:hAnsi="GHEA Grapalat" w:cs="Sylfaen"/>
          <w:sz w:val="24"/>
          <w:szCs w:val="24"/>
          <w:lang w:val="hy-AM"/>
        </w:rPr>
        <w:t>ծրագրերը։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2020 թվականի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հուլիսի 9-ի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N 1167-Լ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որոշմամբ հաստատվել է երեխա ունեցող ընտանիքների բնակարանային ապահովության պետական աջակցության ծրագրի իրականացման պայմանագրի օրինակելի </w:t>
      </w:r>
      <w:proofErr w:type="spellStart"/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ձևը</w:t>
      </w:r>
      <w:proofErr w:type="spellEnd"/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, որով կարգավորվում են նաև կազմակերպության և նախարարության </w:t>
      </w:r>
      <w:proofErr w:type="spellStart"/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տեղեկատվության փոխանակության հետ կապված հարաբերությունները։ 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1.2.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Առկա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խնդրի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առաջարկվող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լուծումը</w:t>
      </w:r>
      <w:r w:rsidRPr="00BD67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BD674E">
        <w:rPr>
          <w:rFonts w:ascii="GHEA Grapalat" w:hAnsi="GHEA Grapalat" w:cs="Sylfaen"/>
          <w:sz w:val="24"/>
          <w:szCs w:val="24"/>
          <w:lang w:val="hy-AM"/>
        </w:rPr>
        <w:t>Իրավակիրառական</w:t>
      </w:r>
      <w:proofErr w:type="spellEnd"/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 պրակտիկան հաշվի առնելով՝ առաջարկվում է համապատասխան լրացումներ և փոփոխություններ կատարել ՀՀ կառավարության 2020 թվականի մայիսի 14-ի N 968-Լ և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2020 թվականի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հուլիսի 9-ի N 1167-Լ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 որոշումներում։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առարկան</w:t>
      </w:r>
      <w:r w:rsidRPr="00BD67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Ներկայացվող նախագծով առաջարկվում է հստակեցնել </w:t>
      </w:r>
      <w:r w:rsidRPr="00BD674E">
        <w:rPr>
          <w:rFonts w:ascii="GHEA Grapalat" w:hAnsi="GHEA Grapalat" w:cs="Sylfaen"/>
          <w:sz w:val="24"/>
          <w:szCs w:val="24"/>
          <w:lang w:val="hy-AM"/>
        </w:rPr>
        <w:t>երեխա ունեցող ընտանիքների բնակարանային ապահովության պետական աջակցության ծրագրերի իրականացման ընթացակարգերը և դրույթները։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74E">
        <w:rPr>
          <w:rFonts w:ascii="GHEA Grapalat" w:hAnsi="GHEA Grapalat" w:cs="Sylfaen"/>
          <w:sz w:val="24"/>
          <w:szCs w:val="24"/>
          <w:lang w:val="hy-AM"/>
        </w:rPr>
        <w:t>Մասնավորապես, ՀՀ կառավարության 2020 թվականի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sz w:val="24"/>
          <w:szCs w:val="24"/>
          <w:lang w:val="hy-AM"/>
        </w:rPr>
        <w:t>մայիսի 14-ի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 w:cs="Sylfaen"/>
          <w:sz w:val="24"/>
          <w:szCs w:val="24"/>
          <w:lang w:val="hy-AM"/>
        </w:rPr>
        <w:t>N 968-Լ որոշման հավելվածի.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9D047C">
        <w:rPr>
          <w:rFonts w:ascii="GHEA Grapalat" w:hAnsi="GHEA Grapalat"/>
          <w:color w:val="000000"/>
          <w:lang w:val="hy-AM"/>
        </w:rPr>
        <w:t>15–</w:t>
      </w:r>
      <w:proofErr w:type="spellStart"/>
      <w:r w:rsidRPr="009D047C">
        <w:rPr>
          <w:rFonts w:ascii="GHEA Grapalat" w:hAnsi="GHEA Grapalat"/>
          <w:color w:val="000000"/>
          <w:lang w:val="hy-AM"/>
        </w:rPr>
        <w:t>րդ</w:t>
      </w:r>
      <w:proofErr w:type="spellEnd"/>
      <w:r w:rsidRPr="009D047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9D047C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9D047C">
        <w:rPr>
          <w:rFonts w:ascii="GHEA Grapalat" w:hAnsi="GHEA Grapalat"/>
          <w:color w:val="000000"/>
          <w:lang w:val="hy-AM"/>
        </w:rPr>
        <w:t xml:space="preserve"> առաջարկվող </w:t>
      </w:r>
      <w:proofErr w:type="spellStart"/>
      <w:r w:rsidRPr="009D047C">
        <w:rPr>
          <w:rFonts w:ascii="GHEA Grapalat" w:hAnsi="GHEA Grapalat"/>
          <w:color w:val="000000"/>
          <w:lang w:val="hy-AM"/>
        </w:rPr>
        <w:t>լրացմամբ</w:t>
      </w:r>
      <w:proofErr w:type="spellEnd"/>
      <w:r w:rsidRPr="009D047C">
        <w:rPr>
          <w:rFonts w:ascii="GHEA Grapalat" w:hAnsi="GHEA Grapalat"/>
          <w:color w:val="000000"/>
          <w:lang w:val="hy-AM"/>
        </w:rPr>
        <w:t xml:space="preserve"> հստակեցվում է, որ աջակցությունը տրամադրվում է այն դեպքում, երբ երեխան հանդիսանում է Հայաստանի Հանրապետության </w:t>
      </w:r>
      <w:r w:rsidRPr="009D047C">
        <w:rPr>
          <w:rFonts w:ascii="GHEA Grapalat" w:hAnsi="GHEA Grapalat"/>
          <w:color w:val="000000"/>
          <w:lang w:val="hy-AM"/>
        </w:rPr>
        <w:lastRenderedPageBreak/>
        <w:t>քաղաքացի</w:t>
      </w:r>
      <w:r w:rsidRPr="00BD674E">
        <w:rPr>
          <w:rFonts w:ascii="GHEA Grapalat" w:hAnsi="GHEA Grapalat"/>
          <w:color w:val="000000"/>
          <w:lang w:val="hy-AM"/>
        </w:rPr>
        <w:t xml:space="preserve"> (եթե երեխայի ծննդի պետական գրանցումն իրականացվել է օտարերկրյա պետությունում),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16–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1–ին ենթակետում,  17-րդ կետի 5–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և 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ենթակետերում, 20–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BD674E">
        <w:rPr>
          <w:rFonts w:ascii="GHEA Grapalat" w:hAnsi="GHEA Grapalat"/>
          <w:color w:val="000000"/>
          <w:lang w:val="hy-AM"/>
        </w:rPr>
        <w:t>, 21–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1–ին ենթակետում առաջարկվող փոփոխություններով հստակեցվում է, որ բնակարանային ապահովության պետական աջակցության ծրագրերը կիրառելի են նաև այն դեպքում, երբ Հայաստանի Հանրապետության քաղաքացիական օրենսգրքի 570.1–ին հոդվածով սահմանված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կառուցապատողից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ձեռք է բերվում (բերվել) կ</w:t>
      </w:r>
      <w:r w:rsidRPr="00BD674E">
        <w:rPr>
          <w:rFonts w:ascii="GHEA Grapalat" w:hAnsi="GHEA Grapalat"/>
          <w:bCs/>
          <w:lang w:val="hy-AM"/>
        </w:rPr>
        <w:t>առուցվող շենքից անշարժ գույք գնելու իրավունք,</w:t>
      </w:r>
      <w:r w:rsidRPr="00BD674E">
        <w:rPr>
          <w:rFonts w:ascii="GHEA Grapalat" w:hAnsi="GHEA Grapalat"/>
          <w:color w:val="000000"/>
          <w:lang w:val="hy-AM"/>
        </w:rPr>
        <w:t xml:space="preserve"> 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17–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2–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>, 21–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2–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և 26–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2–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ենթակետերում առաջարկվող փոփոխությամբ հստակեցվում են </w:t>
      </w:r>
      <w:r w:rsidRPr="00BD674E">
        <w:rPr>
          <w:rFonts w:ascii="GHEA Grapalat" w:hAnsi="GHEA Grapalat"/>
          <w:lang w:val="hy-AM"/>
        </w:rPr>
        <w:t>մ</w:t>
      </w:r>
      <w:r w:rsidRPr="00BD674E">
        <w:rPr>
          <w:rFonts w:ascii="GHEA Grapalat" w:hAnsi="GHEA Grapalat"/>
          <w:color w:val="000000"/>
          <w:lang w:val="hy-AM"/>
        </w:rPr>
        <w:t xml:space="preserve">իանվագ դրամական աջակցության ծրագրի հիմնական պայմանները՝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տարընթերցումներից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խուսափելու նպատակով։ Միաժամանակ, սահմանվում է, որ կառուցվող անշարժ գույքի գնահատվող շուկայական գնի փոխարեն հիմք է ընդունվում նախահաշվային գինը՝ հաշվի առնելով այն հանգամանքը, որ այս դեպքում շուկայական գնի գնահատումը պարտադիր չէ,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17–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4–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ենթակետում, 19–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և 21–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4–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ենթակետում առաջարկվող փոփոխությամբ </w:t>
      </w:r>
      <w:r w:rsidRPr="009D047C">
        <w:rPr>
          <w:rFonts w:ascii="GHEA Grapalat" w:hAnsi="GHEA Grapalat"/>
          <w:color w:val="000000"/>
          <w:lang w:val="hy-AM"/>
        </w:rPr>
        <w:t>հստակեցվում է, որ ծրագրերի շրջանակներում հաշվի է առնվում շահառուից սերված երեխան,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 xml:space="preserve">25-րդ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առաջարկվող փոփոխություններով շտկվում է տեխնիկական սխալը, ինչպես նաև վերացվում է 26–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3–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ենթակետի հետ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առերևույթ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հակասությունը՝ հստակ սահմանելով, որ անձն օգտվում է երեխայի ծննդյան աջակցության ծրագրից նաև այն դեպքում, երբ հիփոթեքային վարկը տրամադրվել է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մինչև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2020 թվականի հուլիսի 1–ը.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26–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1–ին ենթակետում առաջարկվող փոփոխությամբ հստակեցվում է, որ երեխայի ծննդյան աջակցության գումարը (հիփոթեքային վարկ </w:t>
      </w:r>
      <w:r w:rsidRPr="00BD674E">
        <w:rPr>
          <w:rFonts w:ascii="GHEA Grapalat" w:hAnsi="GHEA Grapalat" w:cs="Arial Unicode"/>
          <w:color w:val="000000"/>
          <w:lang w:val="hy-AM"/>
        </w:rPr>
        <w:t>մարող</w:t>
      </w:r>
      <w:r w:rsidRPr="00BD674E">
        <w:rPr>
          <w:rFonts w:ascii="GHEA Grapalat" w:hAnsi="GHEA Grapalat"/>
          <w:color w:val="000000"/>
          <w:lang w:val="hy-AM"/>
        </w:rPr>
        <w:t xml:space="preserve"> </w:t>
      </w:r>
      <w:r w:rsidRPr="00BD674E">
        <w:rPr>
          <w:rFonts w:ascii="GHEA Grapalat" w:hAnsi="GHEA Grapalat" w:cs="Arial Unicode"/>
          <w:color w:val="000000"/>
          <w:lang w:val="hy-AM"/>
        </w:rPr>
        <w:t>շահառուից</w:t>
      </w:r>
      <w:r w:rsidRPr="00BD674E">
        <w:rPr>
          <w:rFonts w:ascii="GHEA Grapalat" w:hAnsi="GHEA Grapalat"/>
          <w:color w:val="000000"/>
          <w:lang w:val="hy-AM"/>
        </w:rPr>
        <w:t xml:space="preserve"> </w:t>
      </w:r>
      <w:r w:rsidRPr="00BD674E">
        <w:rPr>
          <w:rFonts w:ascii="GHEA Grapalat" w:hAnsi="GHEA Grapalat" w:cs="Arial Unicode"/>
          <w:color w:val="000000"/>
          <w:lang w:val="hy-AM"/>
        </w:rPr>
        <w:t>սերված</w:t>
      </w:r>
      <w:r w:rsidRPr="00BD674E">
        <w:rPr>
          <w:rFonts w:ascii="GHEA Grapalat" w:hAnsi="GHEA Grapalat"/>
          <w:color w:val="000000"/>
          <w:lang w:val="hy-AM"/>
        </w:rPr>
        <w:t xml:space="preserve"> երեխա ծնվելու դեպքում, տրամադրվում է միանվագ դրամական աջակցություն, որն ուղղվում է հիփոթեքային վարկի մնացորդային մայր գումարի մարմանը) վճարվում է, եթե շահառուն դիմում է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մինչև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երեխայի 1 տարին լրանալը.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 xml:space="preserve">Նոր լրացվող 27.1–ին կետով հստակեցվում են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կառուցապատողից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անավարտ բնակելի անշարժ գույք  ձեռք բերելու դեպքում հիմնական պայմանները։ Մասնավորապես, հաշվի առնելով </w:t>
      </w:r>
      <w:r w:rsidRPr="00BD674E">
        <w:rPr>
          <w:rFonts w:ascii="GHEA Grapalat" w:hAnsi="GHEA Grapalat"/>
          <w:color w:val="000000"/>
          <w:lang w:val="hy-AM"/>
        </w:rPr>
        <w:lastRenderedPageBreak/>
        <w:t xml:space="preserve">այն հանգամանքը, որ այս դեպքում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ևս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չի իրականացվում անշարժ գույքի շուկայական գնի գնահատում։</w:t>
      </w:r>
    </w:p>
    <w:p w:rsidR="00207635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Նոր լրացվող 27.2–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կետով հստակեցվում է, որ երեխայի ծննդյան աջակցության չափը որոշելու համար հաշվի առնվող՝ հավելվածի 26–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նշված երեխաների թվում հաշվի են առնվում նաև շահառուից սերված չափահաս զավակները։ Միաժամանակ, հստակեցվում են երեխայի ծննդյան աջակցության ծրագրի հիմնական պայմանները՝ հաշվի առնելով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իրավակիրառական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պրակտիկայում առաջացած խնդիրները։ 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Նոր լրացվող 27.</w:t>
      </w:r>
      <w:r>
        <w:rPr>
          <w:rFonts w:ascii="GHEA Grapalat" w:hAnsi="GHEA Grapalat"/>
          <w:color w:val="000000"/>
          <w:lang w:val="hy-AM"/>
        </w:rPr>
        <w:t>3</w:t>
      </w:r>
      <w:r w:rsidRPr="00BD674E">
        <w:rPr>
          <w:rFonts w:ascii="GHEA Grapalat" w:hAnsi="GHEA Grapalat"/>
          <w:color w:val="000000"/>
          <w:lang w:val="hy-AM"/>
        </w:rPr>
        <w:t>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կետով հստակեցվում է,</w:t>
      </w:r>
      <w:r>
        <w:rPr>
          <w:rFonts w:ascii="GHEA Grapalat" w:hAnsi="GHEA Grapalat"/>
          <w:color w:val="000000"/>
          <w:lang w:val="hy-AM"/>
        </w:rPr>
        <w:t xml:space="preserve"> որ միանվագ դրամական աջակցության, կանխավճարի ապահովագրության և երեխայի ծննդյան աջակցության ծրագրերի շրջանակներում հաշվի չեն առնվում մահացած երեխաները։ 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30–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3–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ենթակետում առաջարկվող փոփոխություններով հստակեցվում է, որ տեղեկանքում ներառվում է նաև անշարժ գույքի ձեռք բերվող և գնահատվող շուկայական առավելագույն գինը կամ կառուցվող անշարժ գույքի գնահատվող շուկայական առավելագույն գինը, ինչպես նաև կազմակերպության ՀՎՀՀ–ն և բանկային հաշիվը (անհրաժեշտ է պետական աջակցության գումարները կազմակերպությանը փոխանցելու համար).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30–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4–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ենթակետում առաջարկվող փոփոխությամբ հստակեցվում է, որ երեխայի ծննդյան աջակցության ծրագրում ընդգրկվելու դիմումը (տեղեկանքը) նախարարություն է ներկայացվում ուղղակիորեն, առանց տարածքային ստորաբաժանման.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30–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5–</w:t>
      </w:r>
      <w:proofErr w:type="spellStart"/>
      <w:r w:rsidRPr="009D047C">
        <w:rPr>
          <w:rFonts w:ascii="GHEA Grapalat" w:hAnsi="GHEA Grapalat"/>
          <w:color w:val="000000"/>
          <w:lang w:val="hy-AM"/>
        </w:rPr>
        <w:t>րդ</w:t>
      </w:r>
      <w:proofErr w:type="spellEnd"/>
      <w:r w:rsidRPr="009D047C">
        <w:rPr>
          <w:rFonts w:ascii="GHEA Grapalat" w:hAnsi="GHEA Grapalat"/>
          <w:color w:val="000000"/>
          <w:lang w:val="hy-AM"/>
        </w:rPr>
        <w:t xml:space="preserve"> ենթակետում առաջարկվող փոփոխությամբ հստակեցվում է երեխայի ծննդյան աջակցության ծրագրում ընդգրկվելու ընթացակարգը</w:t>
      </w:r>
      <w:r w:rsidRPr="00BD674E">
        <w:rPr>
          <w:rFonts w:ascii="GHEA Grapalat" w:hAnsi="GHEA Grapalat"/>
          <w:color w:val="000000"/>
          <w:lang w:val="hy-AM"/>
        </w:rPr>
        <w:t>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30–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9–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ենթակետի «ա» պարբերությունում առաջարկվող փոփոխությամբ հստակեցվում է, որ եթե երեխայի ծննդյան աջակցության ծրագրի շրջանակներում հիփոթեքային վարկ տրամադրած կազմակերպությունը նախարարության հետ կնքել է պայմանագիր, ապա շահառուին տեղեկանք չի տրամադրվում և շահառուն նախարարություն չի դիմում, իսկ շահառուին ծրագրում ընդգրկելու համար անհրաժեշտ տեղեկությունները նախարարությանն է տրամադրում կազմակերպությունը՝ էլեկտրոնային եղանակով.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նոր լրացվող՝ 30.1–ին կետով սահմանվում են երեխայի՝ շահառուից սերված լինելու վերաբերյալ տ</w:t>
      </w:r>
      <w:r w:rsidRPr="009D047C">
        <w:rPr>
          <w:rFonts w:ascii="GHEA Grapalat" w:hAnsi="GHEA Grapalat"/>
          <w:color w:val="000000"/>
          <w:lang w:val="hy-AM"/>
        </w:rPr>
        <w:t xml:space="preserve">եղեկատվությունը ճշտելու պայմաններն ու կարգը, երբ երեխայի ծննդի պետական </w:t>
      </w:r>
      <w:r w:rsidRPr="009D047C">
        <w:rPr>
          <w:rFonts w:ascii="GHEA Grapalat" w:hAnsi="GHEA Grapalat"/>
          <w:color w:val="000000"/>
          <w:lang w:val="hy-AM"/>
        </w:rPr>
        <w:lastRenderedPageBreak/>
        <w:t>գրանցումն</w:t>
      </w:r>
      <w:r w:rsidRPr="00BD674E">
        <w:rPr>
          <w:rFonts w:ascii="GHEA Grapalat" w:hAnsi="GHEA Grapalat"/>
          <w:color w:val="000000"/>
          <w:lang w:val="hy-AM"/>
        </w:rPr>
        <w:t xml:space="preserve"> իրականացվել է օտարերկրյա պետությունում (այս դեպքում տեղեկությունները ՔԿԱԳ մարմիններում առկա չեն)։</w:t>
      </w:r>
    </w:p>
    <w:p w:rsidR="00207635" w:rsidRPr="00BD674E" w:rsidRDefault="00207635" w:rsidP="00207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նոր լրացվող՝ 30.2–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կետով հստակեցվում է արտարժույթով տրված վարկերի դեպքում մնացորդային չափը որոշելու կարգը,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Միաժամանակ, ՀՀ կառավարության 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2020 </w:t>
      </w:r>
      <w:r w:rsidRPr="00BD674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D674E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 xml:space="preserve">հուլիսի 9-ի N 1167-Լ որոշման </w:t>
      </w:r>
      <w:r w:rsidRPr="00BD674E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BD674E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07635" w:rsidRPr="00BD674E" w:rsidRDefault="00207635" w:rsidP="002076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5–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 5–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ենթակետում առաջարկվող փոփոխությամբ սահմանվում է, որ եթե շահառուն ամբողջությամբ կատարել է կանխավճարի (հիփոթեքային պարտավորության) ապահովագրության տարեկան ապահովագրական վճարը, ապա  կանխավճարի ապահովագրության աջակցության գումարն ուղղվում է հիփոթեքային վարկի մայր գումարի մարմանը, ինչպես  միանվագ դրամական աջակցության գումարը (գործնականում լինում են դեպքեր, երբ անձն ավելի շուտ է կատարում գործարքը, քան ընդունվում է շահառուին կանխավճարի ապահովագրության ծրագրում ընդգրկելու մասին որոշումը, այսինքն` փոփոխությունը հնարավորություն կտա շահառուին այս դեպքում 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ևս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ստանալ պետական աջակցության գումարը).</w:t>
      </w:r>
    </w:p>
    <w:p w:rsidR="00207635" w:rsidRPr="00BD674E" w:rsidRDefault="00207635" w:rsidP="002076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r w:rsidRPr="00BD674E">
        <w:rPr>
          <w:rFonts w:ascii="GHEA Grapalat" w:hAnsi="GHEA Grapalat"/>
          <w:color w:val="000000"/>
          <w:lang w:val="hy-AM"/>
        </w:rPr>
        <w:t>ուժը կորցրած է ճանաչվում 14–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կետը՝ հաշվի առնելով դրա կիրառական նշանակության բացակայությունը (պայմանագիրը լուծելու մասին շահառուին ծանուցելու անհրաժեշտություն չկա):</w:t>
      </w:r>
    </w:p>
    <w:p w:rsidR="00207635" w:rsidRPr="00BD674E" w:rsidRDefault="00207635" w:rsidP="002076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BD674E">
        <w:rPr>
          <w:rFonts w:ascii="GHEA Grapalat" w:hAnsi="GHEA Grapalat"/>
          <w:color w:val="000000"/>
          <w:lang w:val="hy-AM"/>
        </w:rPr>
        <w:t>Ձև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N 2–ի 9–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կետը համապատասխանեցվում է ՀՀ կ</w:t>
      </w:r>
      <w:r w:rsidRPr="00BD674E">
        <w:rPr>
          <w:rFonts w:ascii="GHEA Grapalat" w:hAnsi="GHEA Grapalat" w:cs="Sylfaen"/>
          <w:lang w:val="hy-AM"/>
        </w:rPr>
        <w:t>առավարության 2020 թվականի</w:t>
      </w:r>
      <w:r w:rsidRPr="00BD674E">
        <w:rPr>
          <w:rFonts w:ascii="Calibri" w:hAnsi="Calibri" w:cs="Calibri"/>
          <w:lang w:val="hy-AM"/>
        </w:rPr>
        <w:t> </w:t>
      </w:r>
      <w:r w:rsidRPr="00BD674E">
        <w:rPr>
          <w:rFonts w:ascii="GHEA Grapalat" w:hAnsi="GHEA Grapalat" w:cs="Sylfaen"/>
          <w:lang w:val="hy-AM"/>
        </w:rPr>
        <w:t>մայիսի 14-ի</w:t>
      </w:r>
      <w:r w:rsidRPr="00BD674E">
        <w:rPr>
          <w:rFonts w:ascii="Calibri" w:hAnsi="Calibri" w:cs="Calibri"/>
          <w:lang w:val="hy-AM"/>
        </w:rPr>
        <w:t> </w:t>
      </w:r>
      <w:r w:rsidRPr="00BD674E">
        <w:rPr>
          <w:rFonts w:ascii="GHEA Grapalat" w:hAnsi="GHEA Grapalat" w:cs="Sylfaen"/>
          <w:lang w:val="hy-AM"/>
        </w:rPr>
        <w:t>N 968-Լ որոշման հավելվածի</w:t>
      </w:r>
      <w:r w:rsidRPr="00BD674E">
        <w:rPr>
          <w:rFonts w:ascii="GHEA Grapalat" w:hAnsi="GHEA Grapalat"/>
          <w:color w:val="000000"/>
          <w:lang w:val="hy-AM"/>
        </w:rPr>
        <w:t xml:space="preserve"> 27–</w:t>
      </w:r>
      <w:proofErr w:type="spellStart"/>
      <w:r w:rsidRPr="00BD674E">
        <w:rPr>
          <w:rFonts w:ascii="GHEA Grapalat" w:hAnsi="GHEA Grapalat"/>
          <w:color w:val="000000"/>
          <w:lang w:val="hy-AM"/>
        </w:rPr>
        <w:t>րդ</w:t>
      </w:r>
      <w:proofErr w:type="spellEnd"/>
      <w:r w:rsidRPr="00BD674E">
        <w:rPr>
          <w:rFonts w:ascii="GHEA Grapalat" w:hAnsi="GHEA Grapalat"/>
          <w:color w:val="000000"/>
          <w:lang w:val="hy-AM"/>
        </w:rPr>
        <w:t xml:space="preserve"> կետին։ </w:t>
      </w:r>
    </w:p>
    <w:p w:rsidR="00207635" w:rsidRPr="00BD674E" w:rsidRDefault="00207635" w:rsidP="002076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3.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կիրառման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դեպքում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BD67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  <w:r w:rsidRPr="00BD67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7635" w:rsidRPr="00BD674E" w:rsidRDefault="00207635" w:rsidP="00207635">
      <w:pPr>
        <w:tabs>
          <w:tab w:val="left" w:pos="2767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Նախագիծն ընդունվելու դեպքում կհստակեցվեն երեխա ունեցող ընտանիքների բնակարանային ապահովության պետական աջակցության ծրագրերի իրականացման ընթացակարգերը և դրույթները՝ հաշվի առնելով </w:t>
      </w:r>
      <w:proofErr w:type="spellStart"/>
      <w:r w:rsidRPr="00BD674E">
        <w:rPr>
          <w:rFonts w:ascii="GHEA Grapalat" w:hAnsi="GHEA Grapalat" w:cs="Sylfaen"/>
          <w:sz w:val="24"/>
          <w:szCs w:val="24"/>
          <w:lang w:val="hy-AM"/>
        </w:rPr>
        <w:t>իրավակիրառական</w:t>
      </w:r>
      <w:proofErr w:type="spellEnd"/>
      <w:r w:rsidRPr="00BD674E">
        <w:rPr>
          <w:rFonts w:ascii="GHEA Grapalat" w:hAnsi="GHEA Grapalat" w:cs="Sylfaen"/>
          <w:sz w:val="24"/>
          <w:szCs w:val="24"/>
          <w:lang w:val="hy-AM"/>
        </w:rPr>
        <w:t xml:space="preserve"> պրակտիկան։</w:t>
      </w:r>
      <w:r w:rsidRPr="00BD674E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207635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Pr="00BD674E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674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07635" w:rsidRPr="00BD674E" w:rsidRDefault="00207635" w:rsidP="0020763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BD674E">
        <w:rPr>
          <w:rStyle w:val="Strong"/>
          <w:rFonts w:ascii="GHEA Grapalat" w:hAnsi="GHEA Grapalat"/>
          <w:color w:val="000000"/>
          <w:lang w:val="hy-AM"/>
        </w:rPr>
        <w:t>«ՀԱՅԱՍՏԱՆԻ ՀԱՆՐԱՊԵՏՈՒԹՅԱՆ ԿԱՌԱՎԱՐՈՒԹՅԱՆ 2020 ԹՎԱԿԱՆԻ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ՄԱՅԻՍԻ</w:t>
      </w:r>
      <w:r w:rsidRPr="00BD674E">
        <w:rPr>
          <w:rStyle w:val="Strong"/>
          <w:rFonts w:ascii="GHEA Grapalat" w:hAnsi="GHEA Grapalat"/>
          <w:color w:val="000000"/>
          <w:lang w:val="hy-AM"/>
        </w:rPr>
        <w:t xml:space="preserve"> 14-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N 968-Լ ԵՎ 2020 ԹՎԱԿԱՆԻ ՀՈՒԼԻՍԻ 9-Ի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 xml:space="preserve">N </w:t>
      </w:r>
      <w:r w:rsidRPr="00BD674E">
        <w:rPr>
          <w:rStyle w:val="Strong"/>
          <w:rFonts w:ascii="GHEA Grapalat" w:hAnsi="GHEA Grapalat" w:cs="GHEA Grapalat"/>
          <w:lang w:val="hy-AM"/>
        </w:rPr>
        <w:t>1167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-Լ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 xml:space="preserve">ՈՐՈՇՈՒՄՆԵՐՈՒՄ </w:t>
      </w:r>
      <w:r w:rsidRPr="00BD674E">
        <w:rPr>
          <w:rStyle w:val="Strong"/>
          <w:rFonts w:ascii="GHEA Grapalat" w:hAnsi="GHEA Grapalat"/>
          <w:color w:val="000000"/>
          <w:lang w:val="hy-AM"/>
        </w:rPr>
        <w:t>ԼՐԱՑՈՒՄՆԵՐ ԵՎ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ՓՈՓՈԽՈՒԹՅՈՒՆՆԵՐ</w:t>
      </w:r>
      <w:r w:rsidRPr="00BD674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ԿԱՏԱՐԵԼՈՒ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ՄԱՍԻՆ» ԿԱՌԱՎԱՐՈՒԹՅԱՆ ՈՐՈՇՄԱՆ ՆԱԽԱԳԾԻ ԸՆԴՈՒՆՄԱՆ</w:t>
      </w:r>
      <w:r w:rsidRPr="00BD674E">
        <w:rPr>
          <w:rFonts w:ascii="GHEA Grapalat" w:hAnsi="GHEA Grapalat"/>
          <w:b/>
          <w:lang w:val="hy-AM"/>
        </w:rPr>
        <w:t xml:space="preserve"> ԱՌՆՉՈՒԹՅԱՄԲ ԱՅԼ ԻՐԱՎԱԿԱՆ ԱԿՏԵՐԻ ԸՆԴՈՒՆՄԱՆ ԱՆՀՐԱԺԵՇՏՈՒԹՅԱՆ ԲԱՑԱԿԱՅՈՒԹՅԱՆ ՄԱՍԻՆ</w:t>
      </w:r>
    </w:p>
    <w:p w:rsidR="00207635" w:rsidRPr="00BD674E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Pr="00BD674E" w:rsidRDefault="00207635" w:rsidP="0020763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2020 թվականի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sz w:val="24"/>
          <w:szCs w:val="24"/>
          <w:lang w:val="hy-AM"/>
        </w:rPr>
        <w:t>մայիսի 14-ի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sz w:val="24"/>
          <w:szCs w:val="24"/>
          <w:lang w:val="hy-AM"/>
        </w:rPr>
        <w:t>N 968-Լ և 2020 թվականի հուլիսի 9-ի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sz w:val="24"/>
          <w:szCs w:val="24"/>
          <w:lang w:val="hy-AM"/>
        </w:rPr>
        <w:t>N 1167-Լ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sz w:val="24"/>
          <w:szCs w:val="24"/>
          <w:lang w:val="hy-AM"/>
        </w:rPr>
        <w:t>որոշումներում լրացումներ և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sz w:val="24"/>
          <w:szCs w:val="24"/>
          <w:lang w:val="hy-AM"/>
        </w:rPr>
        <w:t>փոփոխություններ կատարելու մասին» կառավարության որոշման նախագծի ընդունման առնչությամբ այլ իրավական ակտեր ընդունելու անհրաժեշտություն չկա։</w:t>
      </w:r>
    </w:p>
    <w:p w:rsidR="00207635" w:rsidRPr="00BD674E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Pr="00BD674E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207635" w:rsidRPr="00BD674E" w:rsidRDefault="00207635" w:rsidP="0020763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674E">
        <w:rPr>
          <w:rFonts w:ascii="GHEA Grapalat" w:hAnsi="GHEA Grapalat"/>
          <w:b/>
          <w:sz w:val="24"/>
          <w:szCs w:val="24"/>
          <w:lang w:val="hy-AM"/>
        </w:rPr>
        <w:t xml:space="preserve">ՏԵՂԵԿԱՆՔ </w:t>
      </w:r>
    </w:p>
    <w:p w:rsidR="00207635" w:rsidRPr="00BD674E" w:rsidRDefault="00207635" w:rsidP="0020763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GHEA Grapalat"/>
          <w:color w:val="000000"/>
          <w:lang w:val="hy-AM"/>
        </w:rPr>
      </w:pP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«ՀԱՅԱՍՏԱՆԻ ՀԱՆՐԱՊԵՏՈՒԹՅԱՆ ԿԱՌԱՎԱՐՈՒԹՅԱՆ 2020 ԹՎԱԿԱՆԻ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ՄԱՅԻՍԻ 14-Ի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N 968-Լ ԵՎ 2020 ԹՎԱԿԱՆԻ ՀՈՒԼԻՍԻ 9-Ի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N 1167-Լ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ՈՐՈՇՈՒՄՆԵՐՈՒՄ ԼՐԱՑՈՒՄՆԵՐ ԵՎ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ՓՈՓՈԽՈՒԹՅՈՒՆՆԵՐ ԿԱՏԱՐԵԼՈՒ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ՄԱՍԻՆ» ԿԱՌԱՎԱՐՈՒԹՅԱՆ ՈՐՈՇՄԱՆ ՆԱԽԱԳԾԻ ԸՆԴՈՒՆՄԱՆ ԿԱՊԱԿՑՈՒԹՅԱՄԲ ՊԵՏԱԿԱՆ ԲՅՈՒՋԵՈՒՄ ԵԿԱՄՈՒՏՆԵՐԻ ԵՎ ԾԱԽՍԵՐԻ ԱՎԵԼԱՑՄԱՆ ԿԱՄ ՆՎԱԶԵՑՄԱՆ ԲԱՑԱԿԱՅՈՒԹՅԱՆ ՄԱՍԻՆ</w:t>
      </w:r>
    </w:p>
    <w:p w:rsidR="00207635" w:rsidRPr="00BD674E" w:rsidRDefault="00207635" w:rsidP="002076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7635" w:rsidRPr="002353C5" w:rsidRDefault="00207635" w:rsidP="0020763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674E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2020 թվականի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sz w:val="24"/>
          <w:szCs w:val="24"/>
          <w:lang w:val="hy-AM"/>
        </w:rPr>
        <w:t>մայիսի 14-ի</w:t>
      </w:r>
      <w:r w:rsidRPr="00BD674E">
        <w:rPr>
          <w:rFonts w:ascii="Calibri" w:hAnsi="Calibri" w:cs="Calibri"/>
          <w:sz w:val="24"/>
          <w:szCs w:val="24"/>
          <w:lang w:val="hy-AM"/>
        </w:rPr>
        <w:t> </w:t>
      </w:r>
      <w:r w:rsidRPr="00BD674E">
        <w:rPr>
          <w:rFonts w:ascii="GHEA Grapalat" w:hAnsi="GHEA Grapalat"/>
          <w:sz w:val="24"/>
          <w:szCs w:val="24"/>
          <w:lang w:val="hy-AM"/>
        </w:rPr>
        <w:t>N 968-Լ և 2020 թվականի հուլիսի 9-ի N 1167-Լ որոշումներում լրացումներ և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sz w:val="24"/>
          <w:szCs w:val="24"/>
          <w:lang w:val="hy-AM"/>
        </w:rPr>
        <w:t>փոփոխություններ կատարելու</w:t>
      </w:r>
      <w:r w:rsidRPr="00BD674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D674E">
        <w:rPr>
          <w:rFonts w:ascii="GHEA Grapalat" w:hAnsi="GHEA Grapalat"/>
          <w:sz w:val="24"/>
          <w:szCs w:val="24"/>
          <w:lang w:val="hy-AM"/>
        </w:rPr>
        <w:t>մասին» կառավարության որոշման նախագծի ընդունման կապակցությամբ պետական բյուջեում եկամուտների և ծախսերի ավելացում կամ նվազեցում չի նախատեսվում։</w:t>
      </w:r>
    </w:p>
    <w:p w:rsidR="00AF15C7" w:rsidRPr="00207635" w:rsidRDefault="00AF15C7">
      <w:pPr>
        <w:rPr>
          <w:lang w:val="hy-AM"/>
        </w:rPr>
      </w:pPr>
    </w:p>
    <w:sectPr w:rsidR="00AF15C7" w:rsidRPr="00207635" w:rsidSect="00207635">
      <w:pgSz w:w="12240" w:h="15840"/>
      <w:pgMar w:top="630" w:right="63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9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99F2D30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9"/>
    <w:rsid w:val="00207635"/>
    <w:rsid w:val="00392CDD"/>
    <w:rsid w:val="00AF15C7"/>
    <w:rsid w:val="00D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1DA"/>
  <w15:chartTrackingRefBased/>
  <w15:docId w15:val="{76606953-D32C-4AE0-93B2-E4EB0F9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3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Harutyunyan</dc:creator>
  <cp:keywords/>
  <dc:description/>
  <cp:lastModifiedBy>Tigran Harutyunyan</cp:lastModifiedBy>
  <cp:revision>2</cp:revision>
  <dcterms:created xsi:type="dcterms:W3CDTF">2021-02-08T12:02:00Z</dcterms:created>
  <dcterms:modified xsi:type="dcterms:W3CDTF">2021-02-08T12:07:00Z</dcterms:modified>
</cp:coreProperties>
</file>