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DB5" w:rsidRDefault="004C6DB5" w:rsidP="004C6DB5">
      <w:pPr>
        <w:pStyle w:val="headingtitleStyle"/>
      </w:pPr>
      <w:bookmarkStart w:id="0" w:name="_Toc1"/>
      <w:r>
        <w:t>Ամփոփաթերթ</w:t>
      </w:r>
      <w:bookmarkEnd w:id="0"/>
    </w:p>
    <w:p w:rsidR="004C6DB5" w:rsidRDefault="004C6DB5" w:rsidP="004C6DB5">
      <w:pPr>
        <w:pStyle w:val="headingtitleStyle"/>
      </w:pPr>
      <w:bookmarkStart w:id="1" w:name="_Toc2"/>
      <w:r>
        <w:t>ՀԱՅԱՍՏԱՆԻ ՀԱՆՐԱՊԵՏՈՒԹՅԱՆ ԿԱՌԱՎԱՐՈՒԹՅԱՆ 2004 ԹՎԱԿԱՆԻ ՀՈՒԼԻՍԻ 1-Ի N 987-Ն ՈՐՈՇՄԱՆ ՄԵՋ ԼՐԱՑՈՒՄՆԵՐ ԿԱՏԱՐԵԼՈՒ ՄԱՍԻՆ նախագծի վերաբերյալ</w:t>
      </w:r>
      <w:bookmarkEnd w:id="1"/>
    </w:p>
    <w:p w:rsidR="004C6DB5" w:rsidRDefault="004C6DB5" w:rsidP="004C6DB5"/>
    <w:p w:rsidR="004C6DB5" w:rsidRDefault="004C6DB5" w:rsidP="004C6DB5"/>
    <w:p w:rsidR="004C6DB5" w:rsidRDefault="004C6DB5" w:rsidP="004C6DB5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"/>
        <w:gridCol w:w="1774"/>
        <w:gridCol w:w="6430"/>
        <w:gridCol w:w="3150"/>
        <w:gridCol w:w="2300"/>
      </w:tblGrid>
      <w:tr w:rsidR="004C6DB5" w:rsidTr="008A26EA"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DB5" w:rsidRDefault="004C6DB5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հ/</w:t>
            </w:r>
          </w:p>
          <w:p w:rsidR="004C6DB5" w:rsidRDefault="004C6DB5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DB5" w:rsidRDefault="004C6DB5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հեղինակը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ստացման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ամսաթիվը</w:t>
            </w:r>
            <w:proofErr w:type="spellEnd"/>
          </w:p>
        </w:tc>
        <w:tc>
          <w:tcPr>
            <w:tcW w:w="6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DB5" w:rsidRDefault="004C6DB5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բովանդակությունը</w:t>
            </w:r>
            <w:proofErr w:type="spellEnd"/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DB5" w:rsidRDefault="004C6DB5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Եզրակացություն</w:t>
            </w:r>
            <w:proofErr w:type="spellEnd"/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DB5" w:rsidRDefault="004C6DB5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փոփոխությունը</w:t>
            </w:r>
            <w:proofErr w:type="spellEnd"/>
          </w:p>
        </w:tc>
      </w:tr>
      <w:tr w:rsidR="004C6DB5" w:rsidTr="008A26EA"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6DB5" w:rsidRDefault="004C6DB5">
            <w:pPr>
              <w:jc w:val="center"/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6DB5" w:rsidRDefault="004C6DB5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6DB5" w:rsidRDefault="004C6DB5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6DB5" w:rsidRDefault="004C6DB5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6DB5" w:rsidRDefault="004C6DB5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4</w:t>
            </w:r>
          </w:p>
        </w:tc>
      </w:tr>
      <w:tr w:rsidR="004C6DB5" w:rsidRPr="008A26EA" w:rsidTr="008A26EA"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DB5" w:rsidRPr="008A26EA" w:rsidRDefault="004C6DB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DB5" w:rsidRPr="008A26EA" w:rsidRDefault="004C6DB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Դիջիգեյմ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ՍՊԸ</w:t>
            </w:r>
          </w:p>
          <w:p w:rsidR="004C6DB5" w:rsidRPr="008A26EA" w:rsidRDefault="004C6DB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06.11.2020 17:29:00</w:t>
            </w:r>
          </w:p>
        </w:tc>
        <w:tc>
          <w:tcPr>
            <w:tcW w:w="6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DB5" w:rsidRPr="008A26EA" w:rsidRDefault="004C6DB5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gram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«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Հայաստանի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կառավարության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2004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թվականի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հուլիսի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1-ի N 987-Ն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որոշման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մեջ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լրացումներ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կատարելու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մասին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Հայաստանի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կառավարության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որոշման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նախագծի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այսուհեը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նաև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Նախագիծ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) 1-ին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մասին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2-րդ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կետով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առաջարկվում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է ՀՀ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կառավարության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2004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թվականի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հուլիսի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1-ի N 987-Ն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որոշման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2-րդ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կետով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հաստատված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կարգը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լրացնել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նոր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7-րդ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կետով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որի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համաձայն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Վիաճակախաղերի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մասին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» ՀՀ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օրենքով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այսուհետ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նաև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Օրենք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սահմանված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լիազոր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մարմնի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(ՀՀ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Ֆինանսների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նախարարության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հարցման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հիման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վրա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Հայաստանի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կադաստրի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կոմիտեն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պարտավոր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է 5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օրվա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ընթացքում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լիազոր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մարմնին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տրամադրել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տեղեկատվություն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հարցմաբ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պահանջված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Օրենքի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5</w:t>
            </w:r>
            <w:r w:rsidRPr="008A26EA">
              <w:rPr>
                <w:rFonts w:ascii="Cambria Math" w:eastAsia="GHEA Grapalat" w:hAnsi="Cambria Math" w:cs="Cambria Math"/>
                <w:color w:val="000000"/>
                <w:sz w:val="24"/>
                <w:szCs w:val="24"/>
              </w:rPr>
              <w:t>․</w:t>
            </w:r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2-րդ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lastRenderedPageBreak/>
              <w:t>հոդվածի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1-ին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մասով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Հայաստանի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կառավարության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թվականի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սեպտեմբերի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17-ի N 1531-Ն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որոշման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այսուհետ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նաև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Կառավարության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որոշում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հավելվածի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4-րդ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կետի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1-ին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ենթակետով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սահմանված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վարչական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սահմաններում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գտնվելու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տոտալիզատորի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կազմակերպման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վայրի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կրթական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պատմամշակութային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օջախներից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պետական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տեղական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ինքնակառավարման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վարչական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շենքերից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հիվանդանոցներից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հեռավորության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անշարժ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գույքի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խաղասրահի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տարածքի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նկատմամբ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սեփականության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օգտագործման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պետական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գրանցման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վերաբերյալ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։</w:t>
            </w:r>
            <w:proofErr w:type="gram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Վերոնշյալից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պարզ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դառնում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որ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ՀՀ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կադաստրի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կոմիտեն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կամ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ինքնուրույն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կամ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լիազոր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մարմնի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կողմից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տրված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տեղեկատվության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շնորհիվ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ունենալու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տեղեկատվական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բազա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Օրենքով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սահմանված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վիճակախաղի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կազմակերպման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տարածքայի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պահանջների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Կառավարության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որոշման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հավելվածի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4-րդ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կետի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1-ին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ենթակետով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սահմանված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չափանիշների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վերաբերյալ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ինչպես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նաև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վերը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նշված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նորմերով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սահմանված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կրթական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պատմամշակութային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օջախների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հաստատությունների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պետական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տեղական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ինքնակառավարման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վարչական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շենքերի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հիվանդանոցների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հստակ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սպառիչ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ցանկ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հակառակ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պարագայում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ՀՀ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կադաստրի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կոմիտեն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առանց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այդ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տեղեկատվության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չի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ունենա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հնարավորություն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լիազոր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մարմնի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հարցմանն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ի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պատասխան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տրամադրելու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պահանջվելիք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տեղեկատվությունը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։</w:t>
            </w:r>
            <w:proofErr w:type="gram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ՀՀ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Սահմանադրության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51-րդ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հոդվածով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սահմանված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անձի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տեղեկատվություն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ստանալու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իրավունքը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իսկ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Տեղեկատվության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ազատության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մասին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» ՀՀ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օրենքի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3-րդ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հոդվածի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համաձայն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որը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նվիրված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այդ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նույն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օրենքում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օգտագործվող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հասկացությունների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բացահայտմանը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տեղեկատվության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ազատությունը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տեղեկությունն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օրենսդրությամբ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սահմանված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կարգով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փնտրելու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դա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տեղեկատվություն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տնօրինողից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ստանալու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իրավունքի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իրականացումն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է,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իսկ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այդ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նույն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օրենքի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համաձայն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տեղեկատվությունը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անձի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առարկայի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փաստի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հանգամանքի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իրադարձության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եղելության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երևույթի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վերաբերյալ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օրենսդրությամբ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սահմանված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կարգով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ստացված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ձևավորված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տվյալներներն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են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անկախ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դրանց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տնօրինման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ձևից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կամ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նյութական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կրիչից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։</w:t>
            </w:r>
            <w:proofErr w:type="gram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Տեղեկատվության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ազատության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մասին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» ՀՀ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օրենքով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օրենսդիրը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տեղեկատվությունը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տնօրինողների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շարքում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ներառել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նաև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պետական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մարմիններին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։ «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Տեղեկատվության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ազատության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մասին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» ՀՀ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օրենքի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6-րդ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հոդվածի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1-ին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մասի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համաձայն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յուրաքանչյուր</w:t>
            </w:r>
            <w:proofErr w:type="spellEnd"/>
            <w:proofErr w:type="gram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անձ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իրավունք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ունի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ծանոթանալու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իր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փնտրած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տեղեկությանը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և (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կամ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դա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ստանալու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նպատակով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օրենքով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սահմանված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կարգով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հարցմամբ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դիմելու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տեղեկատվություն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տնօրինողին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ստանալու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այդ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տեղեկությունը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։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Նույն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հոդվածի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3-րդ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մասի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համաձայն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անձի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այդ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իրավունքը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կարող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սահմանափակվել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Սահմանադրությամբ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կամ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օրենքով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նման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բան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նախատեսված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լինելու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դեպքում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միայն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։ </w:t>
            </w:r>
            <w:proofErr w:type="spellStart"/>
            <w:proofErr w:type="gram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Հիմք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ընդունելով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վերը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նշված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իրավական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նորմերով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թե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՛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ֆիզիակական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թե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՛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իրավաբանական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անձնաց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տրված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իրավունքը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պետական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մարմիններից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օրենսդրությամբ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սահմանված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կարգով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հայցելու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ստանալու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նրանց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կողմից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տնօրինվող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տեղեկատվությունը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ինչպես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նաև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այն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փաստ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lastRenderedPageBreak/>
              <w:t>որ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լիազոր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մարմնի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հետ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նախկինում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ունեցած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նամակագրությամբ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Ընկերությունը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լիազոր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մարմնին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հայտնել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Օրենքում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օգտագործված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հասկացությունների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մասնավորապես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կրթական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պատմամշակության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օջախներ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հասկացությունների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տարընթերցման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քանի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կերպ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մեկնաբանման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որևէ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նորմատիվ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իրավական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ակտով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այդ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հասկացությունների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բացահայտման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բացակայության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փաստը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այդ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մտահոգությունների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նկատմամբ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լիազոր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մարմնի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համաձայնության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հետագայում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Օրենքի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փոփոխությամբ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տրված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պատմամշակութային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օջախներ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հասկացության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վերաբերյալ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ՀՀ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Ֆինանսների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նախարարության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կողմից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պաշտոնական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պարզաբանում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տալու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պատրաստակամությունը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այդ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հասկացության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ոչ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բավարար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հստակության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տարաբնույթ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ընկալման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ինչպես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նաև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նորմատիվ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իրավական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ակտի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կիրառման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բնագավառում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ծագած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հարցերի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պարզաբանման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նպատակով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գտնում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ենք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որ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ՀՀ-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ում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վիճակախաղերի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կազմակերպման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գործունեություն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ծավալող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լիցենզիա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ունեցող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ընկերություններին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նույնպես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պետք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տրվի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հնարավորություն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դիմելու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ՀՀ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կադաստրի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կոմիտե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ստանալու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այն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նույն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տեղեկատվությունը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առնվազն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Օրենքի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5</w:t>
            </w:r>
            <w:r w:rsidRPr="008A26EA">
              <w:rPr>
                <w:rFonts w:ascii="Cambria Math" w:eastAsia="GHEA Grapalat" w:hAnsi="Cambria Math" w:cs="Cambria Math"/>
                <w:color w:val="000000"/>
                <w:sz w:val="24"/>
                <w:szCs w:val="24"/>
              </w:rPr>
              <w:t>․</w:t>
            </w:r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2-րդ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հոդվածի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1-ին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մասով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Կառավարության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որոշման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հավելվածի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4-րդ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կետի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1-ին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ենթակետով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սահմանված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վարչական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սահմաններում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գտնվելու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տոտալիզատորի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կազմակերպման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վայրի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կրթական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պատմամշակութային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օջախներից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պետական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տեղական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ինքնակառավարման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lastRenderedPageBreak/>
              <w:t>մարմինների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վարչական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շենքերից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հիվանդանոցներից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հեռավորության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մասով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որը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ՀՀ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կադաստրրի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կոմիտեն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պարտավորվելու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փոխանցել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լիազոր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մարմնի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հարցման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դեպքում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։</w:t>
            </w:r>
            <w:proofErr w:type="gram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Դրա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շնորհիվ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ՀՀ-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ում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վիճակախաղերի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կազմակերպման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գործունեություն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ծավալող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լիցենզիա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ունեցող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ընկերությունների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համար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օրենսդրությամբ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պահանջվելիք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իր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պարտականությունները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կլինեն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որոշակի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և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չի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ստեղծվի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իրավիճակ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երբ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Օրենքում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Կառավարության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որոշման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մեջ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օգտագործված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հասկացությունները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կմեկնաբանվեն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կամ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կընկալվեն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այլ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կերպ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և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չեն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պահպանվի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օրենսդրական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պահանջները</w:t>
            </w:r>
            <w:proofErr w:type="spellEnd"/>
            <w:r w:rsidRPr="008A26EA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։ </w:t>
            </w:r>
            <w:proofErr w:type="spellStart"/>
            <w:proofErr w:type="gram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Ուստի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վերը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նշված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խնդիրներից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խուսափելու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Օրենքով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 ՀՀ-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ում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վիճակախաղերի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կազմակերպման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գործունեություն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ծավալող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լիցենզիա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ունեցող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ընկերությունների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վրա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դրված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պարտականությունների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որոշակիացման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նպատակով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անհրաժեշտ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ենք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համարում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Նախագծի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 1-ին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մասին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 2-րդ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կետում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որով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առաջարկվում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էր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 ՀՀ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կառավարության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 2004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թվականի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հուկիսի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 1-ի N 987-Ն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որոշման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 </w:t>
            </w:r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 xml:space="preserve">2-րդ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>կետով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>հաստատված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>կարգը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>լրացնել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>նոր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 xml:space="preserve"> 7-րդ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>կետով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>սահմանել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>համապատասխան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>դրույթ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>որով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 xml:space="preserve"> ՀՀ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>կադաստրի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>կոմիտեին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>Օրենքի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 xml:space="preserve"> 5</w:t>
            </w:r>
            <w:r w:rsidRPr="008A26EA">
              <w:rPr>
                <w:rFonts w:ascii="Cambria Math" w:eastAsia="GHEA Grapalat" w:hAnsi="Cambria Math" w:cs="Cambria Math"/>
                <w:i/>
                <w:color w:val="000000"/>
                <w:sz w:val="24"/>
                <w:szCs w:val="24"/>
                <w:u w:val="single"/>
              </w:rPr>
              <w:t>․</w:t>
            </w:r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 xml:space="preserve">2-րդ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>հոդվածի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 xml:space="preserve"> 1-ին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>մասով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 xml:space="preserve"> և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>Կառավարության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>որոշման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>հավելվածի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 xml:space="preserve"> 4-րդ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>կետի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 xml:space="preserve"> 1-ին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>ենթակետով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>սահմանված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>վարչական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>սահմաններում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>գտնվելու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 xml:space="preserve"> և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>տոտալիզատորի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>կազմակերպման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>գործունեության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>իրականացման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>վայրի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 xml:space="preserve">՝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>կրթական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 xml:space="preserve"> և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>պատմամշակութային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>օջախներից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>պետական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 xml:space="preserve"> և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>տեղական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>ինքնակառավարման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>մարմինների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>վարչական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>շենքերից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>հիվանդանոցներից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>հեռավորության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lastRenderedPageBreak/>
              <w:t>մասով</w:t>
            </w:r>
            <w:proofErr w:type="spellEnd"/>
            <w:r w:rsidRPr="008A26E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>հարցում</w:t>
            </w:r>
            <w:proofErr w:type="spellEnd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>հղելու</w:t>
            </w:r>
            <w:proofErr w:type="spellEnd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>լիազոր</w:t>
            </w:r>
            <w:proofErr w:type="spellEnd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>մարմնի</w:t>
            </w:r>
            <w:proofErr w:type="spellEnd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>հետ</w:t>
            </w:r>
            <w:proofErr w:type="spellEnd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>իրավունք</w:t>
            </w:r>
            <w:proofErr w:type="spellEnd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>կվերապահվի</w:t>
            </w:r>
            <w:proofErr w:type="spellEnd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>նաև</w:t>
            </w:r>
            <w:proofErr w:type="spellEnd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 xml:space="preserve"> ՀՀ-</w:t>
            </w:r>
            <w:proofErr w:type="spellStart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>ում</w:t>
            </w:r>
            <w:proofErr w:type="spellEnd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>վիճակախաղերի</w:t>
            </w:r>
            <w:proofErr w:type="spellEnd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>կազմակերպման</w:t>
            </w:r>
            <w:proofErr w:type="spellEnd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>գործունեություն</w:t>
            </w:r>
            <w:proofErr w:type="spellEnd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>ծավալող</w:t>
            </w:r>
            <w:proofErr w:type="spellEnd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 xml:space="preserve"> և </w:t>
            </w:r>
            <w:proofErr w:type="spellStart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>համապատասխան</w:t>
            </w:r>
            <w:proofErr w:type="spellEnd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>լիցենզիա</w:t>
            </w:r>
            <w:proofErr w:type="spellEnd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>ունեցող</w:t>
            </w:r>
            <w:proofErr w:type="spellEnd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>ընկերություններին</w:t>
            </w:r>
            <w:proofErr w:type="spellEnd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>որին</w:t>
            </w:r>
            <w:proofErr w:type="spellEnd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 xml:space="preserve"> ՀՀ </w:t>
            </w:r>
            <w:proofErr w:type="spellStart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>կադաստրի</w:t>
            </w:r>
            <w:proofErr w:type="spellEnd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>կոմիտեն</w:t>
            </w:r>
            <w:proofErr w:type="spellEnd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>պետք</w:t>
            </w:r>
            <w:proofErr w:type="spellEnd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 xml:space="preserve"> է </w:t>
            </w:r>
            <w:proofErr w:type="spellStart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>պատասխանի</w:t>
            </w:r>
            <w:proofErr w:type="spellEnd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>լիազոր</w:t>
            </w:r>
            <w:proofErr w:type="spellEnd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>մարմնի</w:t>
            </w:r>
            <w:proofErr w:type="spellEnd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>հարցման</w:t>
            </w:r>
            <w:proofErr w:type="spellEnd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>համար</w:t>
            </w:r>
            <w:proofErr w:type="spellEnd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>պատասխան</w:t>
            </w:r>
            <w:proofErr w:type="spellEnd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>ներկայացնելու</w:t>
            </w:r>
            <w:proofErr w:type="spellEnd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>համար</w:t>
            </w:r>
            <w:proofErr w:type="spellEnd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>սահմանված</w:t>
            </w:r>
            <w:proofErr w:type="spellEnd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 xml:space="preserve"> 5 </w:t>
            </w:r>
            <w:proofErr w:type="spellStart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>աշխատանքային</w:t>
            </w:r>
            <w:proofErr w:type="spellEnd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>օրվա</w:t>
            </w:r>
            <w:proofErr w:type="spellEnd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>ընթացքում</w:t>
            </w:r>
            <w:proofErr w:type="spellEnd"/>
            <w:r w:rsidRPr="008A26EA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>։</w:t>
            </w:r>
            <w:proofErr w:type="gramEnd"/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6EA" w:rsidRPr="008A26EA" w:rsidRDefault="008A26EA" w:rsidP="0011555D">
            <w:pPr>
              <w:spacing w:after="0" w:line="240" w:lineRule="auto"/>
              <w:ind w:left="114" w:right="39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hy-AM"/>
              </w:rPr>
            </w:pPr>
            <w:r w:rsidRPr="008A26E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 </w:t>
            </w:r>
            <w:r w:rsidRPr="008A26EA">
              <w:rPr>
                <w:rFonts w:ascii="GHEA Grapalat" w:eastAsia="Times New Roman" w:hAnsi="GHEA Grapalat" w:cs="Times New Roman"/>
                <w:b/>
                <w:sz w:val="24"/>
                <w:szCs w:val="24"/>
                <w:shd w:val="clear" w:color="auto" w:fill="FFFFFF"/>
                <w:lang w:val="hy-AM"/>
              </w:rPr>
              <w:t>ՀՀ անշարժ գույքի կադաստրի կոմիտե</w:t>
            </w:r>
            <w:r w:rsidRPr="008A26EA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(25.11.20202. թիվ </w:t>
            </w:r>
            <w:r w:rsidRPr="008A26EA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hy-AM"/>
              </w:rPr>
              <w:t>ՍԹ/6853-2020</w:t>
            </w:r>
            <w:r w:rsidRPr="008A26EA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գրություն)</w:t>
            </w:r>
          </w:p>
          <w:p w:rsidR="0011555D" w:rsidRPr="008A26EA" w:rsidRDefault="0011555D" w:rsidP="0011555D">
            <w:pPr>
              <w:spacing w:after="0" w:line="240" w:lineRule="auto"/>
              <w:ind w:left="114" w:right="39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8A26EA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 Անշարժ գույքի պետական միասնական կադաստրի տվյալների վերաբերյալ տեղեկատվությունը անվճար տրամադրվում է </w:t>
            </w:r>
            <w:r w:rsidRPr="008A26E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8A26EA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«</w:t>
            </w:r>
            <w:r w:rsidRPr="008A26E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Գույքի նկատմամբ իրավունքների պետական գրանցման մասին</w:t>
            </w:r>
            <w:r w:rsidRPr="008A26EA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»</w:t>
            </w:r>
            <w:r w:rsidRPr="008A26E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ՀՀ օրենքի (այսուհետ՝ Օրենք) 75-րդ հոդվածի 4-րդ </w:t>
            </w:r>
            <w:r w:rsidRPr="008A26E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 xml:space="preserve">կետում նշված պետական մարմիններին՝ </w:t>
            </w:r>
            <w:r w:rsidRPr="008A26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իրենց վերապահված լիազորությունները իրականացնելու համար: Օրենքի նույն հոդվածի 5-րդ կետով սահմանվում է, որ տեղեկատվությունը այլ անձանց տրամադրվում է անվճար միայն «Տեղեկատվության ազատության մասին» ՀՀ օրենքի 7-րդ հոդվածի 2-րդ մասով և 8-րդ հոդվածի 3-րդ մասով, ինչպես նաև այլ օրենքով սահմանված դեպքերում։ </w:t>
            </w:r>
          </w:p>
          <w:p w:rsidR="0011555D" w:rsidRPr="008A26EA" w:rsidRDefault="0011555D" w:rsidP="0011555D">
            <w:pPr>
              <w:spacing w:after="0" w:line="240" w:lineRule="auto"/>
              <w:ind w:left="114" w:right="39"/>
              <w:jc w:val="both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8A26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Ելնելով վերոգրյալից՝ </w:t>
            </w:r>
            <w:r w:rsidRPr="008A26E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տեղեկատվության տրամադրման վճարների մասով արտոնություններից չօգտվող այլ կազմակերպություններին կամ ֆիզիկական անձանց տեղեկատվությունը տրամադրվում է վճարովի հիմունքներով՝ Օրենքի 73-րդ կետով սահմանված  չափերով։ </w:t>
            </w:r>
          </w:p>
          <w:p w:rsidR="004C6DB5" w:rsidRPr="008A26EA" w:rsidRDefault="004C6DB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DB5" w:rsidRPr="008A26EA" w:rsidRDefault="008A26EA" w:rsidP="008A26EA">
            <w:pPr>
              <w:ind w:left="46" w:firstLine="22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Ընդունվել է։ Նախագիծը խմբագրվել է։ Հաշվի է առնվել նաև </w:t>
            </w:r>
            <w:r w:rsidRPr="008A26EA">
              <w:rPr>
                <w:rFonts w:ascii="GHEA Grapalat" w:hAnsi="GHEA Grapalat"/>
                <w:sz w:val="24"/>
                <w:szCs w:val="24"/>
                <w:lang w:val="hy-AM"/>
              </w:rPr>
              <w:t>ՀՀ անշարժ գույքի կադաստրի կոմիտե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 կարծիք</w:t>
            </w:r>
            <w:bookmarkStart w:id="2" w:name="_GoBack"/>
            <w:bookmarkEnd w:id="2"/>
            <w:r>
              <w:rPr>
                <w:rFonts w:ascii="GHEA Grapalat" w:hAnsi="GHEA Grapalat"/>
                <w:sz w:val="24"/>
                <w:szCs w:val="24"/>
                <w:lang w:val="hy-AM"/>
              </w:rPr>
              <w:t>ը։</w:t>
            </w:r>
            <w:r w:rsidRPr="008A26EA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</w:tc>
      </w:tr>
    </w:tbl>
    <w:p w:rsidR="006B43AC" w:rsidRPr="008A26EA" w:rsidRDefault="006B43AC" w:rsidP="00820ECE">
      <w:pPr>
        <w:rPr>
          <w:rFonts w:ascii="GHEA Grapalat" w:hAnsi="GHEA Grapalat"/>
          <w:sz w:val="24"/>
          <w:szCs w:val="24"/>
          <w:lang w:val="hy-AM"/>
        </w:rPr>
      </w:pPr>
    </w:p>
    <w:sectPr w:rsidR="006B43AC" w:rsidRPr="008A26EA" w:rsidSect="004C6DB5">
      <w:pgSz w:w="15840" w:h="12240" w:orient="landscape"/>
      <w:pgMar w:top="1041" w:right="56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A4"/>
    <w:rsid w:val="000B6E07"/>
    <w:rsid w:val="0011555D"/>
    <w:rsid w:val="002605D9"/>
    <w:rsid w:val="004C6DB5"/>
    <w:rsid w:val="004F0C6D"/>
    <w:rsid w:val="00587473"/>
    <w:rsid w:val="006B43AC"/>
    <w:rsid w:val="00820ECE"/>
    <w:rsid w:val="00857639"/>
    <w:rsid w:val="008A26EA"/>
    <w:rsid w:val="00911EA4"/>
    <w:rsid w:val="00946ABF"/>
    <w:rsid w:val="00BD195C"/>
    <w:rsid w:val="00CD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A2CE2"/>
  <w15:chartTrackingRefBased/>
  <w15:docId w15:val="{9632D04D-6A88-4B4C-94BE-C1CBACBC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DB5"/>
    <w:pPr>
      <w:spacing w:line="256" w:lineRule="auto"/>
    </w:pPr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5D9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5D9"/>
    <w:rPr>
      <w:rFonts w:ascii="Segoe UI" w:hAnsi="Segoe UI" w:cs="Segoe UI"/>
      <w:sz w:val="18"/>
      <w:szCs w:val="18"/>
    </w:rPr>
  </w:style>
  <w:style w:type="paragraph" w:customStyle="1" w:styleId="headingtitleStyle">
    <w:name w:val="heading titleStyle"/>
    <w:basedOn w:val="Normal"/>
    <w:rsid w:val="004C6DB5"/>
    <w:pPr>
      <w:jc w:val="center"/>
    </w:pPr>
    <w:rPr>
      <w:rFonts w:ascii="GHEA Grapalat" w:eastAsia="GHEA Grapalat" w:hAnsi="GHEA Grapalat" w:cs="GHEA Grapalat"/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https:/mul2-minfin.gov.am/tasks/244394/oneclick/1_Finansner_Amphophatert.docx?token=72547573c28e9b24591feec4f98d8346</cp:keywords>
  <dc:description/>
  <cp:lastModifiedBy>Admin</cp:lastModifiedBy>
  <cp:revision>3</cp:revision>
  <cp:lastPrinted>2020-09-27T16:33:00Z</cp:lastPrinted>
  <dcterms:created xsi:type="dcterms:W3CDTF">2020-11-26T10:53:00Z</dcterms:created>
  <dcterms:modified xsi:type="dcterms:W3CDTF">2020-11-26T11:00:00Z</dcterms:modified>
</cp:coreProperties>
</file>