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287E" w:rsidRPr="004C04D4" w:rsidRDefault="00CA287E" w:rsidP="00CA287E">
      <w:pPr>
        <w:pStyle w:val="Heading1"/>
        <w:jc w:val="center"/>
        <w:rPr>
          <w:rFonts w:ascii="GHEA Grapalat" w:hAnsi="GHEA Grapalat"/>
          <w:sz w:val="24"/>
          <w:szCs w:val="24"/>
          <w:shd w:val="clear" w:color="auto" w:fill="FFFFFF"/>
          <w:lang w:val="de-DE"/>
        </w:rPr>
      </w:pPr>
      <w:r w:rsidRPr="004C04D4">
        <w:rPr>
          <w:rFonts w:ascii="GHEA Grapalat" w:hAnsi="GHEA Grapalat" w:cs="Sylfaen"/>
          <w:sz w:val="24"/>
          <w:szCs w:val="24"/>
          <w:shd w:val="clear" w:color="auto" w:fill="FFFFFF"/>
        </w:rPr>
        <w:t>ՏԵՂԵԿԱՆՔ</w:t>
      </w:r>
      <w:r w:rsidRPr="004C04D4">
        <w:rPr>
          <w:rFonts w:ascii="GHEA Grapalat" w:hAnsi="GHEA Grapalat"/>
          <w:sz w:val="24"/>
          <w:szCs w:val="24"/>
          <w:shd w:val="clear" w:color="auto" w:fill="FFFFFF"/>
          <w:lang w:val="de-DE"/>
        </w:rPr>
        <w:t>-</w:t>
      </w:r>
      <w:r w:rsidRPr="004C04D4">
        <w:rPr>
          <w:rFonts w:ascii="GHEA Grapalat" w:hAnsi="GHEA Grapalat" w:cs="Sylfaen"/>
          <w:sz w:val="24"/>
          <w:szCs w:val="24"/>
          <w:shd w:val="clear" w:color="auto" w:fill="FFFFFF"/>
        </w:rPr>
        <w:t>ԱՄՓՈՓԱԹԵՐԹ</w:t>
      </w:r>
    </w:p>
    <w:p w:rsidR="00D71E2E" w:rsidRPr="004C04D4" w:rsidRDefault="00CA287E">
      <w:pPr>
        <w:spacing w:before="200" w:after="0"/>
        <w:jc w:val="center"/>
        <w:rPr>
          <w:rFonts w:ascii="GHEA Grapalat" w:eastAsia="Arial" w:hAnsi="GHEA Grapalat" w:cs="Arial"/>
          <w:b/>
          <w:sz w:val="24"/>
          <w:szCs w:val="24"/>
          <w:lang w:val="en-US"/>
        </w:rPr>
      </w:pPr>
      <w:r w:rsidRPr="004C04D4">
        <w:rPr>
          <w:rFonts w:ascii="GHEA Grapalat" w:eastAsia="Tahoma" w:hAnsi="GHEA Grapalat" w:cs="Tahoma"/>
          <w:b/>
          <w:sz w:val="24"/>
          <w:szCs w:val="24"/>
          <w:lang w:val="en-US"/>
        </w:rPr>
        <w:t>(</w:t>
      </w:r>
      <w:r w:rsidRPr="004C04D4">
        <w:rPr>
          <w:rFonts w:ascii="GHEA Grapalat" w:eastAsia="Tahoma" w:hAnsi="GHEA Grapalat" w:cs="Tahoma"/>
          <w:b/>
          <w:sz w:val="24"/>
          <w:szCs w:val="24"/>
        </w:rPr>
        <w:t xml:space="preserve">ՀՀ վարչապետի աշխատակազմի </w:t>
      </w:r>
      <w:r w:rsidR="008F7A13" w:rsidRPr="004C04D4">
        <w:rPr>
          <w:rFonts w:ascii="GHEA Grapalat" w:eastAsia="Tahoma" w:hAnsi="GHEA Grapalat" w:cs="Tahoma"/>
          <w:b/>
          <w:sz w:val="24"/>
          <w:szCs w:val="24"/>
        </w:rPr>
        <w:t>եզրակացությ</w:t>
      </w:r>
      <w:r w:rsidRPr="004C04D4">
        <w:rPr>
          <w:rFonts w:ascii="GHEA Grapalat" w:eastAsia="Tahoma" w:hAnsi="GHEA Grapalat" w:cs="Tahoma"/>
          <w:b/>
          <w:sz w:val="24"/>
          <w:szCs w:val="24"/>
          <w:lang w:val="en-US"/>
        </w:rPr>
        <w:t>ուն)</w:t>
      </w:r>
      <w:r w:rsidR="008F7A13" w:rsidRPr="004C04D4">
        <w:rPr>
          <w:rFonts w:ascii="GHEA Grapalat" w:eastAsia="Tahoma" w:hAnsi="GHEA Grapalat" w:cs="Tahoma"/>
          <w:b/>
          <w:sz w:val="24"/>
          <w:szCs w:val="24"/>
          <w:lang w:val="en-US"/>
        </w:rPr>
        <w:t xml:space="preserve"> </w:t>
      </w:r>
    </w:p>
    <w:p w:rsidR="00D71E2E" w:rsidRPr="004C04D4" w:rsidRDefault="00CA287E">
      <w:pPr>
        <w:spacing w:before="200" w:after="0"/>
        <w:jc w:val="center"/>
        <w:rPr>
          <w:rFonts w:ascii="GHEA Grapalat" w:eastAsia="Arial" w:hAnsi="GHEA Grapalat" w:cs="Arial"/>
          <w:b/>
          <w:sz w:val="24"/>
          <w:szCs w:val="24"/>
        </w:rPr>
      </w:pPr>
      <w:r w:rsidRPr="004C04D4">
        <w:rPr>
          <w:rFonts w:ascii="GHEA Grapalat" w:eastAsia="Tahoma" w:hAnsi="GHEA Grapalat" w:cs="Tahoma"/>
          <w:b/>
          <w:sz w:val="24"/>
          <w:szCs w:val="24"/>
        </w:rPr>
        <w:t>«Հաշմանդամություն ունեցող անձանց իրավունքների մասին», «Անձի ֆունկցիոնալության գնահատման մասին», «Վարչական իրավախախտումների վերաբերյալ Հայաստանի Հանրապետության օրենսգրքում լրացումներ կատարելու մասին» և «Հայաստանի Հանրապետության վարչական դատավարության օրենսգրքում փոփոխություն և լրացումներ կատարելու մասին» ՀՀ օրենքների նախագծերի (այսուհետ՝ նախագծեր) վերաբերյալ</w:t>
      </w:r>
    </w:p>
    <w:p w:rsidR="00D71E2E" w:rsidRPr="004C04D4" w:rsidRDefault="00CA287E">
      <w:pPr>
        <w:spacing w:before="200" w:after="0"/>
        <w:ind w:left="-90"/>
        <w:jc w:val="both"/>
        <w:rPr>
          <w:rFonts w:ascii="GHEA Grapalat" w:eastAsia="Arial" w:hAnsi="GHEA Grapalat" w:cs="Arial"/>
          <w:sz w:val="24"/>
          <w:szCs w:val="24"/>
        </w:rPr>
      </w:pPr>
      <w:r w:rsidRPr="004C04D4">
        <w:rPr>
          <w:rFonts w:ascii="GHEA Grapalat" w:eastAsia="Arial" w:hAnsi="GHEA Grapalat" w:cs="Arial"/>
          <w:sz w:val="24"/>
          <w:szCs w:val="24"/>
        </w:rPr>
        <w:tab/>
      </w:r>
      <w:bookmarkStart w:id="0" w:name="_GoBack"/>
      <w:bookmarkEnd w:id="0"/>
    </w:p>
    <w:tbl>
      <w:tblPr>
        <w:tblStyle w:val="a"/>
        <w:tblW w:w="15255"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630"/>
        <w:gridCol w:w="7410"/>
        <w:gridCol w:w="7215"/>
      </w:tblGrid>
      <w:tr w:rsidR="00D71E2E" w:rsidRPr="004C04D4" w:rsidTr="00754C3E">
        <w:tc>
          <w:tcPr>
            <w:tcW w:w="630" w:type="dxa"/>
          </w:tcPr>
          <w:p w:rsidR="00D71E2E" w:rsidRPr="004C04D4" w:rsidRDefault="00CA287E">
            <w:pPr>
              <w:tabs>
                <w:tab w:val="left" w:pos="4768"/>
              </w:tabs>
              <w:spacing w:before="200" w:line="276" w:lineRule="auto"/>
              <w:jc w:val="center"/>
              <w:rPr>
                <w:rFonts w:ascii="GHEA Grapalat" w:eastAsia="Arial" w:hAnsi="GHEA Grapalat" w:cs="Arial"/>
                <w:b/>
                <w:sz w:val="24"/>
                <w:szCs w:val="24"/>
              </w:rPr>
            </w:pPr>
            <w:r w:rsidRPr="004C04D4">
              <w:rPr>
                <w:rFonts w:ascii="GHEA Grapalat" w:eastAsia="Arial" w:hAnsi="GHEA Grapalat" w:cs="Arial"/>
                <w:b/>
                <w:sz w:val="24"/>
                <w:szCs w:val="24"/>
              </w:rPr>
              <w:t>1</w:t>
            </w:r>
          </w:p>
        </w:tc>
        <w:tc>
          <w:tcPr>
            <w:tcW w:w="7410" w:type="dxa"/>
          </w:tcPr>
          <w:p w:rsidR="00D71E2E" w:rsidRPr="004C04D4" w:rsidRDefault="00CA287E">
            <w:pPr>
              <w:spacing w:before="200" w:line="276" w:lineRule="auto"/>
              <w:jc w:val="both"/>
              <w:rPr>
                <w:rFonts w:ascii="GHEA Grapalat" w:eastAsia="Arial" w:hAnsi="GHEA Grapalat" w:cs="Arial"/>
                <w:sz w:val="24"/>
                <w:szCs w:val="24"/>
              </w:rPr>
            </w:pPr>
            <w:r w:rsidRPr="004C04D4">
              <w:rPr>
                <w:rFonts w:ascii="GHEA Grapalat" w:eastAsia="Tahoma" w:hAnsi="GHEA Grapalat" w:cs="Tahoma"/>
                <w:b/>
                <w:sz w:val="24"/>
                <w:szCs w:val="24"/>
              </w:rPr>
              <w:t>Սոցիալական հարցերի վարչություն</w:t>
            </w:r>
          </w:p>
        </w:tc>
        <w:tc>
          <w:tcPr>
            <w:tcW w:w="7215" w:type="dxa"/>
          </w:tcPr>
          <w:p w:rsidR="00D71E2E" w:rsidRPr="004C04D4" w:rsidRDefault="00D71E2E">
            <w:pPr>
              <w:spacing w:before="200" w:line="276" w:lineRule="auto"/>
              <w:jc w:val="both"/>
              <w:rPr>
                <w:rFonts w:ascii="GHEA Grapalat" w:eastAsia="Arial" w:hAnsi="GHEA Grapalat" w:cs="Arial"/>
                <w:b/>
                <w:sz w:val="24"/>
                <w:szCs w:val="24"/>
              </w:rPr>
            </w:pPr>
          </w:p>
        </w:tc>
      </w:tr>
      <w:tr w:rsidR="00D71E2E" w:rsidRPr="004C04D4" w:rsidTr="00754C3E">
        <w:tc>
          <w:tcPr>
            <w:tcW w:w="630" w:type="dxa"/>
          </w:tcPr>
          <w:p w:rsidR="00D71E2E" w:rsidRPr="004C04D4" w:rsidRDefault="00CA287E">
            <w:pPr>
              <w:tabs>
                <w:tab w:val="left" w:pos="4768"/>
              </w:tabs>
              <w:spacing w:before="200" w:line="276" w:lineRule="auto"/>
              <w:jc w:val="center"/>
              <w:rPr>
                <w:rFonts w:ascii="GHEA Grapalat" w:eastAsia="Arial" w:hAnsi="GHEA Grapalat" w:cs="Arial"/>
                <w:sz w:val="24"/>
                <w:szCs w:val="24"/>
              </w:rPr>
            </w:pPr>
            <w:r w:rsidRPr="004C04D4">
              <w:rPr>
                <w:rFonts w:ascii="GHEA Grapalat" w:eastAsia="Arial" w:hAnsi="GHEA Grapalat" w:cs="Arial"/>
                <w:sz w:val="24"/>
                <w:szCs w:val="24"/>
              </w:rPr>
              <w:t>1</w:t>
            </w:r>
            <w:r w:rsidRPr="004C04D4">
              <w:rPr>
                <w:rFonts w:ascii="MS Mincho" w:eastAsia="MS Mincho" w:hAnsi="MS Mincho" w:cs="MS Mincho" w:hint="eastAsia"/>
                <w:sz w:val="24"/>
                <w:szCs w:val="24"/>
              </w:rPr>
              <w:t>․</w:t>
            </w:r>
            <w:r w:rsidRPr="004C04D4">
              <w:rPr>
                <w:rFonts w:ascii="GHEA Grapalat" w:eastAsia="Arial" w:hAnsi="GHEA Grapalat" w:cs="Arial"/>
                <w:sz w:val="24"/>
                <w:szCs w:val="24"/>
              </w:rPr>
              <w:t>1</w:t>
            </w:r>
          </w:p>
        </w:tc>
        <w:tc>
          <w:tcPr>
            <w:tcW w:w="7410" w:type="dxa"/>
          </w:tcPr>
          <w:p w:rsidR="00D71E2E" w:rsidRPr="004C04D4" w:rsidRDefault="00CA287E">
            <w:pPr>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t>Ֆունկցիոնալության գնահատման առաջարկվող գաղափարախոսությանը և մոդելին համաձայն լինելով հանդերձ՝ կարծում ենք, որ առավել նպատակահարմար կարող է լինել «Հաշմանդամություն ունեցող անձանց իրավունքների մասին» և «Անձի ֆունկցիոնալության գնահատման մասին» ՀՀ օրենքների նախագծերի միավորումը, ինչը հնարավորություն կտա ունենալ ոլորտը նորովի կարգավորող առավել ընդգրկուն, համապարփակ և ամբողջական օրենք: Հակառակ պարագայում չի հաջողվի խուսափել երկու առանձին նախագծերում կիրառվող իրավակարգավորումների և հասկացությունների անհարկի կրկնություններից և հղումներից:</w:t>
            </w:r>
          </w:p>
        </w:tc>
        <w:tc>
          <w:tcPr>
            <w:tcW w:w="7215" w:type="dxa"/>
          </w:tcPr>
          <w:p w:rsidR="00D71E2E" w:rsidRPr="004C04D4" w:rsidRDefault="00CA287E">
            <w:pPr>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t xml:space="preserve">Չի ընդունվել։ «Հաշմանդամություն ունեցող անձանց իրավունքների մասին» և «Անձի ֆունկցիոնալության գնահատման մասին» ՀՀ օրենքների նախագծերը հնարավոր չէ համատեղել մի քանի պատճառով։ Հիմնական պատճառն այն է, որ «Հաշմանդամություն ունեցող անձանց իրավունքների մասին» ՀՀ օրենքի նախագիծը, ինչպես ընդունված է միջազգային իրավունքում, բնույթով հակախտրականության օրենք է, նպատակ ունի կանխելու, վերացնելու հաշմանդամության հիմքով խտրականությունը և պաշտպանելու դրանից բոլոր մարդկանց՝ անկախ նրանց ֆունկցիանալության գնահատման արդյունքների, այն է՝ անկախ նրանց հաշմանդամության սահմանման փաստից։ Իսկ «Անձի ֆունկցիոնալության գնահատման մասին» ՀՀ օրենքը կարգավորում է ոչ թե իրավունքին առնչվող հարցեր, այլ ծառայություններին, ինչպես նաև թիրախային խումբը կարող է տարբեր լինել։ «Հաշմանդամություն ունեցող անձանց </w:t>
            </w:r>
            <w:r w:rsidRPr="004C04D4">
              <w:rPr>
                <w:rFonts w:ascii="GHEA Grapalat" w:eastAsia="Tahoma" w:hAnsi="GHEA Grapalat" w:cs="Tahoma"/>
                <w:sz w:val="24"/>
                <w:szCs w:val="24"/>
              </w:rPr>
              <w:lastRenderedPageBreak/>
              <w:t>իրավունքների մասին» ՀՀ օրենքի նախագծում հաշմանդամության սահմանումը գրված և նախագծի բովանդակությունը կառուցված է այնպես, որ կարգավորումները տարածվեն մարդկանց վրա՝ անկախ նրանց անցյալում ունեցած, այժմ առկա, ապագայում հնարավոր կամ ենթադրյալ հաշմանդամությունից, ինչպես նաև նրանց, որոնք կարող են ասոցացվել հաշմանդամություն ունեցող անձանց հետ։ Այսինքն՝ խտրականությունից պաշտպանության իրավունքը չի կարող որևէ կերպ պայմանավորված լինել անձի փաստագրված կարգավիճակով, ինչը անհնար կլինի օրենքների նախագծերը միավորելու դեպքում։ Խտրականությունից պաշտպանվելու իրավունքի տեսանկյունից, երբ անձը դիմում է իրավական պաշտպանության, չպետք է ծանրաբեռնվի ապացուցելով, որ ինքը «բավարար հաշմանդամ» է իրավունքի պաշտպանության մեխանիզմից օգտվելու համար։ Օրինակ՝ եթե Դաունի համախտանիշ ունեցող անձը, որի նկատմամբ պետական որևէ կառույցի կողմից հաշմանդամություն չի սահմանվել, ենթարկվի իր հաշմանդամության հիմքով խտրականության, նա կկարողանա հղում անելով «Հաշմանդամություն ունեցող անձանց իրավուքների մասին» ՀՀ օրենքը</w:t>
            </w:r>
            <w:r w:rsidR="00F65F67" w:rsidRPr="00754C3E">
              <w:rPr>
                <w:rFonts w:ascii="GHEA Grapalat" w:eastAsia="Tahoma" w:hAnsi="GHEA Grapalat" w:cs="Tahoma"/>
                <w:sz w:val="24"/>
                <w:szCs w:val="24"/>
              </w:rPr>
              <w:t>՝</w:t>
            </w:r>
            <w:r w:rsidRPr="004C04D4">
              <w:rPr>
                <w:rFonts w:ascii="GHEA Grapalat" w:eastAsia="Tahoma" w:hAnsi="GHEA Grapalat" w:cs="Tahoma"/>
                <w:sz w:val="24"/>
                <w:szCs w:val="24"/>
              </w:rPr>
              <w:t xml:space="preserve"> դիմել դատարան։ Ինչը գործնականում անհնար կլինի, եթե երկու օրենքները փոխկապակցվեն։ Փոխկապակցումը հնարավոր է միայն երկու սահմանում ունենալու պարագայում, ինչը ցանկալի չէ։ Մասնավորապես, եթե «Հաշմանդամություն ունեցող անձանց իրավուքների մասին» ՀՀ օրենքի նախագծում կիրառվի «հաշմանդամություն ունեցող անձ» եզրը, իսկ «Անձի ֆունկցիոնալության գնահատման մասին» ՀՀ օրենքի </w:t>
            </w:r>
            <w:r w:rsidRPr="004C04D4">
              <w:rPr>
                <w:rFonts w:ascii="GHEA Grapalat" w:eastAsia="Tahoma" w:hAnsi="GHEA Grapalat" w:cs="Tahoma"/>
                <w:sz w:val="24"/>
                <w:szCs w:val="24"/>
              </w:rPr>
              <w:lastRenderedPageBreak/>
              <w:t>նախագծում՝ «ֆունկցիոնալության X աստիճանի սահմանափակում ունեցող անձ» եզրը։ Տվյալ դեպքում հնարավոր կլինի խուսափել տարընթերցումներից, չի խաթարվի երկու օրենքների բովանդակությունը և կառուցվածքը։ Ուստի, գտնում ենք, որ երկու առանձին նագախծով կարգավորումը նպատակահարմար է, բխում է «Հաշմանդամություն ունեցող անձանց իրավունքների մասին կոնվենցիայի» 5-րդ հոդվածից և դրա մասին Հաշմանդամություն ունեցող անձանց իրավունքների հարցերով ՄԱԿ-ի կոմիտեի ընդհանուր մեկնաբանություն ՝ 6-ից։</w:t>
            </w:r>
          </w:p>
        </w:tc>
      </w:tr>
      <w:tr w:rsidR="00D71E2E" w:rsidRPr="004C04D4" w:rsidTr="00754C3E">
        <w:tc>
          <w:tcPr>
            <w:tcW w:w="630" w:type="dxa"/>
          </w:tcPr>
          <w:p w:rsidR="00D71E2E" w:rsidRPr="004C04D4" w:rsidRDefault="00CA287E">
            <w:pPr>
              <w:tabs>
                <w:tab w:val="left" w:pos="4768"/>
              </w:tabs>
              <w:spacing w:before="200" w:line="276" w:lineRule="auto"/>
              <w:jc w:val="center"/>
              <w:rPr>
                <w:rFonts w:ascii="GHEA Grapalat" w:eastAsia="Arial" w:hAnsi="GHEA Grapalat" w:cs="Arial"/>
                <w:b/>
                <w:sz w:val="24"/>
                <w:szCs w:val="24"/>
              </w:rPr>
            </w:pPr>
            <w:r w:rsidRPr="004C04D4">
              <w:rPr>
                <w:rFonts w:ascii="GHEA Grapalat" w:eastAsia="Arial" w:hAnsi="GHEA Grapalat" w:cs="Arial"/>
                <w:b/>
                <w:sz w:val="24"/>
                <w:szCs w:val="24"/>
              </w:rPr>
              <w:lastRenderedPageBreak/>
              <w:t>2</w:t>
            </w:r>
          </w:p>
        </w:tc>
        <w:tc>
          <w:tcPr>
            <w:tcW w:w="7410" w:type="dxa"/>
          </w:tcPr>
          <w:p w:rsidR="00D71E2E" w:rsidRPr="004C04D4" w:rsidRDefault="00CA287E">
            <w:pPr>
              <w:spacing w:before="200" w:line="276" w:lineRule="auto"/>
              <w:jc w:val="both"/>
              <w:rPr>
                <w:rFonts w:ascii="GHEA Grapalat" w:eastAsia="Arial" w:hAnsi="GHEA Grapalat" w:cs="Arial"/>
                <w:b/>
                <w:sz w:val="24"/>
                <w:szCs w:val="24"/>
              </w:rPr>
            </w:pPr>
            <w:r w:rsidRPr="004C04D4">
              <w:rPr>
                <w:rFonts w:ascii="GHEA Grapalat" w:eastAsia="Tahoma" w:hAnsi="GHEA Grapalat" w:cs="Tahoma"/>
                <w:b/>
                <w:sz w:val="24"/>
                <w:szCs w:val="24"/>
              </w:rPr>
              <w:t>Իրավաբանական վարչություն</w:t>
            </w:r>
          </w:p>
        </w:tc>
        <w:tc>
          <w:tcPr>
            <w:tcW w:w="7215" w:type="dxa"/>
          </w:tcPr>
          <w:p w:rsidR="00D71E2E" w:rsidRPr="004C04D4" w:rsidRDefault="00D71E2E">
            <w:pPr>
              <w:spacing w:before="200" w:line="276" w:lineRule="auto"/>
              <w:jc w:val="both"/>
              <w:rPr>
                <w:rFonts w:ascii="GHEA Grapalat" w:eastAsia="Arial" w:hAnsi="GHEA Grapalat" w:cs="Arial"/>
                <w:b/>
                <w:sz w:val="24"/>
                <w:szCs w:val="24"/>
              </w:rPr>
            </w:pPr>
          </w:p>
        </w:tc>
      </w:tr>
      <w:tr w:rsidR="00D71E2E" w:rsidRPr="004C04D4" w:rsidTr="00754C3E">
        <w:tc>
          <w:tcPr>
            <w:tcW w:w="630" w:type="dxa"/>
          </w:tcPr>
          <w:p w:rsidR="00D71E2E" w:rsidRPr="004C04D4" w:rsidRDefault="00CA287E">
            <w:pPr>
              <w:tabs>
                <w:tab w:val="left" w:pos="4768"/>
              </w:tabs>
              <w:spacing w:before="200" w:line="276" w:lineRule="auto"/>
              <w:jc w:val="center"/>
              <w:rPr>
                <w:rFonts w:ascii="GHEA Grapalat" w:eastAsia="Arial" w:hAnsi="GHEA Grapalat" w:cs="Arial"/>
                <w:sz w:val="24"/>
                <w:szCs w:val="24"/>
              </w:rPr>
            </w:pPr>
            <w:r w:rsidRPr="004C04D4">
              <w:rPr>
                <w:rFonts w:ascii="GHEA Grapalat" w:eastAsia="Arial" w:hAnsi="GHEA Grapalat" w:cs="Arial"/>
                <w:sz w:val="24"/>
                <w:szCs w:val="24"/>
              </w:rPr>
              <w:t>2</w:t>
            </w:r>
            <w:r w:rsidRPr="004C04D4">
              <w:rPr>
                <w:rFonts w:ascii="MS Mincho" w:eastAsia="MS Mincho" w:hAnsi="MS Mincho" w:cs="MS Mincho" w:hint="eastAsia"/>
                <w:sz w:val="24"/>
                <w:szCs w:val="24"/>
              </w:rPr>
              <w:t>․</w:t>
            </w:r>
            <w:r w:rsidRPr="004C04D4">
              <w:rPr>
                <w:rFonts w:ascii="GHEA Grapalat" w:eastAsia="Arial" w:hAnsi="GHEA Grapalat" w:cs="Arial"/>
                <w:sz w:val="24"/>
                <w:szCs w:val="24"/>
              </w:rPr>
              <w:t>1</w:t>
            </w:r>
          </w:p>
        </w:tc>
        <w:tc>
          <w:tcPr>
            <w:tcW w:w="7410" w:type="dxa"/>
          </w:tcPr>
          <w:p w:rsidR="00D71E2E" w:rsidRPr="004C04D4" w:rsidRDefault="00CA287E">
            <w:pPr>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t>Նախագծերի վերաբերյալ նախորդ անգամ ներկայացված իրավաբանական վարչության եզրակացության 1-ին, 2-րդ, 3-րդ, 12-րդ, 13-րդ կետերը կամ իրացված չեն կամ մասամբ են իրացված։</w:t>
            </w:r>
          </w:p>
          <w:p w:rsidR="00D71E2E" w:rsidRPr="004C04D4" w:rsidRDefault="00CA287E">
            <w:pPr>
              <w:pBdr>
                <w:top w:val="nil"/>
                <w:left w:val="nil"/>
                <w:bottom w:val="nil"/>
                <w:right w:val="nil"/>
                <w:between w:val="nil"/>
              </w:pBdr>
              <w:spacing w:before="200" w:line="276" w:lineRule="auto"/>
              <w:rPr>
                <w:rFonts w:ascii="GHEA Grapalat" w:eastAsia="Arial" w:hAnsi="GHEA Grapalat" w:cs="Arial"/>
                <w:sz w:val="24"/>
                <w:szCs w:val="24"/>
              </w:rPr>
            </w:pPr>
            <w:r w:rsidRPr="004C04D4">
              <w:rPr>
                <w:rFonts w:ascii="GHEA Grapalat" w:eastAsia="Tahoma" w:hAnsi="GHEA Grapalat" w:cs="Tahoma"/>
                <w:sz w:val="24"/>
                <w:szCs w:val="24"/>
              </w:rPr>
              <w:t xml:space="preserve">1. Նախագծի 6-րդ հոդվածի 1-ին մասը </w:t>
            </w:r>
            <w:r w:rsidRPr="004C04D4">
              <w:rPr>
                <w:rFonts w:ascii="GHEA Grapalat" w:eastAsia="Tahoma" w:hAnsi="GHEA Grapalat" w:cs="Tahoma"/>
                <w:i/>
                <w:sz w:val="24"/>
                <w:szCs w:val="24"/>
              </w:rPr>
              <w:t xml:space="preserve">(Հաշմանդամություն ունեցող անձանց իրավունքների ապահովման, խթանման և պաշտպանության միասնական պետական քաղաքականությունը </w:t>
            </w:r>
            <w:r w:rsidRPr="004C04D4">
              <w:rPr>
                <w:rFonts w:ascii="GHEA Grapalat" w:eastAsia="Tahoma" w:hAnsi="GHEA Grapalat" w:cs="Tahoma"/>
                <w:b/>
                <w:i/>
                <w:sz w:val="24"/>
                <w:szCs w:val="24"/>
              </w:rPr>
              <w:t>մշակում և իրականացնում է</w:t>
            </w:r>
            <w:r w:rsidRPr="004C04D4">
              <w:rPr>
                <w:rFonts w:ascii="GHEA Grapalat" w:eastAsia="Tahoma" w:hAnsi="GHEA Grapalat" w:cs="Tahoma"/>
                <w:i/>
                <w:sz w:val="24"/>
                <w:szCs w:val="24"/>
              </w:rPr>
              <w:t xml:space="preserve"> ՀՀ կառավարությունը)</w:t>
            </w:r>
            <w:r w:rsidRPr="004C04D4">
              <w:rPr>
                <w:rFonts w:ascii="GHEA Grapalat" w:eastAsia="Tahoma" w:hAnsi="GHEA Grapalat" w:cs="Tahoma"/>
                <w:sz w:val="24"/>
                <w:szCs w:val="24"/>
              </w:rPr>
              <w:t xml:space="preserve"> խնդրահարույց է «Կառավարության կառուցվածքի և գործունեության մասին» օրենքի </w:t>
            </w:r>
            <w:r w:rsidRPr="004C04D4">
              <w:rPr>
                <w:rFonts w:ascii="GHEA Grapalat" w:eastAsia="Tahoma" w:hAnsi="GHEA Grapalat" w:cs="Tahoma"/>
                <w:i/>
                <w:sz w:val="24"/>
                <w:szCs w:val="24"/>
              </w:rPr>
              <w:t>(այսուհետ՝ Օրենք)</w:t>
            </w:r>
            <w:r w:rsidRPr="004C04D4">
              <w:rPr>
                <w:rFonts w:ascii="GHEA Grapalat" w:eastAsia="Tahoma" w:hAnsi="GHEA Grapalat" w:cs="Tahoma"/>
                <w:sz w:val="24"/>
                <w:szCs w:val="24"/>
              </w:rPr>
              <w:t xml:space="preserve"> 7-րդ հոդվածի 1-ին մասի </w:t>
            </w:r>
            <w:r w:rsidRPr="004C04D4">
              <w:rPr>
                <w:rFonts w:ascii="GHEA Grapalat" w:eastAsia="Tahoma" w:hAnsi="GHEA Grapalat" w:cs="Tahoma"/>
                <w:i/>
                <w:sz w:val="24"/>
                <w:szCs w:val="24"/>
              </w:rPr>
              <w:t>(Նախարարն ինքնուրույն ղեկավարում է նախարարությանը վերապահված գործունեության ոլորտը, ինքնուրույն մշակում և իրականացնում է</w:t>
            </w:r>
            <w:r w:rsidRPr="004C04D4">
              <w:rPr>
                <w:rFonts w:ascii="Courier New" w:eastAsia="Tahoma" w:hAnsi="Courier New" w:cs="Courier New"/>
                <w:i/>
                <w:sz w:val="24"/>
                <w:szCs w:val="24"/>
              </w:rPr>
              <w:t> </w:t>
            </w:r>
            <w:r w:rsidRPr="004C04D4">
              <w:rPr>
                <w:rFonts w:ascii="GHEA Grapalat" w:eastAsia="Tahoma" w:hAnsi="GHEA Grapalat" w:cs="Tahoma"/>
                <w:i/>
                <w:sz w:val="24"/>
                <w:szCs w:val="24"/>
              </w:rPr>
              <w:t>Կառավարության՝ նախարարությանը վերապահված գործունեության ոլորտի քաղաքականությունը</w:t>
            </w:r>
            <w:r w:rsidRPr="004C04D4">
              <w:rPr>
                <w:rFonts w:ascii="GHEA Grapalat" w:eastAsia="Tahoma" w:hAnsi="GHEA Grapalat" w:cs="Tahoma"/>
                <w:sz w:val="24"/>
                <w:szCs w:val="24"/>
              </w:rPr>
              <w:t>) տեսանկյունից: Սահմանադրության 146-</w:t>
            </w:r>
            <w:r w:rsidRPr="004C04D4">
              <w:rPr>
                <w:rFonts w:ascii="GHEA Grapalat" w:eastAsia="Tahoma" w:hAnsi="GHEA Grapalat" w:cs="Tahoma"/>
                <w:sz w:val="24"/>
                <w:szCs w:val="24"/>
              </w:rPr>
              <w:lastRenderedPageBreak/>
              <w:t xml:space="preserve">րդ հոդվածի 2-րդ մասի համաձայն՝ </w:t>
            </w:r>
            <w:r w:rsidRPr="004C04D4">
              <w:rPr>
                <w:rFonts w:ascii="GHEA Grapalat" w:eastAsia="Tahoma" w:hAnsi="GHEA Grapalat" w:cs="Tahoma"/>
                <w:sz w:val="24"/>
                <w:szCs w:val="24"/>
                <w:highlight w:val="white"/>
              </w:rPr>
              <w:t xml:space="preserve">Կառավարությունն իր ծրագրի հիման վրա </w:t>
            </w:r>
            <w:r w:rsidRPr="004C04D4">
              <w:rPr>
                <w:rFonts w:ascii="GHEA Grapalat" w:eastAsia="Tahoma" w:hAnsi="GHEA Grapalat" w:cs="Tahoma"/>
                <w:i/>
                <w:sz w:val="24"/>
                <w:szCs w:val="24"/>
                <w:highlight w:val="white"/>
              </w:rPr>
              <w:t>մշակում և իրականացնում է</w:t>
            </w:r>
            <w:r w:rsidRPr="004C04D4">
              <w:rPr>
                <w:rFonts w:ascii="GHEA Grapalat" w:eastAsia="Arial" w:hAnsi="GHEA Grapalat" w:cs="Arial"/>
                <w:sz w:val="24"/>
                <w:szCs w:val="24"/>
                <w:highlight w:val="white"/>
              </w:rPr>
              <w:t xml:space="preserve"> </w:t>
            </w:r>
            <w:r w:rsidRPr="004C04D4">
              <w:rPr>
                <w:rFonts w:ascii="GHEA Grapalat" w:eastAsia="Tahoma" w:hAnsi="GHEA Grapalat" w:cs="Tahoma"/>
                <w:i/>
                <w:sz w:val="24"/>
                <w:szCs w:val="24"/>
                <w:highlight w:val="white"/>
              </w:rPr>
              <w:t>պետության ներքին և արտաքին քաղաքականությունը</w:t>
            </w:r>
            <w:r w:rsidRPr="004C04D4">
              <w:rPr>
                <w:rFonts w:ascii="GHEA Grapalat" w:eastAsia="Tahoma" w:hAnsi="GHEA Grapalat" w:cs="Tahoma"/>
                <w:sz w:val="24"/>
                <w:szCs w:val="24"/>
                <w:highlight w:val="white"/>
              </w:rPr>
              <w:t xml:space="preserve">, սակայն Օրենքով՝ </w:t>
            </w:r>
            <w:r w:rsidRPr="004C04D4">
              <w:rPr>
                <w:rFonts w:ascii="GHEA Grapalat" w:eastAsia="Tahoma" w:hAnsi="GHEA Grapalat" w:cs="Tahoma"/>
                <w:b/>
                <w:i/>
                <w:sz w:val="24"/>
                <w:szCs w:val="24"/>
              </w:rPr>
              <w:t>ոլորտային քաղաքականության մշակման և իրականացման պատասխանատուն նախարարն է:</w:t>
            </w:r>
            <w:r w:rsidRPr="004C04D4">
              <w:rPr>
                <w:rFonts w:ascii="GHEA Grapalat" w:eastAsia="Arial" w:hAnsi="GHEA Grapalat" w:cs="Arial"/>
                <w:sz w:val="24"/>
                <w:szCs w:val="24"/>
              </w:rPr>
              <w:t xml:space="preserve"> </w:t>
            </w:r>
          </w:p>
          <w:p w:rsidR="00D71E2E" w:rsidRPr="004C04D4" w:rsidRDefault="00CA287E">
            <w:pPr>
              <w:spacing w:before="200" w:line="276" w:lineRule="auto"/>
              <w:rPr>
                <w:rFonts w:ascii="GHEA Grapalat" w:eastAsia="Arial" w:hAnsi="GHEA Grapalat" w:cs="Arial"/>
                <w:sz w:val="24"/>
                <w:szCs w:val="24"/>
              </w:rPr>
            </w:pPr>
            <w:r w:rsidRPr="004C04D4">
              <w:rPr>
                <w:rFonts w:ascii="GHEA Grapalat" w:eastAsia="Tahoma" w:hAnsi="GHEA Grapalat" w:cs="Tahoma"/>
                <w:sz w:val="24"/>
                <w:szCs w:val="24"/>
              </w:rPr>
              <w:t xml:space="preserve">Հավելենք, որ նախագծի 10-րդ հոդվածի 1-ին մասի 1-ին կետով լիազորված մարմնին, իր իրավասության շրջանակներում, նույնպես վերապահվել է հաշմանդամություն ունեցող անձանց իրավունքների ապահովման, խթանման և պաշտպանության քաղաքականությունը </w:t>
            </w:r>
            <w:r w:rsidRPr="004C04D4">
              <w:rPr>
                <w:rFonts w:ascii="GHEA Grapalat" w:eastAsia="Tahoma" w:hAnsi="GHEA Grapalat" w:cs="Tahoma"/>
                <w:b/>
                <w:i/>
                <w:sz w:val="24"/>
                <w:szCs w:val="24"/>
              </w:rPr>
              <w:t>մշակելու և իրականացնելու</w:t>
            </w:r>
            <w:r w:rsidRPr="004C04D4">
              <w:rPr>
                <w:rFonts w:ascii="GHEA Grapalat" w:eastAsia="Tahoma" w:hAnsi="GHEA Grapalat" w:cs="Tahoma"/>
                <w:sz w:val="24"/>
                <w:szCs w:val="24"/>
              </w:rPr>
              <w:t xml:space="preserve"> լիազորություն:</w:t>
            </w:r>
          </w:p>
          <w:p w:rsidR="00D71E2E" w:rsidRPr="004C04D4" w:rsidRDefault="00CA287E">
            <w:pPr>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t>Նշվածը վերաբերվում է նաև նախագծի 9-րդ հոդվածի 1-ին մասի 1-ին կետին, ինչպես նաև «Անձի ֆունկցիոնալության գնահատման մասին» օրենքի նախագծի 5-րդ հոդվածի 1-ին մասի 1-ին կետին:</w:t>
            </w:r>
          </w:p>
        </w:tc>
        <w:tc>
          <w:tcPr>
            <w:tcW w:w="7215" w:type="dxa"/>
          </w:tcPr>
          <w:p w:rsidR="00D71E2E" w:rsidRPr="004C04D4" w:rsidRDefault="00CA287E">
            <w:pPr>
              <w:pBdr>
                <w:top w:val="nil"/>
                <w:left w:val="nil"/>
                <w:bottom w:val="nil"/>
                <w:right w:val="nil"/>
                <w:between w:val="nil"/>
              </w:pBdr>
              <w:spacing w:before="200" w:after="200" w:line="276" w:lineRule="auto"/>
              <w:jc w:val="both"/>
              <w:rPr>
                <w:rFonts w:ascii="GHEA Grapalat" w:eastAsia="Arial" w:hAnsi="GHEA Grapalat" w:cs="Arial"/>
                <w:sz w:val="24"/>
                <w:szCs w:val="24"/>
                <w:highlight w:val="yellow"/>
              </w:rPr>
            </w:pPr>
            <w:r w:rsidRPr="004C04D4">
              <w:rPr>
                <w:rFonts w:ascii="GHEA Grapalat" w:eastAsia="Tahoma" w:hAnsi="GHEA Grapalat" w:cs="Tahoma"/>
                <w:sz w:val="24"/>
                <w:szCs w:val="24"/>
              </w:rPr>
              <w:lastRenderedPageBreak/>
              <w:t xml:space="preserve">Ընդունվել է։ Կատարվել են համապատասխան փոփոխություններ։ </w:t>
            </w:r>
          </w:p>
        </w:tc>
      </w:tr>
      <w:tr w:rsidR="00D71E2E" w:rsidRPr="004C04D4" w:rsidTr="00754C3E">
        <w:tc>
          <w:tcPr>
            <w:tcW w:w="630" w:type="dxa"/>
          </w:tcPr>
          <w:p w:rsidR="00D71E2E" w:rsidRPr="004C04D4" w:rsidRDefault="00D71E2E">
            <w:pPr>
              <w:tabs>
                <w:tab w:val="left" w:pos="4768"/>
              </w:tabs>
              <w:spacing w:before="200" w:line="276" w:lineRule="auto"/>
              <w:jc w:val="center"/>
              <w:rPr>
                <w:rFonts w:ascii="GHEA Grapalat" w:eastAsia="Arial" w:hAnsi="GHEA Grapalat" w:cs="Arial"/>
                <w:sz w:val="24"/>
                <w:szCs w:val="24"/>
              </w:rPr>
            </w:pPr>
          </w:p>
        </w:tc>
        <w:tc>
          <w:tcPr>
            <w:tcW w:w="7410" w:type="dxa"/>
          </w:tcPr>
          <w:p w:rsidR="00D71E2E" w:rsidRPr="004C04D4" w:rsidRDefault="00CA287E">
            <w:pPr>
              <w:tabs>
                <w:tab w:val="left" w:pos="284"/>
              </w:tabs>
              <w:spacing w:before="200" w:line="276" w:lineRule="auto"/>
              <w:rPr>
                <w:rFonts w:ascii="GHEA Grapalat" w:eastAsia="Arial" w:hAnsi="GHEA Grapalat" w:cs="Arial"/>
                <w:sz w:val="24"/>
                <w:szCs w:val="24"/>
              </w:rPr>
            </w:pPr>
            <w:r w:rsidRPr="004C04D4">
              <w:rPr>
                <w:rFonts w:ascii="GHEA Grapalat" w:eastAsia="Tahoma" w:hAnsi="GHEA Grapalat" w:cs="Tahoma"/>
                <w:sz w:val="24"/>
                <w:szCs w:val="24"/>
              </w:rPr>
              <w:t xml:space="preserve">2. Նախագծի 9-րդ կետով կառավարությանը վերապահվում է մի շարք իրավական ակտեր </w:t>
            </w:r>
            <w:r w:rsidRPr="004C04D4">
              <w:rPr>
                <w:rFonts w:ascii="GHEA Grapalat" w:eastAsia="Tahoma" w:hAnsi="GHEA Grapalat" w:cs="Tahoma"/>
                <w:i/>
                <w:sz w:val="24"/>
                <w:szCs w:val="24"/>
              </w:rPr>
              <w:t>(օրինակ՝ հաշմանդամություն ունեցող անձանց աջակցող միջոցներ տրամադրելու և դրանց գնային արժեքը որոշելու կարգը)</w:t>
            </w:r>
            <w:r w:rsidRPr="004C04D4">
              <w:rPr>
                <w:rFonts w:ascii="GHEA Grapalat" w:eastAsia="Tahoma" w:hAnsi="GHEA Grapalat" w:cs="Tahoma"/>
                <w:sz w:val="24"/>
                <w:szCs w:val="24"/>
              </w:rPr>
              <w:t xml:space="preserve"> հաստատելու իրավասություն, սակայն նախագծով այդ ակտերի մշակման լիազորությունը չի վերապահվում որևէ մարմնի, ինչն անհրաժեշտ է Սահմանադրության 6-րդ հոդվածի 1-ին մասի համաձայն՝ լիազոր մարմնի իրավասությունների շրջանակը օրենքով հստակ ամրագրելու նպատակով:</w:t>
            </w:r>
          </w:p>
          <w:p w:rsidR="00D71E2E" w:rsidRPr="004C04D4" w:rsidRDefault="00CA287E">
            <w:pPr>
              <w:tabs>
                <w:tab w:val="left" w:pos="284"/>
              </w:tabs>
              <w:spacing w:before="200" w:line="276" w:lineRule="auto"/>
              <w:rPr>
                <w:rFonts w:ascii="GHEA Grapalat" w:eastAsia="Arial" w:hAnsi="GHEA Grapalat" w:cs="Arial"/>
                <w:sz w:val="24"/>
                <w:szCs w:val="24"/>
              </w:rPr>
            </w:pPr>
            <w:r w:rsidRPr="004C04D4">
              <w:rPr>
                <w:rFonts w:ascii="GHEA Grapalat" w:eastAsia="Tahoma" w:hAnsi="GHEA Grapalat" w:cs="Tahoma"/>
                <w:sz w:val="24"/>
                <w:szCs w:val="24"/>
              </w:rPr>
              <w:t xml:space="preserve">Նշվածը վերաբերվում է նաև «Անձի ֆունկցիոնալության գնահատման մասին» օրենքի նախագծի 5-րդ հոդվածով </w:t>
            </w:r>
            <w:r w:rsidRPr="004C04D4">
              <w:rPr>
                <w:rFonts w:ascii="GHEA Grapalat" w:eastAsia="Tahoma" w:hAnsi="GHEA Grapalat" w:cs="Tahoma"/>
                <w:sz w:val="24"/>
                <w:szCs w:val="24"/>
              </w:rPr>
              <w:lastRenderedPageBreak/>
              <w:t>կառավարության հաստատմանը վերապահված իրավական ակտերին:</w:t>
            </w:r>
          </w:p>
          <w:p w:rsidR="00D71E2E" w:rsidRPr="004C04D4" w:rsidRDefault="00CA287E">
            <w:pPr>
              <w:tabs>
                <w:tab w:val="left" w:pos="284"/>
              </w:tabs>
              <w:spacing w:before="200" w:line="276" w:lineRule="auto"/>
              <w:ind w:left="-26"/>
              <w:jc w:val="both"/>
              <w:rPr>
                <w:rFonts w:ascii="GHEA Grapalat" w:eastAsia="Arial" w:hAnsi="GHEA Grapalat" w:cs="Arial"/>
                <w:sz w:val="24"/>
                <w:szCs w:val="24"/>
              </w:rPr>
            </w:pPr>
            <w:r w:rsidRPr="004C04D4">
              <w:rPr>
                <w:rFonts w:ascii="GHEA Grapalat" w:eastAsia="Tahoma" w:hAnsi="GHEA Grapalat" w:cs="Tahoma"/>
                <w:sz w:val="24"/>
                <w:szCs w:val="24"/>
              </w:rPr>
              <w:t xml:space="preserve">Բացի այդ, նախագծի 10-րդ հոդվածի 1-ին մասի 4-րդ կետը, որով լիազոր մարմնին վերապահվում է ոլորտային անորոշ թվով իրավական ակտեր մշակելու և ներկայացնելու լիազորություն, խնդրահարույց է իրավական որոշակիության սկզբունքի տեսանկյունից: </w:t>
            </w:r>
          </w:p>
        </w:tc>
        <w:tc>
          <w:tcPr>
            <w:tcW w:w="7215" w:type="dxa"/>
          </w:tcPr>
          <w:p w:rsidR="00D71E2E" w:rsidRPr="004C04D4" w:rsidRDefault="00A22E43">
            <w:pPr>
              <w:spacing w:before="200" w:line="276" w:lineRule="auto"/>
              <w:jc w:val="both"/>
              <w:rPr>
                <w:rFonts w:ascii="GHEA Grapalat" w:eastAsia="Arial" w:hAnsi="GHEA Grapalat" w:cs="Arial"/>
                <w:sz w:val="24"/>
                <w:szCs w:val="24"/>
              </w:rPr>
            </w:pPr>
            <w:r w:rsidRPr="004C04D4">
              <w:rPr>
                <w:rFonts w:ascii="GHEA Grapalat" w:hAnsi="GHEA Grapalat"/>
                <w:sz w:val="24"/>
                <w:szCs w:val="24"/>
                <w:lang w:val="af-ZA"/>
              </w:rPr>
              <w:lastRenderedPageBreak/>
              <w:t>Չի ընդունվել: «</w:t>
            </w:r>
            <w:r w:rsidRPr="004C04D4">
              <w:rPr>
                <w:rFonts w:ascii="GHEA Grapalat" w:hAnsi="GHEA Grapalat"/>
                <w:sz w:val="24"/>
                <w:szCs w:val="24"/>
              </w:rPr>
              <w:t>Կառավարության</w:t>
            </w:r>
            <w:r w:rsidRPr="004C04D4">
              <w:rPr>
                <w:rFonts w:ascii="GHEA Grapalat" w:hAnsi="GHEA Grapalat"/>
                <w:sz w:val="24"/>
                <w:szCs w:val="24"/>
                <w:lang w:val="af-ZA"/>
              </w:rPr>
              <w:t xml:space="preserve"> </w:t>
            </w:r>
            <w:r w:rsidRPr="004C04D4">
              <w:rPr>
                <w:rFonts w:ascii="GHEA Grapalat" w:hAnsi="GHEA Grapalat"/>
                <w:sz w:val="24"/>
                <w:szCs w:val="24"/>
              </w:rPr>
              <w:t>կառուցվածքի</w:t>
            </w:r>
            <w:r w:rsidRPr="004C04D4">
              <w:rPr>
                <w:rFonts w:ascii="GHEA Grapalat" w:hAnsi="GHEA Grapalat"/>
                <w:sz w:val="24"/>
                <w:szCs w:val="24"/>
                <w:lang w:val="af-ZA"/>
              </w:rPr>
              <w:t xml:space="preserve"> </w:t>
            </w:r>
            <w:r w:rsidRPr="004C04D4">
              <w:rPr>
                <w:rFonts w:ascii="GHEA Grapalat" w:hAnsi="GHEA Grapalat"/>
                <w:sz w:val="24"/>
                <w:szCs w:val="24"/>
              </w:rPr>
              <w:t>և</w:t>
            </w:r>
            <w:r w:rsidRPr="004C04D4">
              <w:rPr>
                <w:rFonts w:ascii="GHEA Grapalat" w:hAnsi="GHEA Grapalat"/>
                <w:sz w:val="24"/>
                <w:szCs w:val="24"/>
                <w:lang w:val="af-ZA"/>
              </w:rPr>
              <w:t xml:space="preserve"> </w:t>
            </w:r>
            <w:r w:rsidRPr="004C04D4">
              <w:rPr>
                <w:rFonts w:ascii="GHEA Grapalat" w:hAnsi="GHEA Grapalat"/>
                <w:sz w:val="24"/>
                <w:szCs w:val="24"/>
              </w:rPr>
              <w:t>գործունեության</w:t>
            </w:r>
            <w:r w:rsidRPr="004C04D4">
              <w:rPr>
                <w:rFonts w:ascii="GHEA Grapalat" w:hAnsi="GHEA Grapalat"/>
                <w:sz w:val="24"/>
                <w:szCs w:val="24"/>
                <w:lang w:val="af-ZA"/>
              </w:rPr>
              <w:t xml:space="preserve"> </w:t>
            </w:r>
            <w:r w:rsidRPr="004C04D4">
              <w:rPr>
                <w:rFonts w:ascii="GHEA Grapalat" w:hAnsi="GHEA Grapalat"/>
                <w:sz w:val="24"/>
                <w:szCs w:val="24"/>
              </w:rPr>
              <w:t>մասին</w:t>
            </w:r>
            <w:r w:rsidRPr="004C04D4">
              <w:rPr>
                <w:rFonts w:ascii="GHEA Grapalat" w:eastAsia="GHEA Grapalat" w:hAnsi="GHEA Grapalat" w:cs="GHEA Grapalat"/>
                <w:sz w:val="24"/>
                <w:szCs w:val="24"/>
                <w:lang w:val="af-ZA"/>
              </w:rPr>
              <w:t xml:space="preserve">» </w:t>
            </w:r>
            <w:r w:rsidRPr="004C04D4">
              <w:rPr>
                <w:rFonts w:ascii="GHEA Grapalat" w:eastAsia="GHEA Grapalat" w:hAnsi="GHEA Grapalat" w:cs="GHEA Grapalat"/>
                <w:sz w:val="24"/>
                <w:szCs w:val="24"/>
              </w:rPr>
              <w:t xml:space="preserve">օրենքի հավելվածի 1-ին մասի համաձայն, </w:t>
            </w:r>
            <w:r w:rsidRPr="00754C3E">
              <w:rPr>
                <w:rFonts w:ascii="GHEA Grapalat" w:hAnsi="GHEA Grapalat" w:cs="Arial Unicode"/>
                <w:sz w:val="24"/>
                <w:szCs w:val="24"/>
                <w:shd w:val="clear" w:color="auto" w:fill="FFFFFF"/>
              </w:rPr>
              <w:t>ա</w:t>
            </w:r>
            <w:r w:rsidRPr="004C04D4">
              <w:rPr>
                <w:rFonts w:ascii="GHEA Grapalat" w:hAnsi="GHEA Grapalat" w:cs="Arial Unicode"/>
                <w:sz w:val="24"/>
                <w:szCs w:val="24"/>
                <w:shd w:val="clear" w:color="auto" w:fill="FFFFFF"/>
              </w:rPr>
              <w:t>շխատանքի</w:t>
            </w:r>
            <w:r w:rsidRPr="004C04D4">
              <w:rPr>
                <w:rFonts w:ascii="GHEA Grapalat" w:hAnsi="GHEA Grapalat"/>
                <w:sz w:val="24"/>
                <w:szCs w:val="24"/>
                <w:shd w:val="clear" w:color="auto" w:fill="FFFFFF"/>
              </w:rPr>
              <w:t xml:space="preserve"> </w:t>
            </w:r>
            <w:r w:rsidRPr="004C04D4">
              <w:rPr>
                <w:rFonts w:ascii="GHEA Grapalat" w:hAnsi="GHEA Grapalat" w:cs="Arial Unicode"/>
                <w:sz w:val="24"/>
                <w:szCs w:val="24"/>
                <w:shd w:val="clear" w:color="auto" w:fill="FFFFFF"/>
              </w:rPr>
              <w:t>և</w:t>
            </w:r>
            <w:r w:rsidRPr="004C04D4">
              <w:rPr>
                <w:rFonts w:ascii="GHEA Grapalat" w:hAnsi="GHEA Grapalat"/>
                <w:sz w:val="24"/>
                <w:szCs w:val="24"/>
                <w:shd w:val="clear" w:color="auto" w:fill="FFFFFF"/>
              </w:rPr>
              <w:t xml:space="preserve"> </w:t>
            </w:r>
            <w:r w:rsidRPr="004C04D4">
              <w:rPr>
                <w:rFonts w:ascii="GHEA Grapalat" w:hAnsi="GHEA Grapalat" w:cs="Arial Unicode"/>
                <w:sz w:val="24"/>
                <w:szCs w:val="24"/>
                <w:shd w:val="clear" w:color="auto" w:fill="FFFFFF"/>
              </w:rPr>
              <w:t>սոցիալական</w:t>
            </w:r>
            <w:r w:rsidRPr="004C04D4">
              <w:rPr>
                <w:rFonts w:ascii="GHEA Grapalat" w:hAnsi="GHEA Grapalat"/>
                <w:sz w:val="24"/>
                <w:szCs w:val="24"/>
                <w:shd w:val="clear" w:color="auto" w:fill="FFFFFF"/>
              </w:rPr>
              <w:t xml:space="preserve"> </w:t>
            </w:r>
            <w:r w:rsidRPr="004C04D4">
              <w:rPr>
                <w:rFonts w:ascii="GHEA Grapalat" w:hAnsi="GHEA Grapalat" w:cs="Arial Unicode"/>
                <w:sz w:val="24"/>
                <w:szCs w:val="24"/>
                <w:shd w:val="clear" w:color="auto" w:fill="FFFFFF"/>
              </w:rPr>
              <w:t>հարցերի</w:t>
            </w:r>
            <w:r w:rsidRPr="004C04D4">
              <w:rPr>
                <w:rFonts w:ascii="GHEA Grapalat" w:hAnsi="GHEA Grapalat"/>
                <w:sz w:val="24"/>
                <w:szCs w:val="24"/>
                <w:shd w:val="clear" w:color="auto" w:fill="FFFFFF"/>
              </w:rPr>
              <w:t xml:space="preserve"> </w:t>
            </w:r>
            <w:r w:rsidRPr="004C04D4">
              <w:rPr>
                <w:rFonts w:ascii="GHEA Grapalat" w:hAnsi="GHEA Grapalat" w:cs="Arial Unicode"/>
                <w:sz w:val="24"/>
                <w:szCs w:val="24"/>
                <w:shd w:val="clear" w:color="auto" w:fill="FFFFFF"/>
              </w:rPr>
              <w:t>նախարարությունը</w:t>
            </w:r>
            <w:r w:rsidRPr="004C04D4">
              <w:rPr>
                <w:rFonts w:ascii="GHEA Grapalat" w:hAnsi="GHEA Grapalat"/>
                <w:sz w:val="24"/>
                <w:szCs w:val="24"/>
                <w:shd w:val="clear" w:color="auto" w:fill="FFFFFF"/>
              </w:rPr>
              <w:t xml:space="preserve"> </w:t>
            </w:r>
            <w:r w:rsidRPr="004C04D4">
              <w:rPr>
                <w:rFonts w:ascii="GHEA Grapalat" w:hAnsi="GHEA Grapalat" w:cs="Arial Unicode"/>
                <w:sz w:val="24"/>
                <w:szCs w:val="24"/>
                <w:shd w:val="clear" w:color="auto" w:fill="FFFFFF"/>
              </w:rPr>
              <w:t>մշակում</w:t>
            </w:r>
            <w:r w:rsidRPr="004C04D4">
              <w:rPr>
                <w:rFonts w:ascii="GHEA Grapalat" w:hAnsi="GHEA Grapalat"/>
                <w:sz w:val="24"/>
                <w:szCs w:val="24"/>
                <w:shd w:val="clear" w:color="auto" w:fill="FFFFFF"/>
              </w:rPr>
              <w:t xml:space="preserve"> </w:t>
            </w:r>
            <w:r w:rsidRPr="004C04D4">
              <w:rPr>
                <w:rFonts w:ascii="GHEA Grapalat" w:hAnsi="GHEA Grapalat" w:cs="Arial Unicode"/>
                <w:sz w:val="24"/>
                <w:szCs w:val="24"/>
                <w:shd w:val="clear" w:color="auto" w:fill="FFFFFF"/>
              </w:rPr>
              <w:t>և</w:t>
            </w:r>
            <w:r w:rsidRPr="004C04D4">
              <w:rPr>
                <w:rFonts w:ascii="GHEA Grapalat" w:hAnsi="GHEA Grapalat"/>
                <w:sz w:val="24"/>
                <w:szCs w:val="24"/>
                <w:shd w:val="clear" w:color="auto" w:fill="FFFFFF"/>
              </w:rPr>
              <w:t xml:space="preserve"> </w:t>
            </w:r>
            <w:r w:rsidRPr="004C04D4">
              <w:rPr>
                <w:rFonts w:ascii="GHEA Grapalat" w:hAnsi="GHEA Grapalat" w:cs="Arial Unicode"/>
                <w:sz w:val="24"/>
                <w:szCs w:val="24"/>
                <w:shd w:val="clear" w:color="auto" w:fill="FFFFFF"/>
              </w:rPr>
              <w:t>իրականացնում</w:t>
            </w:r>
            <w:r w:rsidRPr="004C04D4">
              <w:rPr>
                <w:rFonts w:ascii="GHEA Grapalat" w:hAnsi="GHEA Grapalat"/>
                <w:sz w:val="24"/>
                <w:szCs w:val="24"/>
                <w:shd w:val="clear" w:color="auto" w:fill="FFFFFF"/>
              </w:rPr>
              <w:t xml:space="preserve"> </w:t>
            </w:r>
            <w:r w:rsidRPr="004C04D4">
              <w:rPr>
                <w:rFonts w:ascii="GHEA Grapalat" w:hAnsi="GHEA Grapalat" w:cs="Arial Unicode"/>
                <w:sz w:val="24"/>
                <w:szCs w:val="24"/>
                <w:shd w:val="clear" w:color="auto" w:fill="FFFFFF"/>
              </w:rPr>
              <w:t>է</w:t>
            </w:r>
            <w:r w:rsidRPr="004C04D4">
              <w:rPr>
                <w:rFonts w:ascii="GHEA Grapalat" w:hAnsi="GHEA Grapalat"/>
                <w:sz w:val="24"/>
                <w:szCs w:val="24"/>
                <w:shd w:val="clear" w:color="auto" w:fill="FFFFFF"/>
              </w:rPr>
              <w:t xml:space="preserve"> </w:t>
            </w:r>
            <w:r w:rsidRPr="004C04D4">
              <w:rPr>
                <w:rFonts w:ascii="GHEA Grapalat" w:hAnsi="GHEA Grapalat" w:cs="Arial Unicode"/>
                <w:sz w:val="24"/>
                <w:szCs w:val="24"/>
                <w:shd w:val="clear" w:color="auto" w:fill="FFFFFF"/>
              </w:rPr>
              <w:t>աշխատանքի</w:t>
            </w:r>
            <w:r w:rsidRPr="004C04D4">
              <w:rPr>
                <w:rFonts w:ascii="GHEA Grapalat" w:hAnsi="GHEA Grapalat"/>
                <w:sz w:val="24"/>
                <w:szCs w:val="24"/>
                <w:shd w:val="clear" w:color="auto" w:fill="FFFFFF"/>
              </w:rPr>
              <w:t xml:space="preserve"> </w:t>
            </w:r>
            <w:r w:rsidRPr="004C04D4">
              <w:rPr>
                <w:rFonts w:ascii="GHEA Grapalat" w:hAnsi="GHEA Grapalat" w:cs="Arial Unicode"/>
                <w:sz w:val="24"/>
                <w:szCs w:val="24"/>
                <w:shd w:val="clear" w:color="auto" w:fill="FFFFFF"/>
              </w:rPr>
              <w:t>և</w:t>
            </w:r>
            <w:r w:rsidRPr="004C04D4">
              <w:rPr>
                <w:rFonts w:ascii="GHEA Grapalat" w:hAnsi="GHEA Grapalat"/>
                <w:sz w:val="24"/>
                <w:szCs w:val="24"/>
                <w:shd w:val="clear" w:color="auto" w:fill="FFFFFF"/>
              </w:rPr>
              <w:t xml:space="preserve"> </w:t>
            </w:r>
            <w:r w:rsidRPr="004C04D4">
              <w:rPr>
                <w:rFonts w:ascii="GHEA Grapalat" w:hAnsi="GHEA Grapalat" w:cs="Arial Unicode"/>
                <w:sz w:val="24"/>
                <w:szCs w:val="24"/>
                <w:shd w:val="clear" w:color="auto" w:fill="FFFFFF"/>
              </w:rPr>
              <w:t>սոցիալական</w:t>
            </w:r>
            <w:r w:rsidRPr="004C04D4">
              <w:rPr>
                <w:rFonts w:ascii="GHEA Grapalat" w:hAnsi="GHEA Grapalat"/>
                <w:sz w:val="24"/>
                <w:szCs w:val="24"/>
                <w:shd w:val="clear" w:color="auto" w:fill="FFFFFF"/>
              </w:rPr>
              <w:t xml:space="preserve"> </w:t>
            </w:r>
            <w:r w:rsidRPr="004C04D4">
              <w:rPr>
                <w:rFonts w:ascii="GHEA Grapalat" w:hAnsi="GHEA Grapalat" w:cs="Arial Unicode"/>
                <w:sz w:val="24"/>
                <w:szCs w:val="24"/>
                <w:shd w:val="clear" w:color="auto" w:fill="FFFFFF"/>
              </w:rPr>
              <w:t>պաշտպանության</w:t>
            </w:r>
            <w:r w:rsidRPr="004C04D4">
              <w:rPr>
                <w:rFonts w:ascii="GHEA Grapalat" w:hAnsi="GHEA Grapalat"/>
                <w:sz w:val="24"/>
                <w:szCs w:val="24"/>
                <w:shd w:val="clear" w:color="auto" w:fill="FFFFFF"/>
              </w:rPr>
              <w:t xml:space="preserve">, </w:t>
            </w:r>
            <w:r w:rsidRPr="004C04D4">
              <w:rPr>
                <w:rFonts w:ascii="GHEA Grapalat" w:hAnsi="GHEA Grapalat" w:cs="Arial Unicode"/>
                <w:sz w:val="24"/>
                <w:szCs w:val="24"/>
                <w:shd w:val="clear" w:color="auto" w:fill="FFFFFF"/>
              </w:rPr>
              <w:t>բնակչության</w:t>
            </w:r>
            <w:r w:rsidRPr="004C04D4">
              <w:rPr>
                <w:rFonts w:ascii="GHEA Grapalat" w:hAnsi="GHEA Grapalat"/>
                <w:sz w:val="24"/>
                <w:szCs w:val="24"/>
                <w:shd w:val="clear" w:color="auto" w:fill="FFFFFF"/>
              </w:rPr>
              <w:t xml:space="preserve"> </w:t>
            </w:r>
            <w:r w:rsidRPr="004C04D4">
              <w:rPr>
                <w:rFonts w:ascii="GHEA Grapalat" w:hAnsi="GHEA Grapalat" w:cs="Arial Unicode"/>
                <w:sz w:val="24"/>
                <w:szCs w:val="24"/>
                <w:shd w:val="clear" w:color="auto" w:fill="FFFFFF"/>
              </w:rPr>
              <w:t>զբաղվածության</w:t>
            </w:r>
            <w:r w:rsidRPr="004C04D4">
              <w:rPr>
                <w:rFonts w:ascii="GHEA Grapalat" w:hAnsi="GHEA Grapalat"/>
                <w:sz w:val="24"/>
                <w:szCs w:val="24"/>
                <w:shd w:val="clear" w:color="auto" w:fill="FFFFFF"/>
              </w:rPr>
              <w:t xml:space="preserve"> </w:t>
            </w:r>
            <w:r w:rsidRPr="004C04D4">
              <w:rPr>
                <w:rFonts w:ascii="GHEA Grapalat" w:hAnsi="GHEA Grapalat" w:cs="Arial Unicode"/>
                <w:sz w:val="24"/>
                <w:szCs w:val="24"/>
                <w:shd w:val="clear" w:color="auto" w:fill="FFFFFF"/>
              </w:rPr>
              <w:t>և</w:t>
            </w:r>
            <w:r w:rsidRPr="004C04D4">
              <w:rPr>
                <w:rFonts w:ascii="GHEA Grapalat" w:hAnsi="GHEA Grapalat"/>
                <w:sz w:val="24"/>
                <w:szCs w:val="24"/>
                <w:shd w:val="clear" w:color="auto" w:fill="FFFFFF"/>
              </w:rPr>
              <w:t xml:space="preserve"> </w:t>
            </w:r>
            <w:r w:rsidRPr="004C04D4">
              <w:rPr>
                <w:rFonts w:ascii="GHEA Grapalat" w:hAnsi="GHEA Grapalat" w:cs="Arial Unicode"/>
                <w:sz w:val="24"/>
                <w:szCs w:val="24"/>
                <w:shd w:val="clear" w:color="auto" w:fill="FFFFFF"/>
              </w:rPr>
              <w:t>ժամանակավոր</w:t>
            </w:r>
            <w:r w:rsidRPr="004C04D4">
              <w:rPr>
                <w:rFonts w:ascii="GHEA Grapalat" w:hAnsi="GHEA Grapalat"/>
                <w:sz w:val="24"/>
                <w:szCs w:val="24"/>
                <w:shd w:val="clear" w:color="auto" w:fill="FFFFFF"/>
              </w:rPr>
              <w:t xml:space="preserve"> </w:t>
            </w:r>
            <w:r w:rsidRPr="004C04D4">
              <w:rPr>
                <w:rFonts w:ascii="GHEA Grapalat" w:hAnsi="GHEA Grapalat" w:cs="Arial Unicode"/>
                <w:sz w:val="24"/>
                <w:szCs w:val="24"/>
                <w:shd w:val="clear" w:color="auto" w:fill="FFFFFF"/>
              </w:rPr>
              <w:t>անաշխատունակության</w:t>
            </w:r>
            <w:r w:rsidRPr="004C04D4">
              <w:rPr>
                <w:rFonts w:ascii="GHEA Grapalat" w:hAnsi="GHEA Grapalat"/>
                <w:sz w:val="24"/>
                <w:szCs w:val="24"/>
                <w:shd w:val="clear" w:color="auto" w:fill="FFFFFF"/>
              </w:rPr>
              <w:t xml:space="preserve"> </w:t>
            </w:r>
            <w:r w:rsidRPr="004C04D4">
              <w:rPr>
                <w:rFonts w:ascii="GHEA Grapalat" w:hAnsi="GHEA Grapalat" w:cs="Arial Unicode"/>
                <w:sz w:val="24"/>
                <w:szCs w:val="24"/>
                <w:shd w:val="clear" w:color="auto" w:fill="FFFFFF"/>
              </w:rPr>
              <w:t>դեպքում</w:t>
            </w:r>
            <w:r w:rsidRPr="004C04D4">
              <w:rPr>
                <w:rFonts w:ascii="GHEA Grapalat" w:hAnsi="GHEA Grapalat"/>
                <w:sz w:val="24"/>
                <w:szCs w:val="24"/>
                <w:shd w:val="clear" w:color="auto" w:fill="FFFFFF"/>
              </w:rPr>
              <w:t xml:space="preserve"> </w:t>
            </w:r>
            <w:r w:rsidRPr="004C04D4">
              <w:rPr>
                <w:rFonts w:ascii="GHEA Grapalat" w:hAnsi="GHEA Grapalat" w:cs="Arial Unicode"/>
                <w:sz w:val="24"/>
                <w:szCs w:val="24"/>
                <w:shd w:val="clear" w:color="auto" w:fill="FFFFFF"/>
              </w:rPr>
              <w:t>սոցիալական</w:t>
            </w:r>
            <w:r w:rsidRPr="004C04D4">
              <w:rPr>
                <w:rFonts w:ascii="GHEA Grapalat" w:hAnsi="GHEA Grapalat"/>
                <w:sz w:val="24"/>
                <w:szCs w:val="24"/>
                <w:shd w:val="clear" w:color="auto" w:fill="FFFFFF"/>
              </w:rPr>
              <w:t xml:space="preserve"> </w:t>
            </w:r>
            <w:r w:rsidRPr="004C04D4">
              <w:rPr>
                <w:rFonts w:ascii="GHEA Grapalat" w:hAnsi="GHEA Grapalat" w:cs="Arial Unicode"/>
                <w:sz w:val="24"/>
                <w:szCs w:val="24"/>
                <w:shd w:val="clear" w:color="auto" w:fill="FFFFFF"/>
              </w:rPr>
              <w:t>ապահովության</w:t>
            </w:r>
            <w:r w:rsidRPr="004C04D4">
              <w:rPr>
                <w:rFonts w:ascii="GHEA Grapalat" w:hAnsi="GHEA Grapalat"/>
                <w:sz w:val="24"/>
                <w:szCs w:val="24"/>
                <w:shd w:val="clear" w:color="auto" w:fill="FFFFFF"/>
              </w:rPr>
              <w:t xml:space="preserve">, </w:t>
            </w:r>
            <w:r w:rsidRPr="004C04D4">
              <w:rPr>
                <w:rFonts w:ascii="GHEA Grapalat" w:hAnsi="GHEA Grapalat" w:cs="Arial Unicode"/>
                <w:sz w:val="24"/>
                <w:szCs w:val="24"/>
                <w:shd w:val="clear" w:color="auto" w:fill="FFFFFF"/>
              </w:rPr>
              <w:t>պ</w:t>
            </w:r>
            <w:r w:rsidRPr="004C04D4">
              <w:rPr>
                <w:rFonts w:ascii="GHEA Grapalat" w:hAnsi="GHEA Grapalat"/>
                <w:sz w:val="24"/>
                <w:szCs w:val="24"/>
                <w:shd w:val="clear" w:color="auto" w:fill="FFFFFF"/>
              </w:rPr>
              <w:t xml:space="preserve">ետական կենսաթոշակային ապահովության, սոցիալական աջակցության, ինտեգրված սոցիալական ծառայությունների տրամադրման, սոցիալական բնակարանային ֆոնդի ձևավորման, ժողովրդագրական պետական քաղաքականության, ընտանիքի, կանանց և </w:t>
            </w:r>
            <w:r w:rsidRPr="004C04D4">
              <w:rPr>
                <w:rFonts w:ascii="GHEA Grapalat" w:hAnsi="GHEA Grapalat"/>
                <w:sz w:val="24"/>
                <w:szCs w:val="24"/>
                <w:shd w:val="clear" w:color="auto" w:fill="FFFFFF"/>
              </w:rPr>
              <w:lastRenderedPageBreak/>
              <w:t xml:space="preserve">երեխաների սոցիալական պաշտպանության, </w:t>
            </w:r>
            <w:r w:rsidRPr="004C04D4">
              <w:rPr>
                <w:rFonts w:ascii="GHEA Grapalat" w:hAnsi="GHEA Grapalat"/>
                <w:b/>
                <w:sz w:val="24"/>
                <w:szCs w:val="24"/>
                <w:shd w:val="clear" w:color="auto" w:fill="FFFFFF"/>
              </w:rPr>
              <w:t>հաշմանդամություն ունեցող անձանց</w:t>
            </w:r>
            <w:r w:rsidRPr="004C04D4">
              <w:rPr>
                <w:rFonts w:ascii="GHEA Grapalat" w:hAnsi="GHEA Grapalat"/>
                <w:sz w:val="24"/>
                <w:szCs w:val="24"/>
                <w:shd w:val="clear" w:color="auto" w:fill="FFFFFF"/>
              </w:rPr>
              <w:t xml:space="preserve"> և տարեցների սոցիալական պաշտպանության ոլորտներում Կառավարության քաղաքականությունը:</w:t>
            </w:r>
          </w:p>
        </w:tc>
      </w:tr>
      <w:tr w:rsidR="00D71E2E" w:rsidRPr="004C04D4" w:rsidTr="00754C3E">
        <w:tc>
          <w:tcPr>
            <w:tcW w:w="630" w:type="dxa"/>
          </w:tcPr>
          <w:p w:rsidR="00D71E2E" w:rsidRPr="004C04D4" w:rsidRDefault="00D71E2E">
            <w:pPr>
              <w:tabs>
                <w:tab w:val="left" w:pos="4768"/>
              </w:tabs>
              <w:spacing w:before="200" w:line="276" w:lineRule="auto"/>
              <w:jc w:val="center"/>
              <w:rPr>
                <w:rFonts w:ascii="GHEA Grapalat" w:eastAsia="Arial" w:hAnsi="GHEA Grapalat" w:cs="Arial"/>
                <w:sz w:val="24"/>
                <w:szCs w:val="24"/>
              </w:rPr>
            </w:pPr>
          </w:p>
        </w:tc>
        <w:tc>
          <w:tcPr>
            <w:tcW w:w="7410" w:type="dxa"/>
          </w:tcPr>
          <w:p w:rsidR="00D71E2E" w:rsidRPr="004C04D4" w:rsidRDefault="00CA287E">
            <w:pPr>
              <w:numPr>
                <w:ilvl w:val="0"/>
                <w:numId w:val="1"/>
              </w:numPr>
              <w:tabs>
                <w:tab w:val="left" w:pos="284"/>
              </w:tabs>
              <w:spacing w:before="200" w:after="160" w:line="276" w:lineRule="auto"/>
              <w:rPr>
                <w:rFonts w:ascii="GHEA Grapalat" w:eastAsia="GHEA Grapalat" w:hAnsi="GHEA Grapalat" w:cs="GHEA Grapalat"/>
                <w:sz w:val="24"/>
                <w:szCs w:val="24"/>
              </w:rPr>
            </w:pPr>
            <w:r w:rsidRPr="004C04D4">
              <w:rPr>
                <w:rFonts w:ascii="GHEA Grapalat" w:eastAsia="Tahoma" w:hAnsi="GHEA Grapalat" w:cs="Tahoma"/>
                <w:sz w:val="24"/>
                <w:szCs w:val="24"/>
              </w:rPr>
              <w:t xml:space="preserve">Նախագծի 13-րդ հոդվածի 1-ին մասի 1-ին նախադասությամբ և 3-րդ մասով </w:t>
            </w:r>
            <w:r w:rsidRPr="004C04D4">
              <w:rPr>
                <w:rFonts w:ascii="GHEA Grapalat" w:eastAsia="Tahoma" w:hAnsi="GHEA Grapalat" w:cs="Tahoma"/>
                <w:i/>
                <w:sz w:val="24"/>
                <w:szCs w:val="24"/>
              </w:rPr>
              <w:t>(որոնք կրկնում են միմյանց)</w:t>
            </w:r>
            <w:r w:rsidRPr="004C04D4">
              <w:rPr>
                <w:rFonts w:ascii="GHEA Grapalat" w:eastAsia="Tahoma" w:hAnsi="GHEA Grapalat" w:cs="Tahoma"/>
                <w:sz w:val="24"/>
                <w:szCs w:val="24"/>
              </w:rPr>
              <w:t xml:space="preserve">, որպես Ազգային հանձնաժողովի </w:t>
            </w:r>
            <w:r w:rsidRPr="004C04D4">
              <w:rPr>
                <w:rFonts w:ascii="GHEA Grapalat" w:eastAsia="Tahoma" w:hAnsi="GHEA Grapalat" w:cs="Tahoma"/>
                <w:i/>
                <w:sz w:val="24"/>
                <w:szCs w:val="24"/>
              </w:rPr>
              <w:t>(խորհրդակցական մարմին</w:t>
            </w:r>
            <w:r w:rsidRPr="004C04D4">
              <w:rPr>
                <w:rFonts w:ascii="GHEA Grapalat" w:eastAsia="Tahoma" w:hAnsi="GHEA Grapalat" w:cs="Tahoma"/>
                <w:sz w:val="24"/>
                <w:szCs w:val="24"/>
              </w:rPr>
              <w:t xml:space="preserve">) ստեղծման նպատակ նշվում է վերջինիս կողմից հաշմանդամություն ունեցող անձանց իրավունքների ապահովման, խթանման և պաշտպանության պետական </w:t>
            </w:r>
            <w:r w:rsidRPr="004C04D4">
              <w:rPr>
                <w:rFonts w:ascii="GHEA Grapalat" w:eastAsia="Tahoma" w:hAnsi="GHEA Grapalat" w:cs="Tahoma"/>
                <w:b/>
                <w:i/>
                <w:sz w:val="24"/>
                <w:szCs w:val="24"/>
              </w:rPr>
              <w:t>քաղաքականությանն աջակցելը</w:t>
            </w:r>
            <w:r w:rsidRPr="004C04D4">
              <w:rPr>
                <w:rFonts w:ascii="GHEA Grapalat" w:eastAsia="Tahoma" w:hAnsi="GHEA Grapalat" w:cs="Tahoma"/>
                <w:sz w:val="24"/>
                <w:szCs w:val="24"/>
              </w:rPr>
              <w:t>, ինչը խնդրահարույց ենք համարում Օրենքի կարգավորումների և տրամաբանության համատեքստում, որով խորհրդակցական մարմիններին վերապահված չէ քաղաքականությանն աջակցելու գործառույթ:</w:t>
            </w:r>
          </w:p>
        </w:tc>
        <w:tc>
          <w:tcPr>
            <w:tcW w:w="7215" w:type="dxa"/>
          </w:tcPr>
          <w:p w:rsidR="00D71E2E" w:rsidRPr="004C04D4" w:rsidRDefault="00CA287E">
            <w:pPr>
              <w:spacing w:before="200" w:line="276" w:lineRule="auto"/>
              <w:jc w:val="both"/>
              <w:rPr>
                <w:rFonts w:ascii="GHEA Grapalat" w:eastAsia="Arial" w:hAnsi="GHEA Grapalat" w:cs="Arial"/>
                <w:sz w:val="24"/>
                <w:szCs w:val="24"/>
                <w:lang w:val="en-US"/>
              </w:rPr>
            </w:pPr>
            <w:r w:rsidRPr="004C04D4">
              <w:rPr>
                <w:rFonts w:ascii="GHEA Grapalat" w:eastAsia="Tahoma" w:hAnsi="GHEA Grapalat" w:cs="Tahoma"/>
                <w:sz w:val="24"/>
                <w:szCs w:val="24"/>
              </w:rPr>
              <w:t>Ընդունվել է։</w:t>
            </w:r>
            <w:r w:rsidR="00CC3CB9" w:rsidRPr="004C04D4">
              <w:rPr>
                <w:rFonts w:ascii="GHEA Grapalat" w:eastAsia="Tahoma" w:hAnsi="GHEA Grapalat" w:cs="Tahoma"/>
                <w:sz w:val="24"/>
                <w:szCs w:val="24"/>
                <w:lang w:val="en-US"/>
              </w:rPr>
              <w:t xml:space="preserve"> </w:t>
            </w:r>
          </w:p>
        </w:tc>
      </w:tr>
      <w:tr w:rsidR="00D71E2E" w:rsidRPr="004C04D4" w:rsidTr="00754C3E">
        <w:tc>
          <w:tcPr>
            <w:tcW w:w="630" w:type="dxa"/>
          </w:tcPr>
          <w:p w:rsidR="00D71E2E" w:rsidRPr="004C04D4" w:rsidRDefault="00D71E2E">
            <w:pPr>
              <w:tabs>
                <w:tab w:val="left" w:pos="4768"/>
              </w:tabs>
              <w:spacing w:before="200" w:line="276" w:lineRule="auto"/>
              <w:jc w:val="center"/>
              <w:rPr>
                <w:rFonts w:ascii="GHEA Grapalat" w:eastAsia="Arial" w:hAnsi="GHEA Grapalat" w:cs="Arial"/>
                <w:sz w:val="24"/>
                <w:szCs w:val="24"/>
              </w:rPr>
            </w:pPr>
          </w:p>
        </w:tc>
        <w:tc>
          <w:tcPr>
            <w:tcW w:w="7410" w:type="dxa"/>
          </w:tcPr>
          <w:p w:rsidR="00D71E2E" w:rsidRPr="004C04D4" w:rsidRDefault="00CA287E">
            <w:pPr>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t xml:space="preserve">12. Նախագծի 36-րդ (21-րդ) հոդվածի </w:t>
            </w:r>
            <w:r w:rsidRPr="004C04D4">
              <w:rPr>
                <w:rFonts w:ascii="GHEA Grapalat" w:eastAsia="Tahoma" w:hAnsi="GHEA Grapalat" w:cs="Tahoma"/>
                <w:i/>
                <w:sz w:val="24"/>
                <w:szCs w:val="24"/>
              </w:rPr>
              <w:t xml:space="preserve">(Խելամիտ հարմարեցումների ապահովումը) </w:t>
            </w:r>
            <w:r w:rsidRPr="004C04D4">
              <w:rPr>
                <w:rFonts w:ascii="GHEA Grapalat" w:eastAsia="Tahoma" w:hAnsi="GHEA Grapalat" w:cs="Tahoma"/>
                <w:sz w:val="24"/>
                <w:szCs w:val="24"/>
              </w:rPr>
              <w:t>4-րդ մասով կառավարությանն իրավասություն է վերապահվում</w:t>
            </w:r>
            <w:r w:rsidRPr="004C04D4">
              <w:rPr>
                <w:rFonts w:ascii="GHEA Grapalat" w:eastAsia="Arial" w:hAnsi="GHEA Grapalat" w:cs="Arial"/>
                <w:b/>
                <w:sz w:val="24"/>
                <w:szCs w:val="24"/>
              </w:rPr>
              <w:t xml:space="preserve"> </w:t>
            </w:r>
            <w:r w:rsidRPr="004C04D4">
              <w:rPr>
                <w:rFonts w:ascii="GHEA Grapalat" w:eastAsia="Tahoma" w:hAnsi="GHEA Grapalat" w:cs="Tahoma"/>
                <w:sz w:val="24"/>
                <w:szCs w:val="24"/>
              </w:rPr>
              <w:t xml:space="preserve">խելամիտ հարմարեցումների ապահովման կարգը և պայմանները սահմանելու, սակայն նույն հոդվածի 1-ին, 2-րդ մասերով սահմանվում է </w:t>
            </w:r>
            <w:r w:rsidRPr="004C04D4">
              <w:rPr>
                <w:rFonts w:ascii="GHEA Grapalat" w:eastAsia="Tahoma" w:hAnsi="GHEA Grapalat" w:cs="Tahoma"/>
                <w:b/>
                <w:i/>
                <w:sz w:val="24"/>
                <w:szCs w:val="24"/>
              </w:rPr>
              <w:t>աշխատավայրում կամ ուսումնական հաստատությունում</w:t>
            </w:r>
            <w:r w:rsidRPr="004C04D4">
              <w:rPr>
                <w:rFonts w:ascii="GHEA Grapalat" w:eastAsia="Tahoma" w:hAnsi="GHEA Grapalat" w:cs="Tahoma"/>
                <w:sz w:val="24"/>
                <w:szCs w:val="24"/>
              </w:rPr>
              <w:t xml:space="preserve"> հաշմանդամություն ունեցող անձի կամ նրա օրինական ներկայացուցչի </w:t>
            </w:r>
            <w:r w:rsidRPr="004C04D4">
              <w:rPr>
                <w:rFonts w:ascii="GHEA Grapalat" w:eastAsia="Tahoma" w:hAnsi="GHEA Grapalat" w:cs="Tahoma"/>
                <w:b/>
                <w:i/>
                <w:sz w:val="24"/>
                <w:szCs w:val="24"/>
              </w:rPr>
              <w:t>դիմումի հիման վրա</w:t>
            </w:r>
            <w:r w:rsidRPr="004C04D4">
              <w:rPr>
                <w:rFonts w:ascii="GHEA Grapalat" w:eastAsia="Arial" w:hAnsi="GHEA Grapalat" w:cs="Arial"/>
                <w:sz w:val="24"/>
                <w:szCs w:val="24"/>
              </w:rPr>
              <w:t xml:space="preserve"> </w:t>
            </w:r>
            <w:r w:rsidRPr="004C04D4">
              <w:rPr>
                <w:rFonts w:ascii="GHEA Grapalat" w:eastAsia="Tahoma" w:hAnsi="GHEA Grapalat" w:cs="Tahoma"/>
                <w:b/>
                <w:i/>
                <w:sz w:val="24"/>
                <w:szCs w:val="24"/>
              </w:rPr>
              <w:t>համապատասխան պայմանագրերով</w:t>
            </w:r>
            <w:r w:rsidRPr="004C04D4">
              <w:rPr>
                <w:rFonts w:ascii="GHEA Grapalat" w:eastAsia="Tahoma" w:hAnsi="GHEA Grapalat" w:cs="Tahoma"/>
                <w:sz w:val="24"/>
                <w:szCs w:val="24"/>
              </w:rPr>
              <w:t xml:space="preserve"> խելամիտ </w:t>
            </w:r>
            <w:r w:rsidRPr="004C04D4">
              <w:rPr>
                <w:rFonts w:ascii="GHEA Grapalat" w:eastAsia="Tahoma" w:hAnsi="GHEA Grapalat" w:cs="Tahoma"/>
                <w:sz w:val="24"/>
                <w:szCs w:val="24"/>
              </w:rPr>
              <w:lastRenderedPageBreak/>
              <w:t xml:space="preserve">հարմարեցումներին առնչվող հարցեր սահմանելու և օբյեկտիվ հիմնավորմամբ խելամիտ հարմարեցումներ չիրականացնելու հնարավորությունը, ինչը ներքին տրամաբանական հակասություն է առաջացնում, քանի որ, եթե որևէ իրավահարաբերություն պայմանագրային կարգով ենթակա է կարգավորման երրորդ անձանց միջև, ապա պարզ չէ պետության միջամտության կարգավորիչ դերը: </w:t>
            </w:r>
          </w:p>
          <w:p w:rsidR="00D71E2E" w:rsidRPr="004C04D4" w:rsidRDefault="00CA287E">
            <w:pPr>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t xml:space="preserve">Հիշյալ հոդվածում գործատուն կամ ուսումնական հաստատության ղեկավարը դիտակվում են որպես </w:t>
            </w:r>
            <w:r w:rsidRPr="004C04D4">
              <w:rPr>
                <w:rFonts w:ascii="GHEA Grapalat" w:eastAsia="Tahoma" w:hAnsi="GHEA Grapalat" w:cs="Tahoma"/>
                <w:i/>
                <w:sz w:val="24"/>
                <w:szCs w:val="24"/>
              </w:rPr>
              <w:t>պարտականություն կրողներ</w:t>
            </w:r>
            <w:r w:rsidRPr="004C04D4">
              <w:rPr>
                <w:rFonts w:ascii="GHEA Grapalat" w:eastAsia="Tahoma" w:hAnsi="GHEA Grapalat" w:cs="Tahoma"/>
                <w:sz w:val="24"/>
                <w:szCs w:val="24"/>
              </w:rPr>
              <w:t xml:space="preserve">, սակայն պարտականության բովանդակությունը </w:t>
            </w:r>
            <w:r w:rsidRPr="004C04D4">
              <w:rPr>
                <w:rFonts w:ascii="GHEA Grapalat" w:eastAsia="Tahoma" w:hAnsi="GHEA Grapalat" w:cs="Tahoma"/>
                <w:i/>
                <w:sz w:val="24"/>
                <w:szCs w:val="24"/>
              </w:rPr>
              <w:t>(պայմանները)</w:t>
            </w:r>
            <w:r w:rsidRPr="004C04D4">
              <w:rPr>
                <w:rFonts w:ascii="GHEA Grapalat" w:eastAsia="Tahoma" w:hAnsi="GHEA Grapalat" w:cs="Tahoma"/>
                <w:sz w:val="24"/>
                <w:szCs w:val="24"/>
              </w:rPr>
              <w:t xml:space="preserve"> ամրագրվելու է ՀՀ կառավարության որոշմամբ, ինչի հետ կապված անհրաժեշտ ենք համարում հիշատակել Սահմանադրության 39-րդ հոդվածը, համաձայն որի՝ </w:t>
            </w:r>
            <w:r w:rsidRPr="004C04D4">
              <w:rPr>
                <w:rFonts w:ascii="GHEA Grapalat" w:eastAsia="Tahoma" w:hAnsi="GHEA Grapalat" w:cs="Tahoma"/>
                <w:i/>
                <w:sz w:val="24"/>
                <w:szCs w:val="24"/>
              </w:rPr>
              <w:t>ո</w:t>
            </w:r>
            <w:r w:rsidRPr="004C04D4">
              <w:rPr>
                <w:rFonts w:ascii="GHEA Grapalat" w:eastAsia="Tahoma" w:hAnsi="GHEA Grapalat" w:cs="Tahoma"/>
                <w:i/>
                <w:sz w:val="24"/>
                <w:szCs w:val="24"/>
                <w:highlight w:val="white"/>
              </w:rPr>
              <w:t>չ ոք չի կարող կրել պարտականություններ, որոնք սահմանված չեն օրենքով:</w:t>
            </w:r>
          </w:p>
        </w:tc>
        <w:tc>
          <w:tcPr>
            <w:tcW w:w="7215" w:type="dxa"/>
          </w:tcPr>
          <w:p w:rsidR="00D71E2E" w:rsidRPr="004C04D4" w:rsidRDefault="00AA346A" w:rsidP="00AA346A">
            <w:pPr>
              <w:spacing w:before="200" w:line="276" w:lineRule="auto"/>
              <w:jc w:val="both"/>
              <w:rPr>
                <w:rFonts w:ascii="GHEA Grapalat" w:eastAsia="Arial" w:hAnsi="GHEA Grapalat" w:cs="Arial"/>
                <w:sz w:val="24"/>
                <w:szCs w:val="24"/>
              </w:rPr>
            </w:pPr>
            <w:r w:rsidRPr="00754C3E">
              <w:rPr>
                <w:rFonts w:ascii="GHEA Grapalat" w:eastAsia="Tahoma" w:hAnsi="GHEA Grapalat" w:cs="Tahoma"/>
                <w:sz w:val="24"/>
                <w:szCs w:val="24"/>
              </w:rPr>
              <w:lastRenderedPageBreak/>
              <w:t>Ը</w:t>
            </w:r>
            <w:r w:rsidR="00CA287E" w:rsidRPr="004C04D4">
              <w:rPr>
                <w:rFonts w:ascii="GHEA Grapalat" w:eastAsia="Tahoma" w:hAnsi="GHEA Grapalat" w:cs="Tahoma"/>
                <w:sz w:val="24"/>
                <w:szCs w:val="24"/>
              </w:rPr>
              <w:t>նդունվել</w:t>
            </w:r>
            <w:r w:rsidRPr="00754C3E">
              <w:rPr>
                <w:rFonts w:ascii="GHEA Grapalat" w:eastAsia="Tahoma" w:hAnsi="GHEA Grapalat" w:cs="Tahoma"/>
                <w:sz w:val="24"/>
                <w:szCs w:val="24"/>
              </w:rPr>
              <w:t xml:space="preserve"> է</w:t>
            </w:r>
            <w:r w:rsidR="00CA287E" w:rsidRPr="004C04D4">
              <w:rPr>
                <w:rFonts w:ascii="GHEA Grapalat" w:eastAsia="Tahoma" w:hAnsi="GHEA Grapalat" w:cs="Tahoma"/>
                <w:sz w:val="24"/>
                <w:szCs w:val="24"/>
              </w:rPr>
              <w:t>: Նախագծի 21-րդ հոդված</w:t>
            </w:r>
            <w:r w:rsidRPr="00754C3E">
              <w:rPr>
                <w:rFonts w:ascii="GHEA Grapalat" w:eastAsia="Tahoma" w:hAnsi="GHEA Grapalat" w:cs="Tahoma"/>
                <w:sz w:val="24"/>
                <w:szCs w:val="24"/>
              </w:rPr>
              <w:t>ը խմբագրվել է:</w:t>
            </w:r>
            <w:r w:rsidR="00CA287E" w:rsidRPr="004C04D4">
              <w:rPr>
                <w:rFonts w:ascii="GHEA Grapalat" w:eastAsia="Tahoma" w:hAnsi="GHEA Grapalat" w:cs="Tahoma"/>
                <w:color w:val="FF0000"/>
                <w:sz w:val="24"/>
                <w:szCs w:val="24"/>
              </w:rPr>
              <w:t xml:space="preserve"> </w:t>
            </w:r>
          </w:p>
        </w:tc>
      </w:tr>
      <w:tr w:rsidR="00D71E2E" w:rsidRPr="004C04D4" w:rsidTr="00754C3E">
        <w:tc>
          <w:tcPr>
            <w:tcW w:w="630" w:type="dxa"/>
          </w:tcPr>
          <w:p w:rsidR="00D71E2E" w:rsidRPr="004C04D4" w:rsidRDefault="00D71E2E">
            <w:pPr>
              <w:tabs>
                <w:tab w:val="left" w:pos="4768"/>
              </w:tabs>
              <w:spacing w:before="200" w:line="276" w:lineRule="auto"/>
              <w:jc w:val="center"/>
              <w:rPr>
                <w:rFonts w:ascii="GHEA Grapalat" w:eastAsia="Arial" w:hAnsi="GHEA Grapalat" w:cs="Arial"/>
                <w:sz w:val="24"/>
                <w:szCs w:val="24"/>
              </w:rPr>
            </w:pPr>
          </w:p>
        </w:tc>
        <w:tc>
          <w:tcPr>
            <w:tcW w:w="7410" w:type="dxa"/>
          </w:tcPr>
          <w:p w:rsidR="00D71E2E" w:rsidRPr="004C04D4" w:rsidRDefault="00CA287E">
            <w:pPr>
              <w:spacing w:before="200" w:line="276" w:lineRule="auto"/>
              <w:jc w:val="both"/>
              <w:rPr>
                <w:rFonts w:ascii="GHEA Grapalat" w:eastAsia="Arial" w:hAnsi="GHEA Grapalat" w:cs="Arial"/>
                <w:i/>
                <w:sz w:val="24"/>
                <w:szCs w:val="24"/>
              </w:rPr>
            </w:pPr>
            <w:r w:rsidRPr="004C04D4">
              <w:rPr>
                <w:rFonts w:ascii="GHEA Grapalat" w:eastAsia="Tahoma" w:hAnsi="GHEA Grapalat" w:cs="Tahoma"/>
                <w:sz w:val="24"/>
                <w:szCs w:val="24"/>
              </w:rPr>
              <w:t>13. Նախագծի 3-րդ հոդվածի 13-րդ կետի և 37-րդ (22-րդ) հոդվածի 4-րդ մասի համադրման արդյունքում, ստացվում է հետևյալ պատկերը՝</w:t>
            </w:r>
          </w:p>
          <w:p w:rsidR="00D71E2E" w:rsidRPr="004C04D4" w:rsidRDefault="00CA287E">
            <w:pPr>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t xml:space="preserve">1) հաշմանդամություն ունեցող անձը կարող է ունենալ </w:t>
            </w:r>
            <w:r w:rsidRPr="004C04D4">
              <w:rPr>
                <w:rFonts w:ascii="GHEA Grapalat" w:eastAsia="Tahoma" w:hAnsi="GHEA Grapalat" w:cs="Tahoma"/>
                <w:b/>
                <w:i/>
                <w:sz w:val="24"/>
                <w:szCs w:val="24"/>
              </w:rPr>
              <w:t xml:space="preserve">անձնական օգնական՝ անհատույց </w:t>
            </w:r>
            <w:r w:rsidRPr="004C04D4">
              <w:rPr>
                <w:rFonts w:ascii="GHEA Grapalat" w:eastAsia="Tahoma" w:hAnsi="GHEA Grapalat" w:cs="Tahoma"/>
                <w:i/>
                <w:sz w:val="24"/>
                <w:szCs w:val="24"/>
              </w:rPr>
              <w:t>կամ վճարովի</w:t>
            </w:r>
            <w:r w:rsidRPr="004C04D4">
              <w:rPr>
                <w:rFonts w:ascii="GHEA Grapalat" w:eastAsia="Tahoma" w:hAnsi="GHEA Grapalat" w:cs="Tahoma"/>
                <w:b/>
                <w:i/>
                <w:sz w:val="24"/>
                <w:szCs w:val="24"/>
              </w:rPr>
              <w:t xml:space="preserve"> հիմունքներով</w:t>
            </w:r>
            <w:r w:rsidRPr="004C04D4">
              <w:rPr>
                <w:rFonts w:ascii="GHEA Grapalat" w:eastAsia="Arial" w:hAnsi="GHEA Grapalat" w:cs="Arial"/>
                <w:i/>
                <w:sz w:val="24"/>
                <w:szCs w:val="24"/>
              </w:rPr>
              <w:t>,</w:t>
            </w:r>
            <w:r w:rsidRPr="004C04D4">
              <w:rPr>
                <w:rFonts w:ascii="GHEA Grapalat" w:eastAsia="Tahoma" w:hAnsi="GHEA Grapalat" w:cs="Tahoma"/>
                <w:sz w:val="24"/>
                <w:szCs w:val="24"/>
              </w:rPr>
              <w:t xml:space="preserve"> որը ծառայություններ է տրամադրելու հաշմանդամություն ունեցող անձին (երեխային) ծառայությունների </w:t>
            </w:r>
            <w:r w:rsidRPr="004C04D4">
              <w:rPr>
                <w:rFonts w:ascii="GHEA Grapalat" w:eastAsia="Tahoma" w:hAnsi="GHEA Grapalat" w:cs="Tahoma"/>
                <w:i/>
                <w:sz w:val="24"/>
                <w:szCs w:val="24"/>
              </w:rPr>
              <w:t>անհատական ծրագրով սահմանված լինելու դեպքում</w:t>
            </w:r>
            <w:r w:rsidRPr="004C04D4">
              <w:rPr>
                <w:rFonts w:ascii="GHEA Grapalat" w:eastAsia="Arial" w:hAnsi="GHEA Grapalat" w:cs="Arial"/>
                <w:sz w:val="24"/>
                <w:szCs w:val="24"/>
              </w:rPr>
              <w:t xml:space="preserve">.2) </w:t>
            </w:r>
            <w:r w:rsidRPr="004C04D4">
              <w:rPr>
                <w:rFonts w:ascii="GHEA Grapalat" w:eastAsia="Tahoma" w:hAnsi="GHEA Grapalat" w:cs="Tahoma"/>
                <w:i/>
                <w:sz w:val="24"/>
                <w:szCs w:val="24"/>
              </w:rPr>
              <w:t>ծառայությունը մատուցվելու է անձնական օգնականի և հաշմանդամություն ունեցող անձի (նրա օրինական ներկայացուցչի) միջև կնքված պայմանագրի հիման վրա</w:t>
            </w:r>
            <w:r w:rsidRPr="004C04D4">
              <w:rPr>
                <w:rFonts w:ascii="GHEA Grapalat" w:eastAsia="Tahoma" w:hAnsi="GHEA Grapalat" w:cs="Tahoma"/>
                <w:sz w:val="24"/>
                <w:szCs w:val="24"/>
              </w:rPr>
              <w:t xml:space="preserve">, որում ներառվում են կողմերի իրավունքներն ու </w:t>
            </w:r>
            <w:r w:rsidRPr="004C04D4">
              <w:rPr>
                <w:rFonts w:ascii="GHEA Grapalat" w:eastAsia="Tahoma" w:hAnsi="GHEA Grapalat" w:cs="Tahoma"/>
                <w:sz w:val="24"/>
                <w:szCs w:val="24"/>
              </w:rPr>
              <w:lastRenderedPageBreak/>
              <w:t xml:space="preserve">պարտականությունները, իսկ </w:t>
            </w:r>
            <w:r w:rsidRPr="004C04D4">
              <w:rPr>
                <w:rFonts w:ascii="GHEA Grapalat" w:eastAsia="Tahoma" w:hAnsi="GHEA Grapalat" w:cs="Tahoma"/>
                <w:i/>
                <w:sz w:val="24"/>
                <w:szCs w:val="24"/>
              </w:rPr>
              <w:t>նշված պայմանագիրը կարող է լինել եռակողմ՝ ներառելով նաև անձնական օգնականի և (կամ) դրան ուղղակիորեն առնչվող ծառայություններ մատուցող պետական և համայնքային ոչ առևտրային կազմակերպություններին, հասարակական կազմակերպություններին</w:t>
            </w:r>
            <w:r w:rsidRPr="004C04D4">
              <w:rPr>
                <w:rFonts w:ascii="GHEA Grapalat" w:eastAsia="Tahoma" w:hAnsi="GHEA Grapalat" w:cs="Tahoma"/>
                <w:sz w:val="24"/>
                <w:szCs w:val="24"/>
              </w:rPr>
              <w:t>: Միաժամանակ անձնական օգնականի ծառայություն տրամադրելու կարգը և պայմանները սահմանելու է ՀՀ կառավարությունը:</w:t>
            </w:r>
          </w:p>
          <w:p w:rsidR="00D71E2E" w:rsidRPr="004C04D4" w:rsidRDefault="00CA287E">
            <w:pPr>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t>Վերոնշյալից օրինաչափորեն ծագում են հետևյալ հարցադրումները՝</w:t>
            </w:r>
          </w:p>
          <w:p w:rsidR="00D71E2E" w:rsidRPr="004C04D4" w:rsidRDefault="00CA287E">
            <w:pPr>
              <w:numPr>
                <w:ilvl w:val="0"/>
                <w:numId w:val="2"/>
              </w:numPr>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t xml:space="preserve">անձնական օգնականի կողմից հաշմանդամություն ունեցող անձին (վերջինիս համաձայնությամբ) ծառայությունների </w:t>
            </w:r>
            <w:r w:rsidRPr="004C04D4">
              <w:rPr>
                <w:rFonts w:ascii="GHEA Grapalat" w:eastAsia="Tahoma" w:hAnsi="GHEA Grapalat" w:cs="Tahoma"/>
                <w:i/>
                <w:sz w:val="24"/>
                <w:szCs w:val="24"/>
              </w:rPr>
              <w:t>անվճար հիմունքներով</w:t>
            </w:r>
            <w:r w:rsidRPr="004C04D4">
              <w:rPr>
                <w:rFonts w:ascii="GHEA Grapalat" w:eastAsia="Tahoma" w:hAnsi="GHEA Grapalat" w:cs="Tahoma"/>
                <w:sz w:val="24"/>
                <w:szCs w:val="24"/>
              </w:rPr>
              <w:t xml:space="preserve"> մատուցման դեպքում (առանց քաղաքացիաիրավական պայմանագրի կնքման ինչ հիմքով և ինչպես է պետությունը միջամտելու կողմերի ազատ կամահայտնությանը, եթե անձը հրաժարվի վճարովի հիմունքներով անձնական օգնական ունենալուց.</w:t>
            </w:r>
          </w:p>
          <w:p w:rsidR="00D71E2E" w:rsidRPr="004C04D4" w:rsidRDefault="00CA287E">
            <w:pPr>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t>ՀՀ կառավարության սահմանած՝ անձնական օգնականի ծառայություն տրամադրելու կարգը և պայմանները տարածվելու են արդյոք վերոնշյալ դեպքի վրա, թե ոչ:</w:t>
            </w:r>
          </w:p>
        </w:tc>
        <w:tc>
          <w:tcPr>
            <w:tcW w:w="7215" w:type="dxa"/>
          </w:tcPr>
          <w:p w:rsidR="00D71E2E" w:rsidRPr="00754C3E" w:rsidRDefault="0012780F" w:rsidP="0012780F">
            <w:pPr>
              <w:spacing w:before="200" w:line="276" w:lineRule="auto"/>
              <w:jc w:val="both"/>
              <w:rPr>
                <w:rFonts w:ascii="GHEA Grapalat" w:eastAsia="Arial" w:hAnsi="GHEA Grapalat" w:cs="Arial"/>
                <w:sz w:val="24"/>
                <w:szCs w:val="24"/>
              </w:rPr>
            </w:pPr>
            <w:r w:rsidRPr="00754C3E">
              <w:rPr>
                <w:rFonts w:ascii="GHEA Grapalat" w:eastAsia="Tahoma" w:hAnsi="GHEA Grapalat" w:cs="Tahoma"/>
                <w:sz w:val="24"/>
                <w:szCs w:val="24"/>
              </w:rPr>
              <w:lastRenderedPageBreak/>
              <w:t>Ը</w:t>
            </w:r>
            <w:r w:rsidR="00CA287E" w:rsidRPr="004C04D4">
              <w:rPr>
                <w:rFonts w:ascii="GHEA Grapalat" w:eastAsia="Tahoma" w:hAnsi="GHEA Grapalat" w:cs="Tahoma"/>
                <w:sz w:val="24"/>
                <w:szCs w:val="24"/>
              </w:rPr>
              <w:t>նդունվել</w:t>
            </w:r>
            <w:r w:rsidRPr="00754C3E">
              <w:rPr>
                <w:rFonts w:ascii="GHEA Grapalat" w:eastAsia="Tahoma" w:hAnsi="GHEA Grapalat" w:cs="Tahoma"/>
                <w:sz w:val="24"/>
                <w:szCs w:val="24"/>
              </w:rPr>
              <w:t xml:space="preserve"> է</w:t>
            </w:r>
            <w:r w:rsidR="00CA287E" w:rsidRPr="004C04D4">
              <w:rPr>
                <w:rFonts w:ascii="GHEA Grapalat" w:eastAsia="Tahoma" w:hAnsi="GHEA Grapalat" w:cs="Tahoma"/>
                <w:sz w:val="24"/>
                <w:szCs w:val="24"/>
              </w:rPr>
              <w:t xml:space="preserve">։ </w:t>
            </w:r>
            <w:r w:rsidRPr="004C04D4">
              <w:rPr>
                <w:rFonts w:ascii="GHEA Grapalat" w:eastAsia="Tahoma" w:hAnsi="GHEA Grapalat" w:cs="Tahoma"/>
                <w:sz w:val="24"/>
                <w:szCs w:val="24"/>
              </w:rPr>
              <w:t>Նախագծի 3-րդ հոդվածի 13-րդ կետ</w:t>
            </w:r>
            <w:r w:rsidRPr="00754C3E">
              <w:rPr>
                <w:rFonts w:ascii="GHEA Grapalat" w:eastAsia="Tahoma" w:hAnsi="GHEA Grapalat" w:cs="Tahoma"/>
                <w:sz w:val="24"/>
                <w:szCs w:val="24"/>
              </w:rPr>
              <w:t>ը խմբագրվել է:</w:t>
            </w:r>
          </w:p>
        </w:tc>
      </w:tr>
      <w:tr w:rsidR="00D71E2E" w:rsidRPr="004C04D4" w:rsidTr="00754C3E">
        <w:tc>
          <w:tcPr>
            <w:tcW w:w="630" w:type="dxa"/>
          </w:tcPr>
          <w:p w:rsidR="00D71E2E" w:rsidRPr="004C04D4" w:rsidRDefault="00CA287E">
            <w:pPr>
              <w:tabs>
                <w:tab w:val="left" w:pos="4768"/>
              </w:tabs>
              <w:spacing w:before="200" w:line="276" w:lineRule="auto"/>
              <w:jc w:val="center"/>
              <w:rPr>
                <w:rFonts w:ascii="GHEA Grapalat" w:eastAsia="Arial" w:hAnsi="GHEA Grapalat" w:cs="Arial"/>
                <w:b/>
                <w:sz w:val="24"/>
                <w:szCs w:val="24"/>
              </w:rPr>
            </w:pPr>
            <w:r w:rsidRPr="004C04D4">
              <w:rPr>
                <w:rFonts w:ascii="GHEA Grapalat" w:eastAsia="Arial" w:hAnsi="GHEA Grapalat" w:cs="Arial"/>
                <w:b/>
                <w:sz w:val="24"/>
                <w:szCs w:val="24"/>
              </w:rPr>
              <w:lastRenderedPageBreak/>
              <w:t>3</w:t>
            </w:r>
          </w:p>
        </w:tc>
        <w:tc>
          <w:tcPr>
            <w:tcW w:w="7410" w:type="dxa"/>
          </w:tcPr>
          <w:p w:rsidR="00D71E2E" w:rsidRPr="004C04D4" w:rsidRDefault="00CA287E">
            <w:pPr>
              <w:tabs>
                <w:tab w:val="left" w:pos="4768"/>
              </w:tabs>
              <w:spacing w:before="200" w:line="276" w:lineRule="auto"/>
              <w:jc w:val="both"/>
              <w:rPr>
                <w:rFonts w:ascii="GHEA Grapalat" w:eastAsia="Arial" w:hAnsi="GHEA Grapalat" w:cs="Arial"/>
                <w:sz w:val="24"/>
                <w:szCs w:val="24"/>
              </w:rPr>
            </w:pPr>
            <w:r w:rsidRPr="004C04D4">
              <w:rPr>
                <w:rFonts w:ascii="GHEA Grapalat" w:eastAsia="Tahoma" w:hAnsi="GHEA Grapalat" w:cs="Tahoma"/>
                <w:b/>
                <w:sz w:val="24"/>
                <w:szCs w:val="24"/>
              </w:rPr>
              <w:t>Տեսչական մարմինների աշխատանքների համակարգման գրասենյակ</w:t>
            </w:r>
          </w:p>
        </w:tc>
        <w:tc>
          <w:tcPr>
            <w:tcW w:w="7215" w:type="dxa"/>
          </w:tcPr>
          <w:p w:rsidR="00D71E2E" w:rsidRPr="004C04D4" w:rsidRDefault="00D71E2E">
            <w:pPr>
              <w:tabs>
                <w:tab w:val="left" w:pos="4768"/>
              </w:tabs>
              <w:spacing w:before="200" w:line="276" w:lineRule="auto"/>
              <w:jc w:val="both"/>
              <w:rPr>
                <w:rFonts w:ascii="GHEA Grapalat" w:eastAsia="Arial" w:hAnsi="GHEA Grapalat" w:cs="Arial"/>
                <w:b/>
                <w:sz w:val="24"/>
                <w:szCs w:val="24"/>
              </w:rPr>
            </w:pPr>
          </w:p>
        </w:tc>
      </w:tr>
      <w:tr w:rsidR="00D71E2E" w:rsidRPr="004C04D4" w:rsidTr="00754C3E">
        <w:trPr>
          <w:trHeight w:val="2520"/>
        </w:trPr>
        <w:tc>
          <w:tcPr>
            <w:tcW w:w="630" w:type="dxa"/>
          </w:tcPr>
          <w:p w:rsidR="00D71E2E" w:rsidRPr="004C04D4" w:rsidRDefault="00CA287E">
            <w:pPr>
              <w:tabs>
                <w:tab w:val="left" w:pos="4768"/>
              </w:tabs>
              <w:spacing w:before="200" w:line="276" w:lineRule="auto"/>
              <w:jc w:val="center"/>
              <w:rPr>
                <w:rFonts w:ascii="GHEA Grapalat" w:eastAsia="Arial" w:hAnsi="GHEA Grapalat" w:cs="Arial"/>
                <w:sz w:val="24"/>
                <w:szCs w:val="24"/>
              </w:rPr>
            </w:pPr>
            <w:r w:rsidRPr="004C04D4">
              <w:rPr>
                <w:rFonts w:ascii="GHEA Grapalat" w:eastAsia="Arial" w:hAnsi="GHEA Grapalat" w:cs="Arial"/>
                <w:sz w:val="24"/>
                <w:szCs w:val="24"/>
              </w:rPr>
              <w:lastRenderedPageBreak/>
              <w:t>3</w:t>
            </w:r>
            <w:r w:rsidRPr="004C04D4">
              <w:rPr>
                <w:rFonts w:ascii="MS Mincho" w:eastAsia="MS Mincho" w:hAnsi="MS Mincho" w:cs="MS Mincho" w:hint="eastAsia"/>
                <w:sz w:val="24"/>
                <w:szCs w:val="24"/>
              </w:rPr>
              <w:t>․</w:t>
            </w:r>
            <w:r w:rsidRPr="004C04D4">
              <w:rPr>
                <w:rFonts w:ascii="GHEA Grapalat" w:eastAsia="Arial" w:hAnsi="GHEA Grapalat" w:cs="Arial"/>
                <w:sz w:val="24"/>
                <w:szCs w:val="24"/>
              </w:rPr>
              <w:t>1</w:t>
            </w:r>
          </w:p>
        </w:tc>
        <w:tc>
          <w:tcPr>
            <w:tcW w:w="7410" w:type="dxa"/>
          </w:tcPr>
          <w:p w:rsidR="00D71E2E" w:rsidRPr="004C04D4" w:rsidRDefault="00CA287E">
            <w:pPr>
              <w:tabs>
                <w:tab w:val="left" w:pos="4768"/>
              </w:tabs>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t>«Հաշմանդամություն ունեցող անձանց իրավունքների մասին» օրենքի նախագծի վերաբերյալ.</w:t>
            </w:r>
          </w:p>
          <w:p w:rsidR="00D71E2E" w:rsidRPr="004C04D4" w:rsidRDefault="00CA287E">
            <w:pPr>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t>Նախագծի 10-րդ հոդվածի 1-ին մասի 3-րդ կետով լիազոր մարմնին նախատեսվում է վերապահել վերահսկողություն իրականացնելու լիազորություն՝ հաշմանդամություն ունեցող անձանց իրավունքների պաշտպանության և սոցիալական ներառման ոլորտում ՀՀ օրենսդրությամբ սահմանված պահանջների կատարման նկատմամբ:</w:t>
            </w:r>
          </w:p>
          <w:p w:rsidR="00D71E2E" w:rsidRPr="004C04D4" w:rsidRDefault="00CA287E">
            <w:pPr>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t>Այս կապակցությամբ հարկ է նշել, որ Նախագծով նախատեսվում են մի շարք պահանջներ (իրավակարգավորումներ), որոնք վերաբերում են տարբեր բնագավառներին և այդ բնագավառներում վերահսկողությունը արդեն իսկ վերապահված է տեսչական մարմիններին, իսկ «Տեսչական մարմինների մասին» ՀՀ օրենքի 19-րդ հոդվածի 4-րդ մասի համաձայն՝ համապատասխան բնագավառում տեսչական մարմնի ստեղծումից հետո տվյալ բնագավառում վերահսկողություն իրականացնող այլ մարմին գործել չի կարող։</w:t>
            </w:r>
          </w:p>
          <w:p w:rsidR="00D71E2E" w:rsidRPr="00754C3E" w:rsidRDefault="00CA287E" w:rsidP="00CA3151">
            <w:pPr>
              <w:pBdr>
                <w:top w:val="nil"/>
                <w:left w:val="nil"/>
                <w:bottom w:val="nil"/>
                <w:right w:val="nil"/>
                <w:between w:val="nil"/>
              </w:pBdr>
              <w:spacing w:before="200" w:line="276" w:lineRule="auto"/>
              <w:jc w:val="both"/>
              <w:rPr>
                <w:rFonts w:ascii="GHEA Grapalat" w:eastAsia="Arial" w:hAnsi="GHEA Grapalat" w:cs="Arial"/>
                <w:b/>
                <w:sz w:val="24"/>
                <w:szCs w:val="24"/>
              </w:rPr>
            </w:pPr>
            <w:r w:rsidRPr="004C04D4">
              <w:rPr>
                <w:rFonts w:ascii="GHEA Grapalat" w:eastAsia="Tahoma" w:hAnsi="GHEA Grapalat" w:cs="Tahoma"/>
                <w:sz w:val="24"/>
                <w:szCs w:val="24"/>
              </w:rPr>
              <w:t xml:space="preserve">Հաշվի առնելով վերոգրյալը, համապատասխան բնագավառներում վերահսկողություն իրականացնող պետական մարմինների, այդ թվում՝ տեսչական մարմինների մասնագիտական ներուժը, ինչպես նաև քաղաքականության մշակման ու վերահսկողության իրականացման տարանջատման անհրաժեշտությունը՝ Վարչապետի աշխատակազմի տեսչական մարմինների աշխատանքների համակարգման գրասենյակը վերահաստատում է իր դիրքորոշումը առ այն, որ անհրաժեշտ է վերհանել ոլորտի համապատասխան բնագավառները </w:t>
            </w:r>
            <w:r w:rsidRPr="004C04D4">
              <w:rPr>
                <w:rFonts w:ascii="GHEA Grapalat" w:eastAsia="Tahoma" w:hAnsi="GHEA Grapalat" w:cs="Tahoma"/>
                <w:sz w:val="24"/>
                <w:szCs w:val="24"/>
              </w:rPr>
              <w:lastRenderedPageBreak/>
              <w:t>(առողջապահություն, աշխատանք, քաղաքաշինություն, տրանսպորտ և այլն) և յուրաքանչյուր տեսչական մարմնին վերապահել համապատասխան իրավակարգավորումների նկատմամբ վերահսկողական գործառույթների իրականացումը:</w:t>
            </w:r>
          </w:p>
        </w:tc>
        <w:tc>
          <w:tcPr>
            <w:tcW w:w="7215" w:type="dxa"/>
          </w:tcPr>
          <w:p w:rsidR="00D71E2E" w:rsidRPr="004C04D4" w:rsidRDefault="00CA287E">
            <w:pPr>
              <w:tabs>
                <w:tab w:val="left" w:pos="4768"/>
              </w:tabs>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lastRenderedPageBreak/>
              <w:t>Ընդունվել է:</w:t>
            </w:r>
          </w:p>
        </w:tc>
      </w:tr>
      <w:tr w:rsidR="00D71E2E" w:rsidRPr="004C04D4" w:rsidTr="00754C3E">
        <w:tc>
          <w:tcPr>
            <w:tcW w:w="630" w:type="dxa"/>
          </w:tcPr>
          <w:p w:rsidR="00D71E2E" w:rsidRPr="004C04D4" w:rsidRDefault="00CA287E">
            <w:pPr>
              <w:tabs>
                <w:tab w:val="left" w:pos="4768"/>
              </w:tabs>
              <w:spacing w:before="200" w:line="276" w:lineRule="auto"/>
              <w:jc w:val="center"/>
              <w:rPr>
                <w:rFonts w:ascii="GHEA Grapalat" w:eastAsia="Arial" w:hAnsi="GHEA Grapalat" w:cs="Arial"/>
                <w:sz w:val="24"/>
                <w:szCs w:val="24"/>
              </w:rPr>
            </w:pPr>
            <w:r w:rsidRPr="004C04D4">
              <w:rPr>
                <w:rFonts w:ascii="GHEA Grapalat" w:eastAsia="Arial" w:hAnsi="GHEA Grapalat" w:cs="Arial"/>
                <w:sz w:val="24"/>
                <w:szCs w:val="24"/>
              </w:rPr>
              <w:lastRenderedPageBreak/>
              <w:t>3</w:t>
            </w:r>
            <w:r w:rsidRPr="004C04D4">
              <w:rPr>
                <w:rFonts w:ascii="MS Mincho" w:eastAsia="MS Mincho" w:hAnsi="MS Mincho" w:cs="MS Mincho" w:hint="eastAsia"/>
                <w:sz w:val="24"/>
                <w:szCs w:val="24"/>
              </w:rPr>
              <w:t>․</w:t>
            </w:r>
            <w:r w:rsidRPr="004C04D4">
              <w:rPr>
                <w:rFonts w:ascii="GHEA Grapalat" w:eastAsia="Arial" w:hAnsi="GHEA Grapalat" w:cs="Arial"/>
                <w:sz w:val="24"/>
                <w:szCs w:val="24"/>
              </w:rPr>
              <w:t>2</w:t>
            </w:r>
          </w:p>
        </w:tc>
        <w:tc>
          <w:tcPr>
            <w:tcW w:w="7410" w:type="dxa"/>
          </w:tcPr>
          <w:p w:rsidR="00D71E2E" w:rsidRPr="00754C3E" w:rsidRDefault="00CA287E">
            <w:pPr>
              <w:tabs>
                <w:tab w:val="left" w:pos="4768"/>
              </w:tabs>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t>«Ֆունկցիոնալության գնահատման մասին» օրենքի նախագծի վերաբերյալ.</w:t>
            </w:r>
          </w:p>
          <w:p w:rsidR="00D71E2E" w:rsidRPr="004C04D4" w:rsidRDefault="00CA287E">
            <w:pPr>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t>Առաջարկում ենք Նախագծում հստակ սահմանել դրույթ, որի համաձայն՝ օրենքով սահմանված պահանջների կատարման նկատմամբ վերահսկողությունն իրականացնելու է առողջապահության ոլորտում վերահսկողություն իրականացնող տեսչական մարմինը։ Առաջարկը պայմանավորված է նաև «Վարչական իրավախախտումների վերաբերյալ Հայաստանի Հանրապետության օրենսգրքում լրացումներ կատարելու մասին» օրենքի նախագծի 4-րդ և 5-րդ հոդվածներով սահմանված կարգավորումներով, որոնց համաձայն՝ անձի ֆունկցիոնալության գնահատման կարգը խախտելու համար վարչական պատասխանատվության միջոցները կիրառելու է Առողջապահական և աշխատանքի տեսչական մարմինը։</w:t>
            </w:r>
          </w:p>
        </w:tc>
        <w:tc>
          <w:tcPr>
            <w:tcW w:w="7215" w:type="dxa"/>
          </w:tcPr>
          <w:p w:rsidR="00D71E2E" w:rsidRPr="004C04D4" w:rsidRDefault="00CA287E">
            <w:pPr>
              <w:tabs>
                <w:tab w:val="left" w:pos="4768"/>
              </w:tabs>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t>Ընդունվել է:</w:t>
            </w:r>
          </w:p>
        </w:tc>
      </w:tr>
      <w:tr w:rsidR="00D71E2E" w:rsidRPr="004C04D4" w:rsidTr="00754C3E">
        <w:tc>
          <w:tcPr>
            <w:tcW w:w="630" w:type="dxa"/>
          </w:tcPr>
          <w:p w:rsidR="00D71E2E" w:rsidRPr="004C04D4" w:rsidRDefault="00CA287E">
            <w:pPr>
              <w:tabs>
                <w:tab w:val="left" w:pos="4768"/>
              </w:tabs>
              <w:spacing w:before="200" w:line="276" w:lineRule="auto"/>
              <w:jc w:val="center"/>
              <w:rPr>
                <w:rFonts w:ascii="GHEA Grapalat" w:eastAsia="Arial" w:hAnsi="GHEA Grapalat" w:cs="Arial"/>
                <w:b/>
                <w:sz w:val="24"/>
                <w:szCs w:val="24"/>
              </w:rPr>
            </w:pPr>
            <w:r w:rsidRPr="004C04D4">
              <w:rPr>
                <w:rFonts w:ascii="GHEA Grapalat" w:eastAsia="Arial" w:hAnsi="GHEA Grapalat" w:cs="Arial"/>
                <w:b/>
                <w:sz w:val="24"/>
                <w:szCs w:val="24"/>
              </w:rPr>
              <w:t>4</w:t>
            </w:r>
          </w:p>
        </w:tc>
        <w:tc>
          <w:tcPr>
            <w:tcW w:w="7410" w:type="dxa"/>
          </w:tcPr>
          <w:p w:rsidR="00D71E2E" w:rsidRPr="004C04D4" w:rsidRDefault="00CA287E">
            <w:pPr>
              <w:tabs>
                <w:tab w:val="left" w:pos="4768"/>
              </w:tabs>
              <w:spacing w:before="200" w:line="276" w:lineRule="auto"/>
              <w:jc w:val="both"/>
              <w:rPr>
                <w:rFonts w:ascii="GHEA Grapalat" w:eastAsia="Arial" w:hAnsi="GHEA Grapalat" w:cs="Arial"/>
                <w:b/>
                <w:sz w:val="24"/>
                <w:szCs w:val="24"/>
              </w:rPr>
            </w:pPr>
            <w:r w:rsidRPr="004C04D4">
              <w:rPr>
                <w:rFonts w:ascii="GHEA Grapalat" w:eastAsia="Tahoma" w:hAnsi="GHEA Grapalat" w:cs="Tahoma"/>
                <w:b/>
                <w:sz w:val="24"/>
                <w:szCs w:val="24"/>
              </w:rPr>
              <w:t>Կարգավորման ազդեցության գնահատման վարչություն</w:t>
            </w:r>
          </w:p>
        </w:tc>
        <w:tc>
          <w:tcPr>
            <w:tcW w:w="7215" w:type="dxa"/>
          </w:tcPr>
          <w:p w:rsidR="00D71E2E" w:rsidRPr="004C04D4" w:rsidRDefault="00D71E2E">
            <w:pPr>
              <w:tabs>
                <w:tab w:val="left" w:pos="4768"/>
              </w:tabs>
              <w:spacing w:before="200" w:line="276" w:lineRule="auto"/>
              <w:jc w:val="both"/>
              <w:rPr>
                <w:rFonts w:ascii="GHEA Grapalat" w:eastAsia="Arial" w:hAnsi="GHEA Grapalat" w:cs="Arial"/>
                <w:b/>
                <w:sz w:val="24"/>
                <w:szCs w:val="24"/>
              </w:rPr>
            </w:pPr>
          </w:p>
        </w:tc>
      </w:tr>
      <w:tr w:rsidR="00D71E2E" w:rsidRPr="004C04D4" w:rsidTr="00754C3E">
        <w:trPr>
          <w:trHeight w:val="3164"/>
        </w:trPr>
        <w:tc>
          <w:tcPr>
            <w:tcW w:w="630" w:type="dxa"/>
          </w:tcPr>
          <w:p w:rsidR="00D71E2E" w:rsidRPr="004C04D4" w:rsidRDefault="00CA287E">
            <w:pPr>
              <w:tabs>
                <w:tab w:val="left" w:pos="4768"/>
              </w:tabs>
              <w:spacing w:before="200" w:line="276" w:lineRule="auto"/>
              <w:jc w:val="center"/>
              <w:rPr>
                <w:rFonts w:ascii="GHEA Grapalat" w:eastAsia="Arial" w:hAnsi="GHEA Grapalat" w:cs="Arial"/>
                <w:sz w:val="24"/>
                <w:szCs w:val="24"/>
              </w:rPr>
            </w:pPr>
            <w:r w:rsidRPr="004C04D4">
              <w:rPr>
                <w:rFonts w:ascii="GHEA Grapalat" w:eastAsia="Arial" w:hAnsi="GHEA Grapalat" w:cs="Arial"/>
                <w:sz w:val="24"/>
                <w:szCs w:val="24"/>
              </w:rPr>
              <w:lastRenderedPageBreak/>
              <w:t>4</w:t>
            </w:r>
            <w:r w:rsidRPr="004C04D4">
              <w:rPr>
                <w:rFonts w:ascii="MS Mincho" w:eastAsia="MS Mincho" w:hAnsi="MS Mincho" w:cs="MS Mincho" w:hint="eastAsia"/>
                <w:sz w:val="24"/>
                <w:szCs w:val="24"/>
              </w:rPr>
              <w:t>․</w:t>
            </w:r>
            <w:r w:rsidRPr="004C04D4">
              <w:rPr>
                <w:rFonts w:ascii="GHEA Grapalat" w:eastAsia="Arial" w:hAnsi="GHEA Grapalat" w:cs="Arial"/>
                <w:sz w:val="24"/>
                <w:szCs w:val="24"/>
              </w:rPr>
              <w:t>1</w:t>
            </w:r>
          </w:p>
        </w:tc>
        <w:tc>
          <w:tcPr>
            <w:tcW w:w="7410" w:type="dxa"/>
          </w:tcPr>
          <w:p w:rsidR="00D71E2E" w:rsidRPr="004C04D4" w:rsidRDefault="00CA287E">
            <w:pPr>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t xml:space="preserve">Նախագծերի վերաբերյալ նախորդ անգամ ներկայացված եզրակացությամբ հատկանշել էինք կարգավորման ազդեցության գնահատման տեսանկյունից պետական հատվածի և մասնավոր հատվածի վրա հնարավոր ազդեցությունների գնահատման անհրաժեշտությունը՝ ինչը ներկայացված չէ։ </w:t>
            </w:r>
          </w:p>
          <w:p w:rsidR="00D71E2E" w:rsidRPr="004C04D4" w:rsidRDefault="00CA287E">
            <w:pPr>
              <w:spacing w:before="200" w:line="276" w:lineRule="auto"/>
              <w:jc w:val="both"/>
              <w:rPr>
                <w:rFonts w:ascii="GHEA Grapalat" w:eastAsia="Arial" w:hAnsi="GHEA Grapalat" w:cs="Arial"/>
                <w:b/>
                <w:sz w:val="24"/>
                <w:szCs w:val="24"/>
              </w:rPr>
            </w:pPr>
            <w:r w:rsidRPr="004C04D4">
              <w:rPr>
                <w:rFonts w:ascii="GHEA Grapalat" w:eastAsia="Tahoma" w:hAnsi="GHEA Grapalat" w:cs="Tahoma"/>
                <w:sz w:val="24"/>
                <w:szCs w:val="24"/>
              </w:rPr>
              <w:t>Միևնույն ժամանակ առաջարկում ենք «Հաշմանդամություն ունեցող անձանց իրավունքների մասին» ՀՀ օրենքի նախագծի 24-րդ հոդվածում սահմանել կրթաթոշակ նաև անժամկետ 1-ին և 2-րդ խմբի հաշմանդամություն ունեցող անձանց համար, հաշվի առնելով վերջիններիս առողջական վիճակի անհամեմատ վատ դրությունը։</w:t>
            </w:r>
          </w:p>
        </w:tc>
        <w:tc>
          <w:tcPr>
            <w:tcW w:w="7215" w:type="dxa"/>
          </w:tcPr>
          <w:p w:rsidR="0012780F" w:rsidRPr="00754C3E" w:rsidRDefault="00CA287E" w:rsidP="005E0F6E">
            <w:pPr>
              <w:spacing w:before="200" w:line="276" w:lineRule="auto"/>
              <w:jc w:val="both"/>
              <w:rPr>
                <w:rFonts w:ascii="GHEA Grapalat" w:eastAsia="Tahoma" w:hAnsi="GHEA Grapalat" w:cs="Tahoma"/>
                <w:sz w:val="24"/>
                <w:szCs w:val="24"/>
              </w:rPr>
            </w:pPr>
            <w:r w:rsidRPr="004C04D4">
              <w:rPr>
                <w:rFonts w:ascii="GHEA Grapalat" w:eastAsia="Tahoma" w:hAnsi="GHEA Grapalat" w:cs="Tahoma"/>
                <w:sz w:val="24"/>
                <w:szCs w:val="24"/>
              </w:rPr>
              <w:t xml:space="preserve">Նախագիծը 03.08.2020 թ. N ԶԲ/ԱԿ-2-1/48432-2020 գրությամբ ուղարկվել է էկոնոմիկայի նախարարություն, որի 30.10.2020 թ. N 01/14749-2020 գրության համաձայն օրենքների նախագծերն ուղարկվել են գործարարների և գործատուների շահերը ներկայացնող կազմակերպություններին և վերջիններիս պատասխաններն ստանալուց հետո դրանք կներկայացվեն ՀՀ աշխատանքի և սոցիալական հարցերի նախարարություն: Մինչ այսօր պատասխանները չենք ստացել: </w:t>
            </w:r>
          </w:p>
          <w:p w:rsidR="00D71E2E" w:rsidRPr="00754C3E" w:rsidRDefault="0012780F" w:rsidP="005E0F6E">
            <w:pPr>
              <w:widowControl w:val="0"/>
              <w:pBdr>
                <w:top w:val="nil"/>
                <w:left w:val="nil"/>
                <w:bottom w:val="nil"/>
                <w:right w:val="nil"/>
                <w:between w:val="nil"/>
              </w:pBdr>
              <w:spacing w:line="276" w:lineRule="auto"/>
              <w:jc w:val="both"/>
              <w:rPr>
                <w:rFonts w:ascii="GHEA Grapalat" w:eastAsia="Arial" w:hAnsi="GHEA Grapalat" w:cs="Arial"/>
                <w:color w:val="000000"/>
                <w:sz w:val="24"/>
                <w:szCs w:val="24"/>
              </w:rPr>
            </w:pPr>
            <w:r w:rsidRPr="00754C3E">
              <w:rPr>
                <w:rFonts w:ascii="GHEA Grapalat" w:eastAsia="Tahoma" w:hAnsi="GHEA Grapalat" w:cs="Tahoma"/>
                <w:sz w:val="24"/>
                <w:szCs w:val="24"/>
              </w:rPr>
              <w:t>Ա</w:t>
            </w:r>
            <w:r w:rsidRPr="004C04D4">
              <w:rPr>
                <w:rFonts w:ascii="GHEA Grapalat" w:eastAsia="Tahoma" w:hAnsi="GHEA Grapalat" w:cs="Tahoma"/>
                <w:sz w:val="24"/>
                <w:szCs w:val="24"/>
              </w:rPr>
              <w:t>նժամկետ 1-ին և 2-րդ խմբի հաշմանդամություն ունեցող անձանց</w:t>
            </w:r>
            <w:r w:rsidRPr="00754C3E">
              <w:rPr>
                <w:rFonts w:ascii="GHEA Grapalat" w:eastAsia="Tahoma" w:hAnsi="GHEA Grapalat" w:cs="Tahoma"/>
                <w:sz w:val="24"/>
                <w:szCs w:val="24"/>
              </w:rPr>
              <w:t xml:space="preserve"> վերաբերյալ առաջարկը չի ընդունվել,</w:t>
            </w:r>
            <w:r w:rsidRPr="004C04D4">
              <w:rPr>
                <w:rFonts w:ascii="GHEA Grapalat" w:eastAsia="Tahoma" w:hAnsi="GHEA Grapalat" w:cs="Tahoma"/>
                <w:color w:val="000000"/>
                <w:sz w:val="24"/>
                <w:szCs w:val="24"/>
              </w:rPr>
              <w:t xml:space="preserve"> քանի որ որոշակի պահի իրենց իրավունքներից օգտվող անձինք, անկախ իրենց առողջական բնույթի հարատև կամ կարճաժամկետ լինելուց, փաստացի ունեն նույն կարգավիճակը, խումբը։ Այսինքն՝ հնարավոր չէ միայն անժամկետ լինելու հանգամանքով պայմանավորված ենթադրել, որ անձի առողջական վիճակն անհամեմատ վատ է, քանի որ կախված առողջական խնդրի տեսակից, բնույթից և այլն</w:t>
            </w:r>
            <w:r w:rsidR="005E0F6E" w:rsidRPr="00754C3E">
              <w:rPr>
                <w:rFonts w:ascii="GHEA Grapalat" w:eastAsia="Tahoma" w:hAnsi="GHEA Grapalat" w:cs="Tahoma"/>
                <w:color w:val="000000"/>
                <w:sz w:val="24"/>
                <w:szCs w:val="24"/>
              </w:rPr>
              <w:t>,</w:t>
            </w:r>
            <w:r w:rsidRPr="004C04D4">
              <w:rPr>
                <w:rFonts w:ascii="GHEA Grapalat" w:eastAsia="Tahoma" w:hAnsi="GHEA Grapalat" w:cs="Tahoma"/>
                <w:color w:val="000000"/>
                <w:sz w:val="24"/>
                <w:szCs w:val="24"/>
              </w:rPr>
              <w:t xml:space="preserve"> անձին անժամկետ հաշմանդամության խումբ կարող է սահմանվել որոշակի դեպքերում։ Օրինակ՝ երբ բացակայում են վերականգնման հեռանկարները, ինչը կրկին չի խոսում միայն առողջության վիճակի մասին։</w:t>
            </w:r>
          </w:p>
        </w:tc>
      </w:tr>
      <w:tr w:rsidR="00D71E2E" w:rsidRPr="004C04D4" w:rsidTr="00754C3E">
        <w:tc>
          <w:tcPr>
            <w:tcW w:w="630" w:type="dxa"/>
          </w:tcPr>
          <w:p w:rsidR="00D71E2E" w:rsidRPr="004C04D4" w:rsidRDefault="00CA287E">
            <w:pPr>
              <w:tabs>
                <w:tab w:val="left" w:pos="4768"/>
              </w:tabs>
              <w:spacing w:before="200" w:line="276" w:lineRule="auto"/>
              <w:jc w:val="center"/>
              <w:rPr>
                <w:rFonts w:ascii="GHEA Grapalat" w:eastAsia="Arial" w:hAnsi="GHEA Grapalat" w:cs="Arial"/>
                <w:b/>
                <w:sz w:val="24"/>
                <w:szCs w:val="24"/>
              </w:rPr>
            </w:pPr>
            <w:r w:rsidRPr="004C04D4">
              <w:rPr>
                <w:rFonts w:ascii="GHEA Grapalat" w:eastAsia="Arial" w:hAnsi="GHEA Grapalat" w:cs="Arial"/>
                <w:b/>
                <w:sz w:val="24"/>
                <w:szCs w:val="24"/>
              </w:rPr>
              <w:t>5</w:t>
            </w:r>
          </w:p>
        </w:tc>
        <w:tc>
          <w:tcPr>
            <w:tcW w:w="7410" w:type="dxa"/>
          </w:tcPr>
          <w:p w:rsidR="00D71E2E" w:rsidRPr="004C04D4" w:rsidRDefault="00CA287E">
            <w:pPr>
              <w:spacing w:before="200" w:line="276" w:lineRule="auto"/>
              <w:jc w:val="both"/>
              <w:rPr>
                <w:rFonts w:ascii="GHEA Grapalat" w:eastAsia="Arial" w:hAnsi="GHEA Grapalat" w:cs="Arial"/>
                <w:b/>
                <w:sz w:val="24"/>
                <w:szCs w:val="24"/>
              </w:rPr>
            </w:pPr>
            <w:r w:rsidRPr="004C04D4">
              <w:rPr>
                <w:rFonts w:ascii="GHEA Grapalat" w:eastAsia="Tahoma" w:hAnsi="GHEA Grapalat" w:cs="Tahoma"/>
                <w:b/>
                <w:sz w:val="24"/>
                <w:szCs w:val="24"/>
              </w:rPr>
              <w:t>Ֆինանսատնտեսագիտական վարչություն</w:t>
            </w:r>
          </w:p>
        </w:tc>
        <w:tc>
          <w:tcPr>
            <w:tcW w:w="7215" w:type="dxa"/>
          </w:tcPr>
          <w:p w:rsidR="00D71E2E" w:rsidRPr="004C04D4" w:rsidRDefault="00D71E2E">
            <w:pPr>
              <w:spacing w:before="200" w:line="276" w:lineRule="auto"/>
              <w:jc w:val="both"/>
              <w:rPr>
                <w:rFonts w:ascii="GHEA Grapalat" w:eastAsia="Arial" w:hAnsi="GHEA Grapalat" w:cs="Arial"/>
                <w:b/>
                <w:sz w:val="24"/>
                <w:szCs w:val="24"/>
              </w:rPr>
            </w:pPr>
          </w:p>
        </w:tc>
      </w:tr>
      <w:tr w:rsidR="00D71E2E" w:rsidRPr="004C04D4" w:rsidTr="00754C3E">
        <w:tc>
          <w:tcPr>
            <w:tcW w:w="630" w:type="dxa"/>
          </w:tcPr>
          <w:p w:rsidR="00D71E2E" w:rsidRPr="004C04D4" w:rsidRDefault="00CA287E">
            <w:pPr>
              <w:tabs>
                <w:tab w:val="left" w:pos="4768"/>
              </w:tabs>
              <w:spacing w:before="200" w:line="276" w:lineRule="auto"/>
              <w:jc w:val="center"/>
              <w:rPr>
                <w:rFonts w:ascii="GHEA Grapalat" w:eastAsia="Arial" w:hAnsi="GHEA Grapalat" w:cs="Arial"/>
                <w:sz w:val="24"/>
                <w:szCs w:val="24"/>
              </w:rPr>
            </w:pPr>
            <w:r w:rsidRPr="004C04D4">
              <w:rPr>
                <w:rFonts w:ascii="GHEA Grapalat" w:eastAsia="Arial" w:hAnsi="GHEA Grapalat" w:cs="Arial"/>
                <w:sz w:val="24"/>
                <w:szCs w:val="24"/>
              </w:rPr>
              <w:t>5</w:t>
            </w:r>
            <w:r w:rsidRPr="004C04D4">
              <w:rPr>
                <w:rFonts w:ascii="MS Mincho" w:eastAsia="MS Mincho" w:hAnsi="MS Mincho" w:cs="MS Mincho" w:hint="eastAsia"/>
                <w:sz w:val="24"/>
                <w:szCs w:val="24"/>
              </w:rPr>
              <w:t>․</w:t>
            </w:r>
            <w:r w:rsidRPr="004C04D4">
              <w:rPr>
                <w:rFonts w:ascii="GHEA Grapalat" w:eastAsia="Arial" w:hAnsi="GHEA Grapalat" w:cs="Arial"/>
                <w:sz w:val="24"/>
                <w:szCs w:val="24"/>
              </w:rPr>
              <w:t>1</w:t>
            </w:r>
          </w:p>
        </w:tc>
        <w:tc>
          <w:tcPr>
            <w:tcW w:w="7410" w:type="dxa"/>
          </w:tcPr>
          <w:p w:rsidR="00D71E2E" w:rsidRPr="004C04D4" w:rsidRDefault="00CA287E">
            <w:pPr>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t xml:space="preserve">«Հաշմանդամություն ունեցող անձանց իրավունքների մասին» ՀՀ օրենքի նախագծի </w:t>
            </w:r>
            <w:r w:rsidRPr="004C04D4">
              <w:rPr>
                <w:rFonts w:ascii="Courier New" w:eastAsia="Tahoma" w:hAnsi="Courier New" w:cs="Courier New"/>
                <w:sz w:val="24"/>
                <w:szCs w:val="24"/>
              </w:rPr>
              <w:t> </w:t>
            </w:r>
            <w:r w:rsidRPr="004C04D4">
              <w:rPr>
                <w:rFonts w:ascii="GHEA Grapalat" w:eastAsia="Tahoma" w:hAnsi="GHEA Grapalat" w:cs="Tahoma"/>
                <w:sz w:val="24"/>
                <w:szCs w:val="24"/>
              </w:rPr>
              <w:t xml:space="preserve">19-րդ հոդվածի 2-րդ մասում հղում է տրված «Հեռուստատեսության և ռադիոյի մասին» ՀՀ օրենքին, որն </w:t>
            </w:r>
            <w:r w:rsidRPr="004C04D4">
              <w:rPr>
                <w:rFonts w:ascii="Courier New" w:eastAsia="Tahoma" w:hAnsi="Courier New" w:cs="Courier New"/>
                <w:sz w:val="24"/>
                <w:szCs w:val="24"/>
              </w:rPr>
              <w:t> </w:t>
            </w:r>
            <w:r w:rsidRPr="004C04D4">
              <w:rPr>
                <w:rFonts w:ascii="GHEA Grapalat" w:eastAsia="Tahoma" w:hAnsi="GHEA Grapalat" w:cs="Tahoma"/>
                <w:sz w:val="24"/>
                <w:szCs w:val="24"/>
              </w:rPr>
              <w:t xml:space="preserve">այս պահին ուժը կորցրել է, փոխարենն ընդունվել է </w:t>
            </w:r>
            <w:r w:rsidRPr="004C04D4">
              <w:rPr>
                <w:rFonts w:ascii="GHEA Grapalat" w:eastAsia="Tahoma" w:hAnsi="GHEA Grapalat" w:cs="Tahoma"/>
                <w:sz w:val="24"/>
                <w:szCs w:val="24"/>
              </w:rPr>
              <w:lastRenderedPageBreak/>
              <w:t>նոր՝</w:t>
            </w:r>
            <w:r w:rsidRPr="004C04D4">
              <w:rPr>
                <w:rFonts w:ascii="Courier New" w:eastAsia="Tahoma" w:hAnsi="Courier New" w:cs="Courier New"/>
                <w:sz w:val="24"/>
                <w:szCs w:val="24"/>
              </w:rPr>
              <w:t> </w:t>
            </w:r>
            <w:r w:rsidRPr="004C04D4">
              <w:rPr>
                <w:rFonts w:ascii="GHEA Grapalat" w:eastAsia="Tahoma" w:hAnsi="GHEA Grapalat" w:cs="GHEA Grapalat"/>
                <w:sz w:val="24"/>
                <w:szCs w:val="24"/>
              </w:rPr>
              <w:t>«</w:t>
            </w:r>
            <w:r w:rsidRPr="004C04D4">
              <w:rPr>
                <w:rFonts w:ascii="GHEA Grapalat" w:eastAsia="Tahoma" w:hAnsi="GHEA Grapalat" w:cs="Tahoma"/>
                <w:sz w:val="24"/>
                <w:szCs w:val="24"/>
              </w:rPr>
              <w:t>Տեսալսողական մեդիայի մասին»</w:t>
            </w:r>
            <w:r w:rsidRPr="004C04D4">
              <w:rPr>
                <w:rFonts w:ascii="Courier New" w:eastAsia="Tahoma" w:hAnsi="Courier New" w:cs="Courier New"/>
                <w:sz w:val="24"/>
                <w:szCs w:val="24"/>
              </w:rPr>
              <w:t> </w:t>
            </w:r>
            <w:r w:rsidRPr="004C04D4">
              <w:rPr>
                <w:rFonts w:ascii="GHEA Grapalat" w:eastAsia="Tahoma" w:hAnsi="GHEA Grapalat" w:cs="Tahoma"/>
                <w:sz w:val="24"/>
                <w:szCs w:val="24"/>
              </w:rPr>
              <w:t>ՀՀ օրենքը: Ուստի</w:t>
            </w:r>
            <w:r w:rsidRPr="004C04D4">
              <w:rPr>
                <w:rFonts w:ascii="Courier New" w:eastAsia="Tahoma" w:hAnsi="Courier New" w:cs="Courier New"/>
                <w:sz w:val="24"/>
                <w:szCs w:val="24"/>
              </w:rPr>
              <w:t> </w:t>
            </w:r>
            <w:r w:rsidRPr="004C04D4">
              <w:rPr>
                <w:rFonts w:ascii="GHEA Grapalat" w:eastAsia="Tahoma" w:hAnsi="GHEA Grapalat" w:cs="Tahoma"/>
                <w:sz w:val="24"/>
                <w:szCs w:val="24"/>
              </w:rPr>
              <w:t xml:space="preserve">առաջարկում ենք </w:t>
            </w:r>
            <w:r w:rsidRPr="004C04D4">
              <w:rPr>
                <w:rFonts w:ascii="Courier New" w:eastAsia="Tahoma" w:hAnsi="Courier New" w:cs="Courier New"/>
                <w:sz w:val="24"/>
                <w:szCs w:val="24"/>
              </w:rPr>
              <w:t> </w:t>
            </w:r>
            <w:r w:rsidRPr="004C04D4">
              <w:rPr>
                <w:rFonts w:ascii="GHEA Grapalat" w:eastAsia="Tahoma" w:hAnsi="GHEA Grapalat" w:cs="Tahoma"/>
                <w:sz w:val="24"/>
                <w:szCs w:val="24"/>
              </w:rPr>
              <w:t>քննարկել և նախագծերի փաթեթում առկա</w:t>
            </w:r>
            <w:r w:rsidRPr="004C04D4">
              <w:rPr>
                <w:rFonts w:ascii="Courier New" w:eastAsia="Tahoma" w:hAnsi="Courier New" w:cs="Courier New"/>
                <w:sz w:val="24"/>
                <w:szCs w:val="24"/>
              </w:rPr>
              <w:t> </w:t>
            </w:r>
            <w:r w:rsidRPr="004C04D4">
              <w:rPr>
                <w:rFonts w:ascii="GHEA Grapalat" w:eastAsia="Tahoma" w:hAnsi="GHEA Grapalat" w:cs="Tahoma"/>
                <w:sz w:val="24"/>
                <w:szCs w:val="24"/>
              </w:rPr>
              <w:t xml:space="preserve"> ձևակերպումները համապատասխանեցնել նոր օրենքին:</w:t>
            </w:r>
          </w:p>
        </w:tc>
        <w:tc>
          <w:tcPr>
            <w:tcW w:w="7215" w:type="dxa"/>
          </w:tcPr>
          <w:p w:rsidR="00D71E2E" w:rsidRPr="004C04D4" w:rsidRDefault="00CA287E">
            <w:pPr>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lastRenderedPageBreak/>
              <w:t>Ընդունվել է:</w:t>
            </w:r>
          </w:p>
        </w:tc>
      </w:tr>
      <w:tr w:rsidR="00D71E2E" w:rsidRPr="004C04D4" w:rsidTr="00754C3E">
        <w:tc>
          <w:tcPr>
            <w:tcW w:w="630" w:type="dxa"/>
          </w:tcPr>
          <w:p w:rsidR="00D71E2E" w:rsidRPr="004C04D4" w:rsidRDefault="00CA287E">
            <w:pPr>
              <w:tabs>
                <w:tab w:val="left" w:pos="4768"/>
              </w:tabs>
              <w:spacing w:before="200" w:line="276" w:lineRule="auto"/>
              <w:jc w:val="center"/>
              <w:rPr>
                <w:rFonts w:ascii="GHEA Grapalat" w:eastAsia="Arial" w:hAnsi="GHEA Grapalat" w:cs="Arial"/>
                <w:sz w:val="24"/>
                <w:szCs w:val="24"/>
              </w:rPr>
            </w:pPr>
            <w:r w:rsidRPr="004C04D4">
              <w:rPr>
                <w:rFonts w:ascii="GHEA Grapalat" w:eastAsia="Arial" w:hAnsi="GHEA Grapalat" w:cs="Arial"/>
                <w:sz w:val="24"/>
                <w:szCs w:val="24"/>
              </w:rPr>
              <w:lastRenderedPageBreak/>
              <w:t>5</w:t>
            </w:r>
            <w:r w:rsidRPr="004C04D4">
              <w:rPr>
                <w:rFonts w:ascii="MS Mincho" w:eastAsia="MS Mincho" w:hAnsi="MS Mincho" w:cs="MS Mincho" w:hint="eastAsia"/>
                <w:sz w:val="24"/>
                <w:szCs w:val="24"/>
              </w:rPr>
              <w:t>․</w:t>
            </w:r>
            <w:r w:rsidRPr="004C04D4">
              <w:rPr>
                <w:rFonts w:ascii="GHEA Grapalat" w:eastAsia="Arial" w:hAnsi="GHEA Grapalat" w:cs="Arial"/>
                <w:sz w:val="24"/>
                <w:szCs w:val="24"/>
              </w:rPr>
              <w:t>2</w:t>
            </w:r>
          </w:p>
        </w:tc>
        <w:tc>
          <w:tcPr>
            <w:tcW w:w="7410" w:type="dxa"/>
          </w:tcPr>
          <w:p w:rsidR="00D71E2E" w:rsidRPr="004C04D4" w:rsidRDefault="00CA287E">
            <w:pPr>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t xml:space="preserve">«Անձի ֆունկցիոնալության գնահատման մասին» ՀՀ օրենքի 12-րդ հոդվածի 2-րդ մասում նշվում է, որ «Տեղեկատվական շտեմարանը ֆունկցիոնալության գնահատում անցած անձանց անձնական տվյալների, գնահատման արդյունքների և երաշխավորված ծառայությունների, …… գործունեությանը վերաբերող ոչ անձնական տվյալների ամբողջությունն է:»: Նույն հոդվածի 4-րդ մասի համաձայն՝ «անձնական տվյալների մշակում» հասկացությունը կիրառվում է «Անձնական տվյալների պաշտպանության մասին» ՀՀ օրենքում կիրառվող իմաստով: Հաշվի առնելով նշվածը, արդյո՞ք 2-րդ մասում նշված տվյալների ամբողջությունը կամ </w:t>
            </w:r>
            <w:r w:rsidRPr="004C04D4">
              <w:rPr>
                <w:rFonts w:ascii="Courier New" w:eastAsia="Tahoma" w:hAnsi="Courier New" w:cs="Courier New"/>
                <w:sz w:val="24"/>
                <w:szCs w:val="24"/>
              </w:rPr>
              <w:t> </w:t>
            </w:r>
            <w:r w:rsidRPr="004C04D4">
              <w:rPr>
                <w:rFonts w:ascii="GHEA Grapalat" w:eastAsia="Tahoma" w:hAnsi="GHEA Grapalat" w:cs="Tahoma"/>
                <w:sz w:val="24"/>
                <w:szCs w:val="24"/>
              </w:rPr>
              <w:t xml:space="preserve">տեղեկատվական շտեմարանում առկա տվյալներն արդեն իսկ </w:t>
            </w:r>
            <w:r w:rsidRPr="004C04D4">
              <w:rPr>
                <w:rFonts w:ascii="Courier New" w:eastAsia="Tahoma" w:hAnsi="Courier New" w:cs="Courier New"/>
                <w:sz w:val="24"/>
                <w:szCs w:val="24"/>
              </w:rPr>
              <w:t> </w:t>
            </w:r>
            <w:r w:rsidRPr="004C04D4">
              <w:rPr>
                <w:rFonts w:ascii="GHEA Grapalat" w:eastAsia="Tahoma" w:hAnsi="GHEA Grapalat" w:cs="Tahoma"/>
                <w:sz w:val="24"/>
                <w:szCs w:val="24"/>
              </w:rPr>
              <w:t>չեն հանդիսանում անձնական տվյալներ:</w:t>
            </w:r>
          </w:p>
          <w:p w:rsidR="00D71E2E" w:rsidRPr="004C04D4" w:rsidRDefault="00D71E2E">
            <w:pPr>
              <w:spacing w:before="200" w:line="276" w:lineRule="auto"/>
              <w:jc w:val="both"/>
              <w:rPr>
                <w:rFonts w:ascii="GHEA Grapalat" w:eastAsia="Arial" w:hAnsi="GHEA Grapalat" w:cs="Arial"/>
                <w:sz w:val="24"/>
                <w:szCs w:val="24"/>
              </w:rPr>
            </w:pPr>
          </w:p>
        </w:tc>
        <w:tc>
          <w:tcPr>
            <w:tcW w:w="7215" w:type="dxa"/>
          </w:tcPr>
          <w:p w:rsidR="00D71E2E" w:rsidRPr="004C04D4" w:rsidRDefault="00CA287E">
            <w:pPr>
              <w:shd w:val="clear" w:color="auto" w:fill="FFFFFF"/>
              <w:tabs>
                <w:tab w:val="left" w:pos="-90"/>
              </w:tabs>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t>Ընդունվել է ի գիտություն: «Անձի ֆունկցիոնալության գնահատման մասին» ՀՀ օրենքի նախագծի 3-դ հոդվածի 1-ին մասի 3-րդ ենթակետի համաձայն, անձի ֆունկցիոնալության գնահատումը Հայաստանի Հանրապետության օրենքով և այլ իրավական ակտերով սահմանված կարգով իրականացվող գործընթաց է, որն իրականացվում է անձի առողջական խնդիրների, գործունեության ու մասնակցության և միջավայրային արգելքների գնահատման հիման վրա անձին որպես հաշմանդամություն ունեցող անձ ճանաչելու կամ մերժելու, անձի ֆունկցիոնալության սահմանափակման աստիճանը որոշելու և անհատական կարիքներին համարժեք սոցիալական ծառայությունները որոշարկելու նպատակներով: Ելնելով վերոգրյալից՝ տեղեկատվական շտեմարանում արտացոլվելու են տվյալներ միջավայրային գործոնների, սոցիալական ծառայությունների և այլնի վերաբերյալ, որոնք անձնական տվյալ չեն հանդիսանում:</w:t>
            </w:r>
          </w:p>
        </w:tc>
      </w:tr>
      <w:tr w:rsidR="00D71E2E" w:rsidRPr="004C04D4" w:rsidTr="00754C3E">
        <w:tc>
          <w:tcPr>
            <w:tcW w:w="630" w:type="dxa"/>
          </w:tcPr>
          <w:p w:rsidR="00D71E2E" w:rsidRPr="004C04D4" w:rsidRDefault="00CA287E">
            <w:pPr>
              <w:tabs>
                <w:tab w:val="left" w:pos="4768"/>
              </w:tabs>
              <w:spacing w:before="200" w:line="276" w:lineRule="auto"/>
              <w:jc w:val="center"/>
              <w:rPr>
                <w:rFonts w:ascii="GHEA Grapalat" w:eastAsia="Arial" w:hAnsi="GHEA Grapalat" w:cs="Arial"/>
                <w:sz w:val="24"/>
                <w:szCs w:val="24"/>
              </w:rPr>
            </w:pPr>
            <w:r w:rsidRPr="004C04D4">
              <w:rPr>
                <w:rFonts w:ascii="GHEA Grapalat" w:eastAsia="Arial" w:hAnsi="GHEA Grapalat" w:cs="Arial"/>
                <w:sz w:val="24"/>
                <w:szCs w:val="24"/>
              </w:rPr>
              <w:t>5</w:t>
            </w:r>
            <w:r w:rsidRPr="004C04D4">
              <w:rPr>
                <w:rFonts w:ascii="MS Mincho" w:eastAsia="MS Mincho" w:hAnsi="MS Mincho" w:cs="MS Mincho" w:hint="eastAsia"/>
                <w:sz w:val="24"/>
                <w:szCs w:val="24"/>
              </w:rPr>
              <w:t>․</w:t>
            </w:r>
            <w:r w:rsidRPr="004C04D4">
              <w:rPr>
                <w:rFonts w:ascii="GHEA Grapalat" w:eastAsia="Arial" w:hAnsi="GHEA Grapalat" w:cs="Arial"/>
                <w:sz w:val="24"/>
                <w:szCs w:val="24"/>
              </w:rPr>
              <w:t>3</w:t>
            </w:r>
          </w:p>
        </w:tc>
        <w:tc>
          <w:tcPr>
            <w:tcW w:w="7410" w:type="dxa"/>
          </w:tcPr>
          <w:p w:rsidR="00D71E2E" w:rsidRPr="004C04D4" w:rsidRDefault="00CA287E">
            <w:pPr>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t xml:space="preserve">Պարզ չէ, թե ով է իրականացնելու «Վարչական իրավախախտումների վերաբերյալ Հայաստանի Հանրապետության օրենսգրքում լրացումներ կատարելու մասին» ՀՀ օրենքի նախագծում 43.2-րդ հոդվածի սահմանման արդյունքում անհրաժեշտ վերահսկողությունը (համապատասխան սանկցիան որ մարմինն է կիրառելու), բացի այդ նշենք, որ «Տեսալսողական մեդիայի մասին» ՀՀ օրենքի 9-րդ </w:t>
            </w:r>
            <w:r w:rsidRPr="004C04D4">
              <w:rPr>
                <w:rFonts w:ascii="GHEA Grapalat" w:eastAsia="Tahoma" w:hAnsi="GHEA Grapalat" w:cs="Tahoma"/>
                <w:sz w:val="24"/>
                <w:szCs w:val="24"/>
              </w:rPr>
              <w:lastRenderedPageBreak/>
              <w:t>գլխով կարգավորվում են պատասխանատվության հետ կապված հարաբերություններ:</w:t>
            </w:r>
            <w:r w:rsidRPr="004C04D4">
              <w:rPr>
                <w:rFonts w:ascii="Courier New" w:eastAsia="Tahoma" w:hAnsi="Courier New" w:cs="Courier New"/>
                <w:sz w:val="24"/>
                <w:szCs w:val="24"/>
              </w:rPr>
              <w:t> </w:t>
            </w:r>
            <w:r w:rsidRPr="004C04D4">
              <w:rPr>
                <w:rFonts w:ascii="GHEA Grapalat" w:eastAsia="Tahoma" w:hAnsi="GHEA Grapalat" w:cs="Tahoma"/>
                <w:sz w:val="24"/>
                <w:szCs w:val="24"/>
              </w:rPr>
              <w:t xml:space="preserve"> </w:t>
            </w:r>
          </w:p>
        </w:tc>
        <w:tc>
          <w:tcPr>
            <w:tcW w:w="7215" w:type="dxa"/>
          </w:tcPr>
          <w:p w:rsidR="00D71E2E" w:rsidRPr="004C04D4" w:rsidRDefault="00CA287E">
            <w:pPr>
              <w:spacing w:before="200" w:line="276" w:lineRule="auto"/>
              <w:jc w:val="both"/>
              <w:rPr>
                <w:rFonts w:ascii="GHEA Grapalat" w:eastAsia="Arial" w:hAnsi="GHEA Grapalat" w:cs="Arial"/>
                <w:sz w:val="24"/>
                <w:szCs w:val="24"/>
              </w:rPr>
            </w:pPr>
            <w:r w:rsidRPr="004C04D4">
              <w:rPr>
                <w:rFonts w:ascii="GHEA Grapalat" w:eastAsia="Tahoma" w:hAnsi="GHEA Grapalat" w:cs="Tahoma"/>
                <w:sz w:val="24"/>
                <w:szCs w:val="24"/>
              </w:rPr>
              <w:lastRenderedPageBreak/>
              <w:t>Ընդունվել է: Հաշվի առնելով, որ «Տեսալսողական մեդիայի մասին» ՀՀ օրենքի 9-րդ գլխով կարգավորվում են պատասխանատվության հետ կապված հարաբերությունները, նախագծից դրանց վերաբերող դրույթները հանվել են::</w:t>
            </w:r>
            <w:r w:rsidRPr="004C04D4">
              <w:rPr>
                <w:rFonts w:ascii="Courier New" w:eastAsia="Tahoma" w:hAnsi="Courier New" w:cs="Courier New"/>
                <w:sz w:val="24"/>
                <w:szCs w:val="24"/>
              </w:rPr>
              <w:t> </w:t>
            </w:r>
          </w:p>
        </w:tc>
      </w:tr>
    </w:tbl>
    <w:p w:rsidR="00D71E2E" w:rsidRPr="004C04D4" w:rsidRDefault="00D71E2E">
      <w:pPr>
        <w:tabs>
          <w:tab w:val="left" w:pos="4768"/>
        </w:tabs>
        <w:spacing w:before="200" w:after="0"/>
        <w:ind w:firstLine="720"/>
        <w:jc w:val="both"/>
        <w:rPr>
          <w:rFonts w:ascii="GHEA Grapalat" w:eastAsia="Arial" w:hAnsi="GHEA Grapalat" w:cs="Arial"/>
          <w:sz w:val="24"/>
          <w:szCs w:val="24"/>
        </w:rPr>
      </w:pPr>
      <w:bookmarkStart w:id="1" w:name="_gjdgxs" w:colFirst="0" w:colLast="0"/>
      <w:bookmarkEnd w:id="1"/>
    </w:p>
    <w:sectPr w:rsidR="00D71E2E" w:rsidRPr="004C04D4" w:rsidSect="003D7F48">
      <w:pgSz w:w="16838" w:h="11906" w:orient="landscape"/>
      <w:pgMar w:top="540" w:right="633" w:bottom="576"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A54E15"/>
    <w:multiLevelType w:val="multilevel"/>
    <w:tmpl w:val="7A22CF34"/>
    <w:lvl w:ilvl="0">
      <w:start w:val="1"/>
      <w:numFmt w:val="decimal"/>
      <w:lvlText w:val="%1)"/>
      <w:lvlJc w:val="left"/>
      <w:pPr>
        <w:ind w:left="106" w:hanging="390"/>
      </w:p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1" w15:restartNumberingAfterBreak="0">
    <w:nsid w:val="5CD2201F"/>
    <w:multiLevelType w:val="multilevel"/>
    <w:tmpl w:val="1512BC4E"/>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E2E"/>
    <w:rsid w:val="0012780F"/>
    <w:rsid w:val="00253CF3"/>
    <w:rsid w:val="00283BCB"/>
    <w:rsid w:val="003D7F48"/>
    <w:rsid w:val="004C04D4"/>
    <w:rsid w:val="005E0F6E"/>
    <w:rsid w:val="00754C3E"/>
    <w:rsid w:val="00776CA8"/>
    <w:rsid w:val="008F7A13"/>
    <w:rsid w:val="00A22E43"/>
    <w:rsid w:val="00AA346A"/>
    <w:rsid w:val="00CA287E"/>
    <w:rsid w:val="00CA3151"/>
    <w:rsid w:val="00CC3CB9"/>
    <w:rsid w:val="00CF0447"/>
    <w:rsid w:val="00D71E2E"/>
    <w:rsid w:val="00E57CA5"/>
    <w:rsid w:val="00F65F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ED403C-5308-4156-8097-540E1255A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65F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5F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2355</Words>
  <Characters>13428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Margarita Margaryan</dc:creator>
  <cp:keywords>https:/mul2.gov.am/tasks/379005/oneclick/EZRAKACUTYUN ASHXATAKAZM-3.docx?token=d69d95cf936261ea92bc6d8bcc72e5df</cp:keywords>
  <cp:lastModifiedBy>Margarita Margaryan</cp:lastModifiedBy>
  <cp:revision>2</cp:revision>
  <dcterms:created xsi:type="dcterms:W3CDTF">2021-01-15T14:01:00Z</dcterms:created>
  <dcterms:modified xsi:type="dcterms:W3CDTF">2021-01-15T14:01:00Z</dcterms:modified>
</cp:coreProperties>
</file>