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titleStyle"/>
      </w:pPr>
      <w:bookmarkStart w:id="1" w:name="_Toc1"/>
      <w:r>
        <w:t>Ամփոփաթերթ</w:t>
      </w:r>
      <w:bookmarkEnd w:id="1"/>
    </w:p>
    <w:p>
      <w:pPr>
        <w:pStyle w:val="HeadingtitleStyle"/>
      </w:pPr>
      <w:bookmarkStart w:id="2" w:name="_Toc2"/>
      <w:r>
        <w:t>«Հայաստանի Հանրապետության դատական օրենսգիրք» սահմանադրական օրենքում փոփոխություններ և լրացումներ կատարելու մասին» սահմանադրական օրենքի և հարակից օրենքի նախագծեր նախագծի վերաբերյալ</w:t>
      </w:r>
      <w:bookmarkEnd w:id="2"/>
    </w:p>
    <w:p>
      <w:pPr/>
      <w:r>
        <w:rPr/>
        <w:t xml:space="preserve"/>
      </w:r>
    </w:p>
    <w:p>
      <w:pPr/>
      <w:r>
        <w:rPr/>
        <w:t xml:space="preserve"/>
      </w:r>
    </w:p>
    <w:p>
      <w:pPr/>
      <w:r>
        <w:rPr/>
        <w:t xml:space="preserve"/>
      </w:r>
    </w:p>
    <w:tbl>
      <w:tblGrid>
        <w:gridCol w:w="500" w:type="dxa"/>
        <w:gridCol w:w="2250" w:type="dxa"/>
        <w:gridCol w:w="5200" w:type="dxa"/>
        <w:gridCol w:w="3800" w:type="dxa"/>
        <w:gridCol w:w="3000" w:type="dxa"/>
      </w:tblGrid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հ/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հ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Եզրակացություն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Կատարված փոփոխությունը</w:t>
            </w:r>
          </w:p>
        </w:tc>
      </w:tr>
      <w:tr>
        <w:trPr/>
        <w:tc>
          <w:tcPr>
            <w:tcW w:w="5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/>
            </w:r>
          </w:p>
        </w:tc>
        <w:tc>
          <w:tcPr>
            <w:tcW w:w="22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52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3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3</w:t>
            </w:r>
          </w:p>
        </w:tc>
        <w:tc>
          <w:tcPr>
            <w:tcW w:w="30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4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1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Վարդան Բարդախչյան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25.12.2020 21:29:24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Կներեք, ես իրավաբան չեմ և միգուցե չկարողանամ միտքս ձևակերպել իրավաբանության մեջ ընդունված տերմիններով։
Միայն մեկ հարց ունեմ կապված նախագծի հետ։ 
Հիմնավորումների մեջ դուք բերում հետևյալը՝
"Բացի այդ, առկա է նաև մեկ այլ խնդիր: Այսպես, «Հայաստանի Հանրապետության դատական օրենսգիրք» սահմանադրական օրենքի 32-րդ հոդվածի 3-րդ մասի կարգավորումների ուժով դատավորների հերթապահության ժամանակացույցի հրապարակայնության դեպքում կանխատեսելի է դառնում համապատասխան միջնորդությունը քննող դատավորի անձը, որն էլ իր հերթին խնդրահարույց է կոռուպցիոն հնարավոր ռիսկերի առաջացման տեսանկյունից:"
Բայց ես չեմ հասկանում, ինչպես է այս նախագիծը նշված կանախատեսելիությունը նվազեցնում, եթե շարունակելու է գործեր դատական օրենսգրքի նույն հոդվածը։
Եվ սրա հետ կապված, միգուցե է հարկ է հենց դատավորներին վերաբերվող (կամ դատավորների ներգրավվածությամբ) կոռուպցիոն գործերի քննությունը չտալ գործող այլ դատավորներին, այլ նախատեսել մեկ այլ ընթացակարգ, նմանատիպ գործերը քննելու համար։ 
Նոր դատավորների ներգրավվումը և ավելին նեղ մասնագիտական բաժանումը կարծում եմ այդ հարցը չեն լուծի։
Եթե սխալ եմ հասկանում, և իմ ասածը կապված չէ տվյալ նախագծի հետ, հայցում եմ Ձեր ներողամտությունը։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Նախագծի համաձայն՝ դատական իշխանության պաշտոնական կայքում հրապարակվում են միայն ժամանակացույցով հերթապահությանը ներգրավված դատավորների նստավայրերի վերաբերյալ տվյալները, հետևաբար նման կարգավորմամբ կանխատեսելիությունը նվազեցվում է:</w:t>
            </w:r>
          </w:p>
        </w:tc>
      </w:tr>
      <w:tr>
        <w:trPr/>
        <w:tc>
          <w:tcPr>
            <w:tcW w:w="5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</w:t>
            </w:r>
          </w:p>
        </w:tc>
        <w:tc>
          <w:tcPr>
            <w:tcW w:w="225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Արմեն Մաթևոսյան</w:t>
            </w:r>
          </w:p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24.12.2020 23:49:52</w:t>
            </w:r>
          </w:p>
        </w:tc>
        <w:tc>
          <w:tcPr>
            <w:tcW w:w="52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Կարծում եմ, անհրաժեշտ է նաև ներդնել դատավորների՝ թե անձնական ու մոտ հարազատներին պատկանող գույքի, և թե իրենց կայացրած դատավճիռների ողջամտության ու անկողմնակալության վերահսկողության անկախ և առարկայական մեխանիզմներ:</w:t>
            </w:r>
          </w:p>
        </w:tc>
        <w:tc>
          <w:tcPr>
            <w:tcW w:w="38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Ընդունվել է ի գիտություն: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rFonts w:ascii="GHEA Grapalat" w:hAnsi="GHEA Grapalat" w:eastAsia="GHEA Grapalat" w:cs="GHEA Grapalat"/>
                <w:color w:val="000000"/>
                <w:sz w:val="22"/>
                <w:szCs w:val="22"/>
              </w:rPr>
              <w:t xml:space="preserve">Դատավորի և նրա ընտանիքի գույքային դրության ստուգմանն ուղղված կառուցակարգ՝ բարեվարքության  հարցաթերթիկի ուսումնասիրության տեսքով առկա է:
Ինչ վերաբերում է դատական ակտերի իրավաչափության գնահատմանը, ապա այն իրականացվում է դատական ակտերի վերանայման արդյունքում:</w:t>
            </w:r>
          </w:p>
        </w:tc>
      </w:tr>
    </w:tbl>
    <w:sectPr>
      <w:pgSz w:orient="landscape" w:w="16787" w:h="11870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titleStyle">
    <w:link w:val="HeadingtitleStyleChar"/>
    <w:name w:val="heading titleStyle"/>
    <w:basedOn w:val="Normal"/>
    <w:pPr>
      <w:jc w:val="center"/>
    </w:pPr>
    <w:rPr>
      <w:rFonts w:ascii="GHEA Grapalat" w:hAnsi="GHEA Grapalat" w:eastAsia="GHEA Grapalat" w:cs="GHEA Grapalat"/>
      <w:color w:val="000000"/>
      <w:sz w:val="28"/>
      <w:szCs w:val="28"/>
      <w:b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2021-01-11T14:50:06+04:00</dcterms:created>
  <dcterms:modified xsi:type="dcterms:W3CDTF">2021-01-11T14:50:06+04:00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