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BB495" w14:textId="77777777" w:rsidR="0030753D" w:rsidRPr="0030753D" w:rsidRDefault="0030753D" w:rsidP="0030753D">
      <w:pPr>
        <w:spacing w:after="0"/>
        <w:jc w:val="center"/>
        <w:rPr>
          <w:rFonts w:ascii="GHEA Grapalat" w:hAnsi="GHEA Grapalat"/>
          <w:b/>
          <w:sz w:val="24"/>
          <w:szCs w:val="24"/>
          <w:lang w:val="hy-AM"/>
        </w:rPr>
      </w:pPr>
      <w:bookmarkStart w:id="0" w:name="_GoBack"/>
      <w:bookmarkEnd w:id="0"/>
      <w:r w:rsidRPr="0030753D">
        <w:rPr>
          <w:rFonts w:ascii="GHEA Grapalat" w:hAnsi="GHEA Grapalat"/>
          <w:b/>
          <w:sz w:val="24"/>
          <w:szCs w:val="24"/>
          <w:lang w:val="hy-AM"/>
        </w:rPr>
        <w:t>ԱՄՓՈՓԱԹԵՐԹ</w:t>
      </w:r>
    </w:p>
    <w:p w14:paraId="460B64F0" w14:textId="40E63AC8" w:rsidR="0030753D" w:rsidRPr="0030753D" w:rsidRDefault="0030753D" w:rsidP="0030753D">
      <w:pPr>
        <w:spacing w:after="0"/>
        <w:jc w:val="center"/>
        <w:rPr>
          <w:rFonts w:ascii="GHEA Grapalat" w:eastAsia="Times New Roman" w:hAnsi="GHEA Grapalat" w:cs="GHEA Grapalat"/>
          <w:b/>
          <w:bCs/>
          <w:sz w:val="24"/>
          <w:szCs w:val="24"/>
          <w:bdr w:val="none" w:sz="0" w:space="0" w:color="auto" w:frame="1"/>
          <w:lang w:val="hy-AM"/>
        </w:rPr>
      </w:pPr>
      <w:r w:rsidRPr="0030753D">
        <w:rPr>
          <w:rFonts w:ascii="GHEA Grapalat" w:eastAsia="Times New Roman" w:hAnsi="GHEA Grapalat" w:cs="Times New Roman"/>
          <w:b/>
          <w:bCs/>
          <w:sz w:val="24"/>
          <w:szCs w:val="24"/>
          <w:bdr w:val="none" w:sz="0" w:space="0" w:color="auto" w:frame="1"/>
          <w:lang w:val="hy-AM"/>
        </w:rPr>
        <w:t>«ՏՆՏԵՍԱԿԱՆ ՄՐՑԱԿՑՈՒԹՅԱՆ ՊԱՇՏՊԱՆՈՒԹՅԱՆ ՄԱՍԻՆ»</w:t>
      </w:r>
      <w:r w:rsidRPr="0030753D">
        <w:rPr>
          <w:rFonts w:ascii="GHEA Grapalat" w:eastAsia="Times New Roman" w:hAnsi="GHEA Grapalat" w:cs="Calibri"/>
          <w:b/>
          <w:bCs/>
          <w:sz w:val="24"/>
          <w:szCs w:val="24"/>
          <w:bdr w:val="none" w:sz="0" w:space="0" w:color="auto" w:frame="1"/>
          <w:lang w:val="hy-AM"/>
        </w:rPr>
        <w:t xml:space="preserve"> </w:t>
      </w:r>
      <w:r w:rsidRPr="0030753D">
        <w:rPr>
          <w:rFonts w:ascii="GHEA Grapalat" w:eastAsia="Times New Roman" w:hAnsi="GHEA Grapalat" w:cs="GHEA Grapalat"/>
          <w:b/>
          <w:bCs/>
          <w:sz w:val="24"/>
          <w:szCs w:val="24"/>
          <w:bdr w:val="none" w:sz="0" w:space="0" w:color="auto" w:frame="1"/>
          <w:lang w:val="hy-AM"/>
        </w:rPr>
        <w:t>ՕՐԵՆՔՈՒՄ</w:t>
      </w:r>
      <w:r w:rsidRPr="0030753D">
        <w:rPr>
          <w:rFonts w:ascii="GHEA Grapalat" w:eastAsia="Times New Roman" w:hAnsi="GHEA Grapalat" w:cs="Calibri"/>
          <w:sz w:val="24"/>
          <w:szCs w:val="24"/>
          <w:lang w:val="hy-AM"/>
        </w:rPr>
        <w:t xml:space="preserve"> </w:t>
      </w:r>
      <w:r w:rsidRPr="0030753D">
        <w:rPr>
          <w:rFonts w:ascii="GHEA Grapalat" w:eastAsia="Times New Roman" w:hAnsi="GHEA Grapalat" w:cs="Times New Roman"/>
          <w:b/>
          <w:bCs/>
          <w:sz w:val="24"/>
          <w:szCs w:val="24"/>
          <w:bdr w:val="none" w:sz="0" w:space="0" w:color="auto" w:frame="1"/>
          <w:lang w:val="hy-AM"/>
        </w:rPr>
        <w:t xml:space="preserve">ՓՈՓՈԽՈՒԹՅՈՒՆ </w:t>
      </w:r>
      <w:r w:rsidRPr="0030753D">
        <w:rPr>
          <w:rFonts w:ascii="GHEA Grapalat" w:eastAsia="Times New Roman" w:hAnsi="GHEA Grapalat" w:cs="GHEA Grapalat"/>
          <w:b/>
          <w:bCs/>
          <w:sz w:val="24"/>
          <w:szCs w:val="24"/>
          <w:bdr w:val="none" w:sz="0" w:space="0" w:color="auto" w:frame="1"/>
          <w:lang w:val="hy-AM"/>
        </w:rPr>
        <w:t>ԿԱՏԱՐԵԼՈՒ</w:t>
      </w:r>
      <w:r w:rsidRPr="0030753D">
        <w:rPr>
          <w:rFonts w:ascii="GHEA Grapalat" w:eastAsia="Times New Roman" w:hAnsi="GHEA Grapalat" w:cs="Times New Roman"/>
          <w:b/>
          <w:bCs/>
          <w:sz w:val="24"/>
          <w:szCs w:val="24"/>
          <w:bdr w:val="none" w:sz="0" w:space="0" w:color="auto" w:frame="1"/>
          <w:lang w:val="hy-AM"/>
        </w:rPr>
        <w:t xml:space="preserve"> </w:t>
      </w:r>
      <w:r w:rsidRPr="0030753D">
        <w:rPr>
          <w:rFonts w:ascii="GHEA Grapalat" w:eastAsia="Times New Roman" w:hAnsi="GHEA Grapalat" w:cs="GHEA Grapalat"/>
          <w:b/>
          <w:bCs/>
          <w:sz w:val="24"/>
          <w:szCs w:val="24"/>
          <w:bdr w:val="none" w:sz="0" w:space="0" w:color="auto" w:frame="1"/>
          <w:lang w:val="hy-AM"/>
        </w:rPr>
        <w:t xml:space="preserve">ՄԱՍԻՆ», «ՀԱՅԱՍՏԱՆԻ ՀԱՆՐԱՊԵՏՈՒԹՅՈՒՆՈՒՄ ՍՏՈՒԳՈՒՄՆԵՐԻ ԿԱԶՄԱԿԵՐՊՄԱՆ ԵՎ ԱՆՑԿԱՑՄԱՆ ՄԱՍԻՆ»  ՕՐԵՆՔՈՒՄ ՓՈՓՈԽՈՒԹՅՈՒՆՆԵՐ ԵՎ ԼՐԱՑՈՒՄՆԵՐ ԿԱՏԱՐԵԼՈՒ ՄԱՍԻՆ», «ՎԱՐՉԱԿԱՆ ԻՐԱՎԱԽԱԽՏՈՒՄՆԵՐԻ ՎԵՐԱԲԵՐՅԱԼ ՀԱՅԱՍՏԱՆԻ ՀԱՆՐԱՊԵՏՈՒԹՅԱՆ ՕՐԵՆՍԳՐՔՈՒՄ ՓՈՓՈԽՈՒԹՅՈՒՆՆԵՐ ԵՎ ԼՐԱՑՈՒՄՆԵՐ ԿԱՏԱՐԵԼՈՒ ՄԱՍԻՆ», «ՀԱՅԱՍՏԱՆԻ ՀԱՆՐԱՊԵՏՈՒԹՅԱՆ ՔՐԵԱԿԱՆ ՕՐԵՆՍԳՐՔՈՒՄ ՓՈՓՈԽՈՒԹՅՈՒՆ ԿԱՏԱՐԵԼՈՒ ՄԱՍԻՆ», «ՕՊԵՐԱՏԻՎ-ՀԵՏԱԽՈՒԶԱԿԱՆ ԳՈՐԾՈՒՆԵՈՒԹՅԱՆ ՄԱՍԻՆ» ՕՐԵՆՔՈՒՄ ԼՐԱՑՈՒՄՆԵՐ ԵՎ ՓՈՓՈԽՈՒԹՅՈՒՆ ԿԱՏԱՐԵԼՈՒ ՄԱՍԻՆ», «ԿԵՆՏՐՈՆԱԿԱՆ ԲԱՆԿԻ ՄԱՍԻՆ» ՕՐԵՆՔՈՒՄ ԼՐԱՑՈՒՄ ԵՎ ՓՈՓՈԽՈՒԹՅՈՒՆՆԵՐ ԿԱՏԱՐԵԼՈՒ ՄԱՍԻՆ», </w:t>
      </w:r>
      <w:r w:rsidRPr="0030753D">
        <w:rPr>
          <w:rFonts w:ascii="GHEA Grapalat" w:eastAsia="Times New Roman" w:hAnsi="GHEA Grapalat" w:cs="Times New Roman"/>
          <w:b/>
          <w:bCs/>
          <w:color w:val="000000"/>
          <w:sz w:val="24"/>
          <w:szCs w:val="24"/>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«ԴԱՏԱԿԱՆ ԱԿՏԵՐԻ ՀԱՐԿԱԴԻՐ ԿԱՏԱՐՄԱՆ ՄԱՍԻՆ» ՕՐԵՆՔՈՒՄ ԼՐԱՑՈՒՄՆԵՐ ԿԱՏԱՐԵԼՈՒ ՄԱՍԻՆ»,</w:t>
      </w:r>
      <w:r w:rsidRPr="0030753D">
        <w:rPr>
          <w:rFonts w:ascii="GHEA Grapalat" w:eastAsia="Times New Roman" w:hAnsi="GHEA Grapalat" w:cs="GHEA Grapalat"/>
          <w:b/>
          <w:bCs/>
          <w:sz w:val="24"/>
          <w:szCs w:val="24"/>
          <w:bdr w:val="none" w:sz="0" w:space="0" w:color="auto" w:frame="1"/>
          <w:lang w:val="hy-AM"/>
        </w:rPr>
        <w:t xml:space="preserve"> « ՀԱՅԱՍՏԱՆԻ ՀԱՆՐԱՊԵՏՈՒԹՅԱՆ ՔԱՂԱՔԱՑԻԱԿԱՆ ՕՐԵՆՍԳՐՔՈՒՄ ՓՈՓՈԽՈՒԹՅՈՒՆՆԵՐ ԿԱՏԱՐԵԼՈՒ ՄԱՍԻՆ», «ԷԼԵԿՏՐՈՆԱՅԻՆ ՀԱՂՈՐԴԱԿՑՈՒԹՅԱՆ ՄԱՍԻՆ» ՕՐԵՆՔՈՒՄ ՓՈՓՈԽՈՒԹՅՈՒՆՆԵՐ ԿԱՏԱՐԵԼՈՒ ՄԱՍԻՆ», «ՍՆԱՆԿՈՒԹՅԱՆ ՄԱՍԻՆ» ՕՐԵՆՔՈՒՄ ՓՈՓՈԽՈՒԹՅՈՒՆՆԵՐ ԿԱՏԱՐԵԼՈՒ ՄԱՍԻՆ», «ԱՐԺԵԹՂԹԵՐԻ ՇՈՒԿԱՅԻ ՄԱՍԻՆ» ՕՐԵՆՔՈՒՄ ՓՈՓՈԽՈՒԹՅՈՒՆ ԿԱՏԱՐԵԼՈՒ ՄԱՍԻՆ», «ՀԱՏՈՒԿ ՔՆՆՉԱԿԱՆ ԾԱՌԱՅՈՒԹՅԱՆ ՄԱՍԻՆ» ՕՐԵՆՔՈՒՄ ՓՈՓՈԽՈՒԹՅՈՒՆ ԿԱՏԱՐԵԼՈՒ ՄԱՍԻՆ», «ՀԱՅԱՍՏԱՆԻ ՀԱՆՐԱՊԵՏՈՒԹՅԱՆ ՔՐԵԱԿԱՆ ԴԱՏԱՎԱՐՈՒԹՅԱՆ ՕՐԵՆՍԳՐՔՈՒՄ </w:t>
      </w:r>
      <w:r w:rsidR="0002463D">
        <w:rPr>
          <w:rFonts w:ascii="GHEA Grapalat" w:eastAsia="Times New Roman" w:hAnsi="GHEA Grapalat" w:cs="GHEA Grapalat"/>
          <w:b/>
          <w:bCs/>
          <w:sz w:val="24"/>
          <w:szCs w:val="24"/>
          <w:bdr w:val="none" w:sz="0" w:space="0" w:color="auto" w:frame="1"/>
          <w:lang w:val="hy-AM"/>
        </w:rPr>
        <w:t>ԼՐԱՑՈՒՄ</w:t>
      </w:r>
      <w:r w:rsidRPr="0030753D">
        <w:rPr>
          <w:rFonts w:ascii="GHEA Grapalat" w:eastAsia="Times New Roman" w:hAnsi="GHEA Grapalat" w:cs="GHEA Grapalat"/>
          <w:b/>
          <w:bCs/>
          <w:sz w:val="24"/>
          <w:szCs w:val="24"/>
          <w:bdr w:val="none" w:sz="0" w:space="0" w:color="auto" w:frame="1"/>
          <w:lang w:val="hy-AM"/>
        </w:rPr>
        <w:t xml:space="preserve"> ԿԱՏԱՐԵԼՈՒ ՄԱՍԻՆ», «ՀԱՅԱՍՏԱՆԻ ՀԱՆՐԱՊԵՏՈՒԹՅԱՆ ՔԱՂԱՔԱՑԻԱԿԱՆ ԴԱՏԱՎԱՐՈՒԹՅԱՆ ՕՐԵՆՍԳՐՔՈՒՄ ՓՈՓՈԽՈՒԹՅՈՒՆ ԿԱՏԱՐԵԼՈՒ ՄԱՍԻՆ», «ՀԱՅԱՍՏԱՆԻ ՀԱՆՐԱՊԵՏՈՒԹՅԱՆ ՎԱՐՉԱԿԱՆ ԴԱՏԱՎԱՐՈՒԹՅԱՆ ՕՐԵՆՍԳՐՔՈՒՄ ՓՈՓՈԽՈՒԹՅՈՒՆ ԿԱՏԱՐԵԼՈՒ ՄԱՍԻՆ» ՕՐԵՆՔՆԵՐԻ ԵՎ «ԱԶԳԱՅԻՆ ԺՈՂՈՎԻ ԿԱՆՈՆԱԿԱՐԳ» ՍԱՀՄԱՆԱԴՐԱԿԱՆ ՕՐԵՆՔՈՒՄ ՓՈՓՈԽՈՒԹՅՈՒՆ ԵՎ ԼՐԱՑՈՒՄՆԵՐ ԿԱՏԱՐԵԼՈՒ ՄԱՍԻՆ» ՍԱՀՄԱՆԱԴՐԱԿԱՆ ՕՐԵՆՔԻ</w:t>
      </w:r>
    </w:p>
    <w:p w14:paraId="3E2C167E" w14:textId="293607B5" w:rsidR="0030753D" w:rsidRPr="0030753D" w:rsidRDefault="0030753D" w:rsidP="0030753D">
      <w:pPr>
        <w:spacing w:after="0"/>
        <w:jc w:val="center"/>
        <w:rPr>
          <w:rFonts w:ascii="GHEA Grapalat" w:hAnsi="GHEA Grapalat"/>
          <w:b/>
          <w:sz w:val="24"/>
          <w:szCs w:val="24"/>
          <w:lang w:val="hy-AM"/>
        </w:rPr>
      </w:pPr>
      <w:r w:rsidRPr="0030753D">
        <w:rPr>
          <w:rFonts w:ascii="GHEA Grapalat" w:eastAsia="Times New Roman" w:hAnsi="GHEA Grapalat" w:cs="GHEA Grapalat"/>
          <w:b/>
          <w:bCs/>
          <w:sz w:val="24"/>
          <w:szCs w:val="24"/>
          <w:bdr w:val="none" w:sz="0" w:space="0" w:color="auto" w:frame="1"/>
          <w:lang w:val="hy-AM"/>
        </w:rPr>
        <w:t xml:space="preserve"> </w:t>
      </w:r>
      <w:r w:rsidRPr="0030753D">
        <w:rPr>
          <w:rFonts w:ascii="GHEA Grapalat" w:hAnsi="GHEA Grapalat"/>
          <w:b/>
          <w:sz w:val="24"/>
          <w:szCs w:val="24"/>
          <w:lang w:val="hy-AM"/>
        </w:rPr>
        <w:t xml:space="preserve"> ՆԱԽԱԳԾԵՐԻ ՎԵՐԱԲԵՐՅԱԼ </w:t>
      </w:r>
      <w:r w:rsidR="00351AF5">
        <w:rPr>
          <w:rFonts w:ascii="GHEA Grapalat" w:hAnsi="GHEA Grapalat"/>
          <w:b/>
          <w:sz w:val="24"/>
          <w:szCs w:val="24"/>
          <w:lang w:val="hy-AM"/>
        </w:rPr>
        <w:t xml:space="preserve">ՓՈԽՎԱՐՉԱՊԵՏ ՄՀԵՐ ԳՐԻԳՈՐՅԱՆԻ ԳՐԱՍԵՆՅԱԿԻ ԿՈՂՄԻՑ ՏՐՎԱԾ </w:t>
      </w:r>
      <w:r w:rsidRPr="0030753D">
        <w:rPr>
          <w:rFonts w:ascii="GHEA Grapalat" w:hAnsi="GHEA Grapalat"/>
          <w:b/>
          <w:sz w:val="24"/>
          <w:szCs w:val="24"/>
          <w:lang w:val="hy-AM"/>
        </w:rPr>
        <w:t>ԵԶՐԱԿԱՑՈՒԹՅԱՆ</w:t>
      </w:r>
    </w:p>
    <w:p w14:paraId="3C67A84E" w14:textId="77777777" w:rsidR="0030753D" w:rsidRPr="0030753D" w:rsidRDefault="0030753D" w:rsidP="0030753D">
      <w:pPr>
        <w:spacing w:after="0"/>
        <w:jc w:val="center"/>
        <w:rPr>
          <w:rFonts w:ascii="GHEA Grapalat" w:hAnsi="GHEA Grapalat"/>
          <w:b/>
          <w:sz w:val="24"/>
          <w:szCs w:val="24"/>
          <w:lang w:val="hy-AM"/>
        </w:rPr>
      </w:pPr>
    </w:p>
    <w:tbl>
      <w:tblPr>
        <w:tblStyle w:val="TableGrid"/>
        <w:tblW w:w="14045" w:type="dxa"/>
        <w:tblInd w:w="-612" w:type="dxa"/>
        <w:tblLayout w:type="fixed"/>
        <w:tblLook w:val="04A0" w:firstRow="1" w:lastRow="0" w:firstColumn="1" w:lastColumn="0" w:noHBand="0" w:noVBand="1"/>
      </w:tblPr>
      <w:tblGrid>
        <w:gridCol w:w="749"/>
        <w:gridCol w:w="6350"/>
        <w:gridCol w:w="2268"/>
        <w:gridCol w:w="4678"/>
      </w:tblGrid>
      <w:tr w:rsidR="0030753D" w:rsidRPr="0030753D" w14:paraId="03AE8BE6" w14:textId="77777777" w:rsidTr="009447F6">
        <w:tc>
          <w:tcPr>
            <w:tcW w:w="749" w:type="dxa"/>
          </w:tcPr>
          <w:p w14:paraId="6FB08B94" w14:textId="77777777" w:rsidR="0030753D" w:rsidRPr="0030753D" w:rsidRDefault="0030753D" w:rsidP="009447F6">
            <w:pPr>
              <w:spacing w:after="0"/>
              <w:jc w:val="center"/>
              <w:rPr>
                <w:rFonts w:ascii="GHEA Grapalat" w:hAnsi="GHEA Grapalat"/>
                <w:b/>
                <w:sz w:val="24"/>
                <w:szCs w:val="24"/>
                <w:lang w:val="hy-AM"/>
              </w:rPr>
            </w:pPr>
            <w:r w:rsidRPr="0030753D">
              <w:rPr>
                <w:rFonts w:ascii="GHEA Grapalat" w:hAnsi="GHEA Grapalat"/>
                <w:b/>
                <w:sz w:val="24"/>
                <w:szCs w:val="24"/>
                <w:lang w:val="hy-AM"/>
              </w:rPr>
              <w:t>N</w:t>
            </w:r>
          </w:p>
        </w:tc>
        <w:tc>
          <w:tcPr>
            <w:tcW w:w="6350" w:type="dxa"/>
          </w:tcPr>
          <w:p w14:paraId="62E7A566" w14:textId="77777777" w:rsidR="0030753D" w:rsidRPr="0030753D" w:rsidRDefault="0030753D" w:rsidP="009447F6">
            <w:pPr>
              <w:spacing w:after="0"/>
              <w:jc w:val="center"/>
              <w:rPr>
                <w:rFonts w:ascii="GHEA Grapalat" w:hAnsi="GHEA Grapalat"/>
                <w:b/>
                <w:sz w:val="24"/>
                <w:szCs w:val="24"/>
                <w:lang w:val="hy-AM"/>
              </w:rPr>
            </w:pPr>
            <w:r w:rsidRPr="0030753D">
              <w:rPr>
                <w:rFonts w:ascii="GHEA Grapalat" w:hAnsi="GHEA Grapalat"/>
                <w:b/>
                <w:sz w:val="24"/>
                <w:szCs w:val="24"/>
                <w:lang w:val="hy-AM"/>
              </w:rPr>
              <w:t>Առաջարկության բովանդակություն</w:t>
            </w:r>
          </w:p>
        </w:tc>
        <w:tc>
          <w:tcPr>
            <w:tcW w:w="2268" w:type="dxa"/>
          </w:tcPr>
          <w:p w14:paraId="6BC124FA" w14:textId="77777777" w:rsidR="0030753D" w:rsidRPr="0030753D" w:rsidRDefault="0030753D" w:rsidP="009447F6">
            <w:pPr>
              <w:spacing w:after="0"/>
              <w:jc w:val="center"/>
              <w:rPr>
                <w:rFonts w:ascii="GHEA Grapalat" w:hAnsi="GHEA Grapalat"/>
                <w:b/>
                <w:sz w:val="24"/>
                <w:szCs w:val="24"/>
                <w:lang w:val="hy-AM"/>
              </w:rPr>
            </w:pPr>
            <w:r w:rsidRPr="0030753D">
              <w:rPr>
                <w:rFonts w:ascii="GHEA Grapalat" w:hAnsi="GHEA Grapalat"/>
                <w:b/>
                <w:sz w:val="24"/>
                <w:szCs w:val="24"/>
                <w:lang w:val="hy-AM"/>
              </w:rPr>
              <w:t>Եզրակացություն</w:t>
            </w:r>
          </w:p>
        </w:tc>
        <w:tc>
          <w:tcPr>
            <w:tcW w:w="4678" w:type="dxa"/>
          </w:tcPr>
          <w:p w14:paraId="6BB46C60" w14:textId="77777777" w:rsidR="0030753D" w:rsidRPr="0030753D" w:rsidRDefault="0030753D" w:rsidP="009447F6">
            <w:pPr>
              <w:spacing w:after="0"/>
              <w:jc w:val="center"/>
              <w:rPr>
                <w:rFonts w:ascii="GHEA Grapalat" w:hAnsi="GHEA Grapalat"/>
                <w:b/>
                <w:sz w:val="24"/>
                <w:szCs w:val="24"/>
                <w:lang w:val="hy-AM"/>
              </w:rPr>
            </w:pPr>
            <w:r w:rsidRPr="0030753D">
              <w:rPr>
                <w:rFonts w:ascii="GHEA Grapalat" w:hAnsi="GHEA Grapalat"/>
                <w:b/>
                <w:sz w:val="24"/>
                <w:szCs w:val="24"/>
                <w:lang w:val="hy-AM"/>
              </w:rPr>
              <w:t>Կատարված փոփոխությունը</w:t>
            </w:r>
          </w:p>
        </w:tc>
      </w:tr>
      <w:tr w:rsidR="0030753D" w:rsidRPr="005D6096" w14:paraId="46A89071" w14:textId="77777777" w:rsidTr="009447F6">
        <w:trPr>
          <w:trHeight w:val="699"/>
        </w:trPr>
        <w:tc>
          <w:tcPr>
            <w:tcW w:w="749" w:type="dxa"/>
          </w:tcPr>
          <w:p w14:paraId="5A39B51E"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vAlign w:val="center"/>
          </w:tcPr>
          <w:p w14:paraId="2C8DCB0C" w14:textId="77777777" w:rsidR="00156F69" w:rsidRPr="00156F69"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SIGMA-ի Հայաստան 2019թ. «Հանրային կառավարման սկզբունքները» Զեկույցում  անդրադարձ է կատարվել նաև Տնտեսական մրցակցության պաշտպանության պետական հանձնաժողովի կարգավիճակին: Զեկույցում, մասնավորապես, նշվում է, որ «Շատ քիչ պետական մարմիններ են գտնվում Խորհրդարանի ենթակայության տակ, ինչը դրական է: Այնուամենայնիվ, այդ մարմիններից երկուսը՝ Տնտեսական մրցակցության պաշտպանության պետական հանձնաժողովը և  Հանրային ծառայությունները կարգավորող հանձնաժողովը, իրականացնում են բացառապես գործադիր գործառույթներ և ԵՄ անդամ երկրների մեծ մասում դրանք գտնվում են Կառավարության ենթակայության տակ։»</w:t>
            </w:r>
          </w:p>
          <w:p w14:paraId="12DA2BD8" w14:textId="56B3644C" w:rsidR="0030753D" w:rsidRPr="0030753D" w:rsidRDefault="00156F69" w:rsidP="00156F69">
            <w:pPr>
              <w:pStyle w:val="ListParagraph"/>
              <w:spacing w:after="0"/>
              <w:ind w:left="8"/>
              <w:contextualSpacing w:val="0"/>
              <w:jc w:val="center"/>
              <w:rPr>
                <w:rFonts w:ascii="GHEA Grapalat" w:hAnsi="GHEA Grapalat" w:cs="Sylfaen"/>
                <w:sz w:val="24"/>
                <w:szCs w:val="24"/>
                <w:lang w:val="hy-AM"/>
              </w:rPr>
            </w:pPr>
            <w:r w:rsidRPr="00156F69">
              <w:rPr>
                <w:rFonts w:ascii="GHEA Grapalat" w:hAnsi="GHEA Grapalat" w:cs="Sylfaen"/>
                <w:sz w:val="24"/>
                <w:szCs w:val="24"/>
                <w:lang w:val="hy-AM"/>
              </w:rPr>
              <w:t>Հիմք ընդունելով վերոնշյալ զեկույցում արտահայտված դիրքորոշումը և հաշվի առնելով նախագծով առաջարկվող Հանձնաժողովի դերակատարության և լիազորությունների ընդլայնումը՝ առաջարկում ենք  նախագծին անդրադառնալ հանրային կառավարման բարեփոխումների ռազմավարության ընդունումից հետո, որտեղ պետք է ամրագրվեն պետական մարմինների ստեղծման սկզբունքների և լիազորությունների/գործունեության սահմանման շրջանակը: Որպես այլընտրանք կարող է դիտարկվել Հանրային կառավարման բարեփոխումների ռազմավարության մշակման գործընթացների կազմակերպման խորհրդում նշված նախագծի քննարկումը:</w:t>
            </w:r>
          </w:p>
        </w:tc>
        <w:tc>
          <w:tcPr>
            <w:tcW w:w="2268" w:type="dxa"/>
            <w:shd w:val="clear" w:color="auto" w:fill="auto"/>
          </w:tcPr>
          <w:p w14:paraId="20715675" w14:textId="0623A290" w:rsidR="0030753D" w:rsidRPr="0030753D" w:rsidRDefault="00DE27D9"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shd w:val="clear" w:color="auto" w:fill="auto"/>
          </w:tcPr>
          <w:p w14:paraId="4C058FE3" w14:textId="03C64D42" w:rsidR="00327E3C" w:rsidRDefault="00327E3C" w:rsidP="009447F6">
            <w:pPr>
              <w:spacing w:after="0"/>
              <w:jc w:val="center"/>
              <w:rPr>
                <w:rFonts w:ascii="GHEA Grapalat" w:hAnsi="GHEA Grapalat"/>
                <w:sz w:val="24"/>
                <w:szCs w:val="24"/>
                <w:lang w:val="hy-AM"/>
              </w:rPr>
            </w:pPr>
            <w:r>
              <w:rPr>
                <w:rFonts w:ascii="GHEA Grapalat" w:hAnsi="GHEA Grapalat"/>
                <w:sz w:val="24"/>
                <w:szCs w:val="24"/>
                <w:lang w:val="hy-AM"/>
              </w:rPr>
              <w:t>Սահմանադրության 122-րդ հոդված</w:t>
            </w:r>
            <w:r w:rsidR="00825198">
              <w:rPr>
                <w:rFonts w:ascii="GHEA Grapalat" w:hAnsi="GHEA Grapalat"/>
                <w:sz w:val="24"/>
                <w:szCs w:val="24"/>
                <w:lang w:val="hy-AM"/>
              </w:rPr>
              <w:t xml:space="preserve">ի </w:t>
            </w:r>
            <w:r>
              <w:rPr>
                <w:rFonts w:ascii="GHEA Grapalat" w:hAnsi="GHEA Grapalat"/>
                <w:sz w:val="24"/>
                <w:szCs w:val="24"/>
                <w:lang w:val="hy-AM"/>
              </w:rPr>
              <w:t xml:space="preserve">1-ին մասի համաձայն՝ </w:t>
            </w:r>
            <w:r w:rsidRPr="00327E3C">
              <w:rPr>
                <w:rFonts w:ascii="GHEA Grapalat" w:hAnsi="GHEA Grapalat"/>
                <w:sz w:val="24"/>
                <w:szCs w:val="24"/>
                <w:lang w:val="hy-AM"/>
              </w:rPr>
              <w:t>Մարդու և քաղաքացու հիմնական իրավունքների և ազատությունների իրականացումն ապահովելու, ինչպես նաև Սահմանադրությամբ սահմանված հիմնարար նշանակություն ունեցող հանրային շահերի պաշտպանության նպատակով պատգամավորների ընդհանուր թվի ձայների մեծամասնությամբ ընդունված օրենքով կարող են ստեղծվել ինքնավար մարմիններ:</w:t>
            </w:r>
          </w:p>
          <w:p w14:paraId="5AC8015D" w14:textId="2E92D767" w:rsidR="0030753D" w:rsidRDefault="00327E3C" w:rsidP="00EF2E00">
            <w:pPr>
              <w:spacing w:after="0"/>
              <w:jc w:val="center"/>
              <w:rPr>
                <w:rFonts w:ascii="GHEA Grapalat" w:hAnsi="GHEA Grapalat"/>
                <w:sz w:val="24"/>
                <w:szCs w:val="24"/>
                <w:lang w:val="hy-AM"/>
              </w:rPr>
            </w:pPr>
            <w:r>
              <w:rPr>
                <w:rFonts w:ascii="GHEA Grapalat" w:hAnsi="GHEA Grapalat"/>
                <w:sz w:val="24"/>
                <w:szCs w:val="24"/>
                <w:lang w:val="hy-AM"/>
              </w:rPr>
              <w:t xml:space="preserve">Բացի այդ, </w:t>
            </w:r>
            <w:r w:rsidR="00EF2E00" w:rsidRPr="00EF2E00">
              <w:rPr>
                <w:rFonts w:ascii="GHEA Grapalat" w:hAnsi="GHEA Grapalat"/>
                <w:sz w:val="24"/>
                <w:szCs w:val="24"/>
                <w:lang w:val="hy-AM"/>
              </w:rPr>
              <w:t>Հայաստանի Հանրապետության և Եվրոպական միության</w:t>
            </w:r>
            <w:r w:rsidR="00EF2E00">
              <w:rPr>
                <w:rFonts w:ascii="GHEA Grapalat" w:hAnsi="GHEA Grapalat"/>
                <w:sz w:val="24"/>
                <w:szCs w:val="24"/>
                <w:lang w:val="hy-AM"/>
              </w:rPr>
              <w:t xml:space="preserve"> «</w:t>
            </w:r>
            <w:r w:rsidR="00EF2E00" w:rsidRPr="00EF2E00">
              <w:rPr>
                <w:rFonts w:ascii="GHEA Grapalat" w:hAnsi="GHEA Grapalat"/>
                <w:sz w:val="24"/>
                <w:szCs w:val="24"/>
                <w:lang w:val="hy-AM"/>
              </w:rPr>
              <w:t xml:space="preserve">Համապարփակ և ընդլայնված գործընկերության </w:t>
            </w:r>
            <w:r w:rsidR="00EF2E00">
              <w:rPr>
                <w:rFonts w:ascii="GHEA Grapalat" w:hAnsi="GHEA Grapalat"/>
                <w:sz w:val="24"/>
                <w:szCs w:val="24"/>
                <w:lang w:val="hy-AM"/>
              </w:rPr>
              <w:t xml:space="preserve">համաձայնագրի» 288-րդ հոդվածի 1-ին մասի համաձայն՝ Հայաստանի Հանրապետությունը պարտավորվել է </w:t>
            </w:r>
            <w:r w:rsidR="00EF2E00" w:rsidRPr="00EF2E00">
              <w:rPr>
                <w:rFonts w:ascii="GHEA Grapalat" w:hAnsi="GHEA Grapalat"/>
                <w:sz w:val="24"/>
                <w:szCs w:val="24"/>
                <w:lang w:val="hy-AM"/>
              </w:rPr>
              <w:t>ապահով</w:t>
            </w:r>
            <w:r w:rsidR="00EF2E00">
              <w:rPr>
                <w:rFonts w:ascii="GHEA Grapalat" w:hAnsi="GHEA Grapalat"/>
                <w:sz w:val="24"/>
                <w:szCs w:val="24"/>
                <w:lang w:val="hy-AM"/>
              </w:rPr>
              <w:t>ել</w:t>
            </w:r>
            <w:r w:rsidR="00EF2E00" w:rsidRPr="00EF2E00">
              <w:rPr>
                <w:rFonts w:ascii="GHEA Grapalat" w:hAnsi="GHEA Grapalat"/>
                <w:sz w:val="24"/>
                <w:szCs w:val="24"/>
                <w:lang w:val="hy-AM"/>
              </w:rPr>
              <w:t xml:space="preserve"> գործնականորեն անկախ մարմինների</w:t>
            </w:r>
            <w:r w:rsidR="00EF2E00">
              <w:rPr>
                <w:rFonts w:ascii="GHEA Grapalat" w:hAnsi="GHEA Grapalat"/>
                <w:sz w:val="24"/>
                <w:szCs w:val="24"/>
                <w:lang w:val="hy-AM"/>
              </w:rPr>
              <w:t xml:space="preserve"> </w:t>
            </w:r>
            <w:r w:rsidR="00EF2E00" w:rsidRPr="00EF2E00">
              <w:rPr>
                <w:rFonts w:ascii="GHEA Grapalat" w:hAnsi="GHEA Grapalat"/>
                <w:sz w:val="24"/>
                <w:szCs w:val="24"/>
                <w:lang w:val="hy-AM"/>
              </w:rPr>
              <w:t>առկայությունը, որոնք պատասխանատու կլինեն 287-րդ հոդվածում նշված</w:t>
            </w:r>
            <w:r w:rsidR="00EF2E00">
              <w:rPr>
                <w:rFonts w:ascii="GHEA Grapalat" w:hAnsi="GHEA Grapalat"/>
                <w:sz w:val="24"/>
                <w:szCs w:val="24"/>
                <w:lang w:val="hy-AM"/>
              </w:rPr>
              <w:t xml:space="preserve"> </w:t>
            </w:r>
            <w:r w:rsidR="00EF2E00" w:rsidRPr="00EF2E00">
              <w:rPr>
                <w:rFonts w:ascii="GHEA Grapalat" w:hAnsi="GHEA Grapalat"/>
                <w:sz w:val="24"/>
                <w:szCs w:val="24"/>
                <w:lang w:val="hy-AM"/>
              </w:rPr>
              <w:t>մրցակցության մասին օրենքի լրիվ կիրառման ու արդյունավետ իրականացման</w:t>
            </w:r>
            <w:r w:rsidR="00EF2E00">
              <w:rPr>
                <w:rFonts w:ascii="GHEA Grapalat" w:hAnsi="GHEA Grapalat"/>
                <w:sz w:val="24"/>
                <w:szCs w:val="24"/>
                <w:lang w:val="hy-AM"/>
              </w:rPr>
              <w:t xml:space="preserve"> </w:t>
            </w:r>
            <w:r w:rsidR="00EF2E00" w:rsidRPr="00EF2E00">
              <w:rPr>
                <w:rFonts w:ascii="GHEA Grapalat" w:hAnsi="GHEA Grapalat"/>
                <w:sz w:val="24"/>
                <w:szCs w:val="24"/>
                <w:lang w:val="hy-AM"/>
              </w:rPr>
              <w:t>համար և կունենան դրա համար անհրաժեշտ համապատասխան</w:t>
            </w:r>
            <w:r w:rsidR="00EF2E00">
              <w:rPr>
                <w:rFonts w:ascii="GHEA Grapalat" w:hAnsi="GHEA Grapalat"/>
                <w:sz w:val="24"/>
                <w:szCs w:val="24"/>
                <w:lang w:val="hy-AM"/>
              </w:rPr>
              <w:t xml:space="preserve"> </w:t>
            </w:r>
            <w:r w:rsidR="00EF2E00" w:rsidRPr="00EF2E00">
              <w:rPr>
                <w:rFonts w:ascii="GHEA Grapalat" w:hAnsi="GHEA Grapalat"/>
                <w:sz w:val="24"/>
                <w:szCs w:val="24"/>
                <w:lang w:val="hy-AM"/>
              </w:rPr>
              <w:t>լիազորություններն ու ռեսուրսները:</w:t>
            </w:r>
          </w:p>
          <w:p w14:paraId="525E5FFC" w14:textId="5661C7A5" w:rsidR="00825198" w:rsidRDefault="004B350F" w:rsidP="00EF2E00">
            <w:pPr>
              <w:spacing w:after="0"/>
              <w:jc w:val="center"/>
              <w:rPr>
                <w:rFonts w:ascii="GHEA Grapalat" w:hAnsi="GHEA Grapalat"/>
                <w:sz w:val="24"/>
                <w:szCs w:val="24"/>
                <w:lang w:val="hy-AM"/>
              </w:rPr>
            </w:pPr>
            <w:r>
              <w:rPr>
                <w:rFonts w:ascii="GHEA Grapalat" w:hAnsi="GHEA Grapalat"/>
                <w:sz w:val="24"/>
                <w:szCs w:val="24"/>
                <w:lang w:val="hy-AM"/>
              </w:rPr>
              <w:t>Այսինքն՝</w:t>
            </w:r>
            <w:r w:rsidR="00825198">
              <w:rPr>
                <w:rFonts w:ascii="GHEA Grapalat" w:hAnsi="GHEA Grapalat"/>
                <w:sz w:val="24"/>
                <w:szCs w:val="24"/>
                <w:lang w:val="hy-AM"/>
              </w:rPr>
              <w:t xml:space="preserve"> </w:t>
            </w:r>
            <w:r>
              <w:rPr>
                <w:rFonts w:ascii="GHEA Grapalat" w:hAnsi="GHEA Grapalat"/>
                <w:sz w:val="24"/>
                <w:szCs w:val="24"/>
                <w:lang w:val="hy-AM"/>
              </w:rPr>
              <w:t>Հանձնաժողովի</w:t>
            </w:r>
            <w:r w:rsidR="00825198">
              <w:rPr>
                <w:rFonts w:ascii="GHEA Grapalat" w:hAnsi="GHEA Grapalat"/>
                <w:sz w:val="24"/>
                <w:szCs w:val="24"/>
                <w:lang w:val="hy-AM"/>
              </w:rPr>
              <w:t xml:space="preserve"> անկախ պետական մարմին լինելու պահանջը բխում է Հայաստանի Հանրապետության ստանձնած միջազգային պարտավորություններից, իսկ իրավական հիմքերը նախատեսված են Սահմանադրությամբ։</w:t>
            </w:r>
          </w:p>
          <w:p w14:paraId="7403AB15" w14:textId="2AE6DFF9" w:rsidR="00EF2E00" w:rsidRDefault="00EF2E00" w:rsidP="00825198">
            <w:pPr>
              <w:spacing w:after="0"/>
              <w:jc w:val="center"/>
              <w:rPr>
                <w:rFonts w:ascii="GHEA Grapalat" w:hAnsi="GHEA Grapalat"/>
                <w:sz w:val="24"/>
                <w:szCs w:val="24"/>
                <w:lang w:val="hy-AM"/>
              </w:rPr>
            </w:pPr>
            <w:r>
              <w:rPr>
                <w:rFonts w:ascii="GHEA Grapalat" w:hAnsi="GHEA Grapalat"/>
                <w:sz w:val="24"/>
                <w:szCs w:val="24"/>
                <w:lang w:val="hy-AM"/>
              </w:rPr>
              <w:t>Օրենքի 17-րդ հոդվածի 2-րդ մասի համաձայն՝ Հանձնաժողովն ինքնավար մարմին է</w:t>
            </w:r>
            <w:r w:rsidR="00825198">
              <w:rPr>
                <w:rFonts w:ascii="GHEA Grapalat" w:hAnsi="GHEA Grapalat"/>
                <w:sz w:val="24"/>
                <w:szCs w:val="24"/>
                <w:lang w:val="hy-AM"/>
              </w:rPr>
              <w:t>։</w:t>
            </w:r>
          </w:p>
          <w:p w14:paraId="23661840" w14:textId="14A03A11" w:rsidR="00A60AF7" w:rsidRDefault="00A12011" w:rsidP="00323E7D">
            <w:pPr>
              <w:spacing w:after="0"/>
              <w:jc w:val="center"/>
              <w:rPr>
                <w:rFonts w:ascii="GHEA Grapalat" w:hAnsi="GHEA Grapalat"/>
                <w:sz w:val="24"/>
                <w:szCs w:val="24"/>
                <w:lang w:val="hy-AM"/>
              </w:rPr>
            </w:pPr>
            <w:r>
              <w:rPr>
                <w:rFonts w:ascii="GHEA Grapalat" w:hAnsi="GHEA Grapalat"/>
                <w:sz w:val="24"/>
                <w:szCs w:val="24"/>
                <w:lang w:val="hy-AM"/>
              </w:rPr>
              <w:t xml:space="preserve">Հանձնաժողովի կարգավիճակին առնչվող </w:t>
            </w:r>
            <w:r w:rsidR="00A02E96">
              <w:rPr>
                <w:rFonts w:ascii="GHEA Grapalat" w:hAnsi="GHEA Grapalat"/>
                <w:sz w:val="24"/>
                <w:szCs w:val="24"/>
                <w:lang w:val="hy-AM"/>
              </w:rPr>
              <w:t>էական</w:t>
            </w:r>
            <w:r>
              <w:rPr>
                <w:rFonts w:ascii="GHEA Grapalat" w:hAnsi="GHEA Grapalat"/>
                <w:sz w:val="24"/>
                <w:szCs w:val="24"/>
                <w:lang w:val="hy-AM"/>
              </w:rPr>
              <w:t xml:space="preserve"> փոփոխություններ գործող Օրենքի համեմատությամբ Նախագծով չեն առաջարկվում</w:t>
            </w:r>
            <w:r w:rsidR="00A60AF7">
              <w:rPr>
                <w:rFonts w:ascii="GHEA Grapalat" w:hAnsi="GHEA Grapalat"/>
                <w:sz w:val="24"/>
                <w:szCs w:val="24"/>
                <w:lang w:val="hy-AM"/>
              </w:rPr>
              <w:t>։</w:t>
            </w:r>
          </w:p>
          <w:p w14:paraId="097F0720" w14:textId="690F155B" w:rsidR="00A12011" w:rsidRDefault="00A60AF7" w:rsidP="00A60AF7">
            <w:pPr>
              <w:spacing w:after="0"/>
              <w:jc w:val="center"/>
              <w:rPr>
                <w:rFonts w:ascii="GHEA Grapalat" w:hAnsi="GHEA Grapalat"/>
                <w:sz w:val="24"/>
                <w:szCs w:val="24"/>
                <w:lang w:val="hy-AM"/>
              </w:rPr>
            </w:pPr>
            <w:r>
              <w:rPr>
                <w:rFonts w:ascii="GHEA Grapalat" w:hAnsi="GHEA Grapalat"/>
                <w:sz w:val="24"/>
                <w:szCs w:val="24"/>
                <w:lang w:val="hy-AM"/>
              </w:rPr>
              <w:t>Ավելին՝ համակարծիք ենք, որ նման փոփոխությունները հնարավոր կլինի նախատեսել միայն</w:t>
            </w:r>
            <w:r w:rsidR="00A12011">
              <w:rPr>
                <w:rFonts w:ascii="GHEA Grapalat" w:hAnsi="GHEA Grapalat"/>
                <w:sz w:val="24"/>
                <w:szCs w:val="24"/>
                <w:lang w:val="hy-AM"/>
              </w:rPr>
              <w:t xml:space="preserve"> </w:t>
            </w:r>
            <w:r w:rsidR="00A12011" w:rsidRPr="00A12011">
              <w:rPr>
                <w:rFonts w:ascii="GHEA Grapalat" w:hAnsi="GHEA Grapalat"/>
                <w:sz w:val="24"/>
                <w:szCs w:val="24"/>
                <w:lang w:val="hy-AM"/>
              </w:rPr>
              <w:t>հանրային կառավարման բարեփոխումների ռազմավարության</w:t>
            </w:r>
            <w:r w:rsidR="00A12011">
              <w:rPr>
                <w:rFonts w:ascii="GHEA Grapalat" w:hAnsi="GHEA Grapalat"/>
                <w:sz w:val="24"/>
                <w:szCs w:val="24"/>
                <w:lang w:val="hy-AM"/>
              </w:rPr>
              <w:t xml:space="preserve"> հաստատման </w:t>
            </w:r>
            <w:r>
              <w:rPr>
                <w:rFonts w:ascii="GHEA Grapalat" w:hAnsi="GHEA Grapalat"/>
                <w:sz w:val="24"/>
                <w:szCs w:val="24"/>
                <w:lang w:val="hy-AM"/>
              </w:rPr>
              <w:t>և Սահմանադրությամբ</w:t>
            </w:r>
            <w:r w:rsidR="00A12011">
              <w:rPr>
                <w:rFonts w:ascii="GHEA Grapalat" w:hAnsi="GHEA Grapalat"/>
                <w:sz w:val="24"/>
                <w:szCs w:val="24"/>
                <w:lang w:val="hy-AM"/>
              </w:rPr>
              <w:t xml:space="preserve"> ինքնավար մարմինների կարգավիճակի </w:t>
            </w:r>
            <w:r w:rsidR="006A19E0">
              <w:rPr>
                <w:rFonts w:ascii="GHEA Grapalat" w:hAnsi="GHEA Grapalat"/>
                <w:sz w:val="24"/>
                <w:szCs w:val="24"/>
                <w:lang w:val="hy-AM"/>
              </w:rPr>
              <w:t>փոփոխությ</w:t>
            </w:r>
            <w:r>
              <w:rPr>
                <w:rFonts w:ascii="GHEA Grapalat" w:hAnsi="GHEA Grapalat"/>
                <w:sz w:val="24"/>
                <w:szCs w:val="24"/>
                <w:lang w:val="hy-AM"/>
              </w:rPr>
              <w:t>ա</w:t>
            </w:r>
            <w:r w:rsidR="006A19E0">
              <w:rPr>
                <w:rFonts w:ascii="GHEA Grapalat" w:hAnsi="GHEA Grapalat"/>
                <w:sz w:val="24"/>
                <w:szCs w:val="24"/>
                <w:lang w:val="hy-AM"/>
              </w:rPr>
              <w:t>ն դեպքում</w:t>
            </w:r>
            <w:r w:rsidR="00BC18E8">
              <w:rPr>
                <w:rFonts w:ascii="GHEA Grapalat" w:hAnsi="GHEA Grapalat"/>
                <w:sz w:val="24"/>
                <w:szCs w:val="24"/>
                <w:lang w:val="hy-AM"/>
              </w:rPr>
              <w:t>, և հարկ ենք համարում ընդգծել, որ Նախագծով նման փոփոխություններ չեն նախատեսվում։</w:t>
            </w:r>
          </w:p>
          <w:p w14:paraId="02B3246C" w14:textId="626EEFBC" w:rsidR="00DE27D9" w:rsidRDefault="00DE27D9" w:rsidP="00A60AF7">
            <w:pPr>
              <w:spacing w:after="0"/>
              <w:jc w:val="center"/>
              <w:rPr>
                <w:rFonts w:ascii="GHEA Grapalat" w:hAnsi="GHEA Grapalat"/>
                <w:sz w:val="24"/>
                <w:szCs w:val="24"/>
                <w:lang w:val="hy-AM"/>
              </w:rPr>
            </w:pPr>
            <w:r>
              <w:rPr>
                <w:rFonts w:ascii="GHEA Grapalat" w:hAnsi="GHEA Grapalat"/>
                <w:sz w:val="24"/>
                <w:szCs w:val="24"/>
                <w:lang w:val="hy-AM"/>
              </w:rPr>
              <w:t xml:space="preserve">Բացի այդ, Նախագծով առաջարկվող փոփոխությունների անհրաժեշտությունը սահմանված է </w:t>
            </w:r>
            <w:r w:rsidRPr="00DE27D9">
              <w:rPr>
                <w:rFonts w:ascii="GHEA Grapalat" w:hAnsi="GHEA Grapalat"/>
                <w:sz w:val="24"/>
                <w:szCs w:val="24"/>
                <w:lang w:val="hy-AM"/>
              </w:rPr>
              <w:t xml:space="preserve">Մարդու իրավունքների պաշտպանության ազգային ռազմավարությունից բխող 2020-2022 թվականների գործողությունների </w:t>
            </w:r>
            <w:r>
              <w:rPr>
                <w:rFonts w:ascii="GHEA Grapalat" w:hAnsi="GHEA Grapalat"/>
                <w:sz w:val="24"/>
                <w:szCs w:val="24"/>
                <w:lang w:val="hy-AM"/>
              </w:rPr>
              <w:t xml:space="preserve">ծրագրում և </w:t>
            </w:r>
            <w:r w:rsidRPr="00DE27D9">
              <w:rPr>
                <w:rFonts w:ascii="GHEA Grapalat" w:hAnsi="GHEA Grapalat"/>
                <w:sz w:val="24"/>
                <w:szCs w:val="24"/>
                <w:lang w:val="hy-AM"/>
              </w:rPr>
              <w:t>Հայաստանի Հանրապետության հակակոռուպցիոն ռազմավարությ</w:t>
            </w:r>
            <w:r>
              <w:rPr>
                <w:rFonts w:ascii="GHEA Grapalat" w:hAnsi="GHEA Grapalat"/>
                <w:sz w:val="24"/>
                <w:szCs w:val="24"/>
                <w:lang w:val="hy-AM"/>
              </w:rPr>
              <w:t>ա</w:t>
            </w:r>
            <w:r w:rsidRPr="00DE27D9">
              <w:rPr>
                <w:rFonts w:ascii="GHEA Grapalat" w:hAnsi="GHEA Grapalat"/>
                <w:sz w:val="24"/>
                <w:szCs w:val="24"/>
                <w:lang w:val="hy-AM"/>
              </w:rPr>
              <w:t>ն իրականացման 2019-2022 թվականների միջոցառումների ծրագր</w:t>
            </w:r>
            <w:r>
              <w:rPr>
                <w:rFonts w:ascii="GHEA Grapalat" w:hAnsi="GHEA Grapalat"/>
                <w:sz w:val="24"/>
                <w:szCs w:val="24"/>
                <w:lang w:val="hy-AM"/>
              </w:rPr>
              <w:t>ում։</w:t>
            </w:r>
          </w:p>
          <w:p w14:paraId="43D4680D" w14:textId="1DDA74FB" w:rsidR="00C72C06" w:rsidRPr="00327E3C" w:rsidRDefault="00C72C06" w:rsidP="00BD777F">
            <w:pPr>
              <w:spacing w:after="0"/>
              <w:jc w:val="center"/>
              <w:rPr>
                <w:rFonts w:ascii="GHEA Grapalat" w:hAnsi="GHEA Grapalat"/>
                <w:sz w:val="24"/>
                <w:szCs w:val="24"/>
                <w:lang w:val="hy-AM"/>
              </w:rPr>
            </w:pPr>
            <w:r w:rsidRPr="00351AF5">
              <w:rPr>
                <w:rFonts w:ascii="GHEA Grapalat" w:hAnsi="GHEA Grapalat"/>
                <w:sz w:val="24"/>
                <w:szCs w:val="24"/>
                <w:lang w:val="hy-AM"/>
              </w:rPr>
              <w:t xml:space="preserve">Միևնույն ժամանակ հարկ է նշել, որ </w:t>
            </w:r>
            <w:r w:rsidR="00BD777F" w:rsidRPr="00351AF5">
              <w:rPr>
                <w:rFonts w:ascii="GHEA Grapalat" w:hAnsi="GHEA Grapalat"/>
                <w:sz w:val="24"/>
                <w:szCs w:val="24"/>
                <w:lang w:val="hy-AM"/>
              </w:rPr>
              <w:t>Տնտեսական մրցակցության պաշտպանության գործառույթ իրականացնող մարմինները կառավարության ենթակայության տակ չեն գտնվում մի շարք երկրներում, մասնավորապես՝ Բուլղարիա</w:t>
            </w:r>
            <w:r w:rsidR="003D6CE2">
              <w:rPr>
                <w:rStyle w:val="FootnoteReference"/>
                <w:rFonts w:ascii="GHEA Grapalat" w:hAnsi="GHEA Grapalat"/>
                <w:sz w:val="24"/>
                <w:szCs w:val="24"/>
                <w:lang w:val="hy-AM"/>
              </w:rPr>
              <w:footnoteReference w:id="1"/>
            </w:r>
            <w:r w:rsidR="00BD777F" w:rsidRPr="00351AF5">
              <w:rPr>
                <w:rFonts w:ascii="GHEA Grapalat" w:hAnsi="GHEA Grapalat"/>
                <w:sz w:val="24"/>
                <w:szCs w:val="24"/>
                <w:lang w:val="hy-AM"/>
              </w:rPr>
              <w:t>, Իսպանիա</w:t>
            </w:r>
            <w:r w:rsidR="003D6CE2">
              <w:rPr>
                <w:rStyle w:val="FootnoteReference"/>
                <w:rFonts w:ascii="GHEA Grapalat" w:hAnsi="GHEA Grapalat"/>
                <w:sz w:val="24"/>
                <w:szCs w:val="24"/>
                <w:lang w:val="hy-AM"/>
              </w:rPr>
              <w:footnoteReference w:id="2"/>
            </w:r>
            <w:r w:rsidR="00BD777F" w:rsidRPr="00351AF5">
              <w:rPr>
                <w:rFonts w:ascii="GHEA Grapalat" w:hAnsi="GHEA Grapalat"/>
                <w:sz w:val="24"/>
                <w:szCs w:val="24"/>
                <w:lang w:val="hy-AM"/>
              </w:rPr>
              <w:t>, Իտալիա</w:t>
            </w:r>
            <w:r w:rsidR="003D6CE2">
              <w:rPr>
                <w:rStyle w:val="FootnoteReference"/>
                <w:rFonts w:ascii="GHEA Grapalat" w:hAnsi="GHEA Grapalat"/>
                <w:sz w:val="24"/>
                <w:szCs w:val="24"/>
                <w:lang w:val="hy-AM"/>
              </w:rPr>
              <w:footnoteReference w:id="3"/>
            </w:r>
            <w:r w:rsidR="00BD777F" w:rsidRPr="00351AF5">
              <w:rPr>
                <w:rFonts w:ascii="GHEA Grapalat" w:hAnsi="GHEA Grapalat"/>
                <w:sz w:val="24"/>
                <w:szCs w:val="24"/>
                <w:lang w:val="hy-AM"/>
              </w:rPr>
              <w:t>, Չեխիա</w:t>
            </w:r>
            <w:r w:rsidR="003D6CE2">
              <w:rPr>
                <w:rStyle w:val="FootnoteReference"/>
                <w:rFonts w:ascii="GHEA Grapalat" w:hAnsi="GHEA Grapalat"/>
                <w:sz w:val="24"/>
                <w:szCs w:val="24"/>
                <w:lang w:val="hy-AM"/>
              </w:rPr>
              <w:footnoteReference w:id="4"/>
            </w:r>
            <w:r w:rsidR="00BD777F" w:rsidRPr="00351AF5">
              <w:rPr>
                <w:rFonts w:ascii="GHEA Grapalat" w:hAnsi="GHEA Grapalat"/>
                <w:sz w:val="24"/>
                <w:szCs w:val="24"/>
                <w:lang w:val="hy-AM"/>
              </w:rPr>
              <w:t>, Հունգարիա</w:t>
            </w:r>
            <w:r w:rsidR="003D6CE2">
              <w:rPr>
                <w:rStyle w:val="FootnoteReference"/>
                <w:rFonts w:ascii="GHEA Grapalat" w:hAnsi="GHEA Grapalat"/>
                <w:sz w:val="24"/>
                <w:szCs w:val="24"/>
                <w:lang w:val="hy-AM"/>
              </w:rPr>
              <w:footnoteReference w:id="5"/>
            </w:r>
            <w:r w:rsidR="00BD777F" w:rsidRPr="00351AF5">
              <w:rPr>
                <w:rFonts w:ascii="GHEA Grapalat" w:hAnsi="GHEA Grapalat"/>
                <w:sz w:val="24"/>
                <w:szCs w:val="24"/>
                <w:lang w:val="hy-AM"/>
              </w:rPr>
              <w:t>, Սլովակիա</w:t>
            </w:r>
            <w:r w:rsidR="003D6CE2">
              <w:rPr>
                <w:rStyle w:val="FootnoteReference"/>
                <w:rFonts w:ascii="GHEA Grapalat" w:hAnsi="GHEA Grapalat"/>
                <w:sz w:val="24"/>
                <w:szCs w:val="24"/>
                <w:lang w:val="hy-AM"/>
              </w:rPr>
              <w:footnoteReference w:id="6"/>
            </w:r>
            <w:r w:rsidR="00BD777F" w:rsidRPr="00351AF5">
              <w:rPr>
                <w:rFonts w:ascii="GHEA Grapalat" w:hAnsi="GHEA Grapalat"/>
                <w:sz w:val="24"/>
                <w:szCs w:val="24"/>
                <w:lang w:val="hy-AM"/>
              </w:rPr>
              <w:t>, Սլովենիա</w:t>
            </w:r>
            <w:r w:rsidR="003D6CE2">
              <w:rPr>
                <w:rStyle w:val="FootnoteReference"/>
                <w:rFonts w:ascii="GHEA Grapalat" w:hAnsi="GHEA Grapalat"/>
                <w:sz w:val="24"/>
                <w:szCs w:val="24"/>
                <w:lang w:val="hy-AM"/>
              </w:rPr>
              <w:footnoteReference w:id="7"/>
            </w:r>
            <w:r w:rsidR="00BD777F" w:rsidRPr="00351AF5">
              <w:rPr>
                <w:rFonts w:ascii="GHEA Grapalat" w:hAnsi="GHEA Grapalat"/>
                <w:sz w:val="24"/>
                <w:szCs w:val="24"/>
                <w:lang w:val="hy-AM"/>
              </w:rPr>
              <w:t>, Ռումինիա</w:t>
            </w:r>
            <w:r w:rsidR="003D6CE2">
              <w:rPr>
                <w:rStyle w:val="FootnoteReference"/>
                <w:rFonts w:ascii="GHEA Grapalat" w:hAnsi="GHEA Grapalat"/>
                <w:sz w:val="24"/>
                <w:szCs w:val="24"/>
                <w:lang w:val="hy-AM"/>
              </w:rPr>
              <w:footnoteReference w:id="8"/>
            </w:r>
            <w:r w:rsidR="00BD777F" w:rsidRPr="00351AF5">
              <w:rPr>
                <w:rFonts w:ascii="GHEA Grapalat" w:hAnsi="GHEA Grapalat"/>
                <w:sz w:val="24"/>
                <w:szCs w:val="24"/>
                <w:lang w:val="hy-AM"/>
              </w:rPr>
              <w:t>, Խորվաթիա</w:t>
            </w:r>
            <w:r w:rsidR="003D6CE2">
              <w:rPr>
                <w:rStyle w:val="FootnoteReference"/>
                <w:rFonts w:ascii="GHEA Grapalat" w:hAnsi="GHEA Grapalat"/>
                <w:sz w:val="24"/>
                <w:szCs w:val="24"/>
                <w:lang w:val="hy-AM"/>
              </w:rPr>
              <w:footnoteReference w:id="9"/>
            </w:r>
            <w:r w:rsidR="00BD777F" w:rsidRPr="00351AF5">
              <w:rPr>
                <w:rFonts w:ascii="GHEA Grapalat" w:hAnsi="GHEA Grapalat"/>
                <w:sz w:val="24"/>
                <w:szCs w:val="24"/>
                <w:lang w:val="hy-AM"/>
              </w:rPr>
              <w:t>, Սերբիա</w:t>
            </w:r>
            <w:r w:rsidR="003D6CE2">
              <w:rPr>
                <w:rStyle w:val="FootnoteReference"/>
                <w:rFonts w:ascii="GHEA Grapalat" w:hAnsi="GHEA Grapalat"/>
                <w:sz w:val="24"/>
                <w:szCs w:val="24"/>
                <w:lang w:val="hy-AM"/>
              </w:rPr>
              <w:footnoteReference w:id="10"/>
            </w:r>
            <w:r w:rsidR="00BD777F" w:rsidRPr="00351AF5">
              <w:rPr>
                <w:rFonts w:ascii="GHEA Grapalat" w:hAnsi="GHEA Grapalat"/>
                <w:sz w:val="24"/>
                <w:szCs w:val="24"/>
                <w:lang w:val="hy-AM"/>
              </w:rPr>
              <w:t>, Ավստրալիա</w:t>
            </w:r>
            <w:r w:rsidR="003D6CE2">
              <w:rPr>
                <w:rStyle w:val="FootnoteReference"/>
                <w:rFonts w:ascii="GHEA Grapalat" w:hAnsi="GHEA Grapalat"/>
                <w:sz w:val="24"/>
                <w:szCs w:val="24"/>
                <w:lang w:val="hy-AM"/>
              </w:rPr>
              <w:footnoteReference w:id="11"/>
            </w:r>
            <w:r w:rsidR="00BD777F" w:rsidRPr="00351AF5">
              <w:rPr>
                <w:rFonts w:ascii="GHEA Grapalat" w:hAnsi="GHEA Grapalat"/>
                <w:sz w:val="24"/>
                <w:szCs w:val="24"/>
                <w:lang w:val="hy-AM"/>
              </w:rPr>
              <w:t>, Կանադա</w:t>
            </w:r>
            <w:r w:rsidR="003D6CE2">
              <w:rPr>
                <w:rStyle w:val="FootnoteReference"/>
                <w:rFonts w:ascii="GHEA Grapalat" w:hAnsi="GHEA Grapalat"/>
                <w:sz w:val="24"/>
                <w:szCs w:val="24"/>
                <w:lang w:val="hy-AM"/>
              </w:rPr>
              <w:footnoteReference w:id="12"/>
            </w:r>
            <w:r w:rsidR="00BD777F" w:rsidRPr="00351AF5">
              <w:rPr>
                <w:rFonts w:ascii="GHEA Grapalat" w:hAnsi="GHEA Grapalat"/>
                <w:sz w:val="24"/>
                <w:szCs w:val="24"/>
                <w:lang w:val="hy-AM"/>
              </w:rPr>
              <w:t>, Մեքսիկա</w:t>
            </w:r>
            <w:r w:rsidR="003D6CE2">
              <w:rPr>
                <w:rStyle w:val="FootnoteReference"/>
                <w:rFonts w:ascii="GHEA Grapalat" w:hAnsi="GHEA Grapalat"/>
                <w:sz w:val="24"/>
                <w:szCs w:val="24"/>
                <w:lang w:val="hy-AM"/>
              </w:rPr>
              <w:footnoteReference w:id="13"/>
            </w:r>
            <w:r w:rsidR="00BD777F" w:rsidRPr="00351AF5">
              <w:rPr>
                <w:rFonts w:ascii="GHEA Grapalat" w:hAnsi="GHEA Grapalat"/>
                <w:sz w:val="24"/>
                <w:szCs w:val="24"/>
                <w:lang w:val="hy-AM"/>
              </w:rPr>
              <w:t>, Նոր Զելանդիա</w:t>
            </w:r>
            <w:r w:rsidR="003D6CE2">
              <w:rPr>
                <w:rStyle w:val="FootnoteReference"/>
                <w:rFonts w:ascii="GHEA Grapalat" w:hAnsi="GHEA Grapalat"/>
                <w:sz w:val="24"/>
                <w:szCs w:val="24"/>
                <w:lang w:val="hy-AM"/>
              </w:rPr>
              <w:footnoteReference w:id="14"/>
            </w:r>
            <w:r w:rsidR="00BD777F" w:rsidRPr="00351AF5">
              <w:rPr>
                <w:rFonts w:ascii="GHEA Grapalat" w:hAnsi="GHEA Grapalat"/>
                <w:sz w:val="24"/>
                <w:szCs w:val="24"/>
                <w:lang w:val="hy-AM"/>
              </w:rPr>
              <w:t>, Ուկրաինա</w:t>
            </w:r>
            <w:r w:rsidR="003D6CE2">
              <w:rPr>
                <w:rStyle w:val="FootnoteReference"/>
                <w:rFonts w:ascii="GHEA Grapalat" w:hAnsi="GHEA Grapalat"/>
                <w:sz w:val="24"/>
                <w:szCs w:val="24"/>
                <w:lang w:val="hy-AM"/>
              </w:rPr>
              <w:footnoteReference w:id="15"/>
            </w:r>
            <w:r w:rsidR="00BD777F" w:rsidRPr="00351AF5">
              <w:rPr>
                <w:rFonts w:ascii="GHEA Grapalat" w:hAnsi="GHEA Grapalat"/>
                <w:sz w:val="24"/>
                <w:szCs w:val="24"/>
                <w:lang w:val="hy-AM"/>
              </w:rPr>
              <w:t>, Վրաստան</w:t>
            </w:r>
            <w:r w:rsidR="003D6CE2">
              <w:rPr>
                <w:rStyle w:val="FootnoteReference"/>
                <w:rFonts w:ascii="GHEA Grapalat" w:hAnsi="GHEA Grapalat"/>
                <w:sz w:val="24"/>
                <w:szCs w:val="24"/>
                <w:lang w:val="hy-AM"/>
              </w:rPr>
              <w:footnoteReference w:id="16"/>
            </w:r>
            <w:r w:rsidR="00BD777F" w:rsidRPr="00351AF5">
              <w:rPr>
                <w:rFonts w:ascii="GHEA Grapalat" w:hAnsi="GHEA Grapalat"/>
                <w:sz w:val="24"/>
                <w:szCs w:val="24"/>
                <w:lang w:val="hy-AM"/>
              </w:rPr>
              <w:t>, Մոլդովա</w:t>
            </w:r>
            <w:r w:rsidR="003D6CE2">
              <w:rPr>
                <w:rStyle w:val="FootnoteReference"/>
                <w:rFonts w:ascii="GHEA Grapalat" w:hAnsi="GHEA Grapalat"/>
                <w:sz w:val="24"/>
                <w:szCs w:val="24"/>
                <w:lang w:val="hy-AM"/>
              </w:rPr>
              <w:footnoteReference w:id="17"/>
            </w:r>
            <w:r w:rsidR="00BD777F" w:rsidRPr="00351AF5">
              <w:rPr>
                <w:rFonts w:ascii="GHEA Grapalat" w:hAnsi="GHEA Grapalat"/>
                <w:sz w:val="24"/>
                <w:szCs w:val="24"/>
                <w:lang w:val="hy-AM"/>
              </w:rPr>
              <w:t>, Ալբանիա</w:t>
            </w:r>
            <w:r w:rsidR="003D6CE2">
              <w:rPr>
                <w:rStyle w:val="FootnoteReference"/>
                <w:rFonts w:ascii="GHEA Grapalat" w:hAnsi="GHEA Grapalat"/>
                <w:sz w:val="24"/>
                <w:szCs w:val="24"/>
                <w:lang w:val="hy-AM"/>
              </w:rPr>
              <w:footnoteReference w:id="18"/>
            </w:r>
            <w:r w:rsidR="00BD777F" w:rsidRPr="00351AF5">
              <w:rPr>
                <w:rFonts w:ascii="GHEA Grapalat" w:hAnsi="GHEA Grapalat"/>
                <w:sz w:val="24"/>
                <w:szCs w:val="24"/>
                <w:lang w:val="hy-AM"/>
              </w:rPr>
              <w:t>, Հյուսիսային Մակեդոնիա</w:t>
            </w:r>
            <w:r w:rsidR="003D6CE2">
              <w:rPr>
                <w:rStyle w:val="FootnoteReference"/>
                <w:rFonts w:ascii="GHEA Grapalat" w:hAnsi="GHEA Grapalat"/>
                <w:sz w:val="24"/>
                <w:szCs w:val="24"/>
                <w:lang w:val="hy-AM"/>
              </w:rPr>
              <w:footnoteReference w:id="19"/>
            </w:r>
            <w:r w:rsidR="00BD777F" w:rsidRPr="00351AF5">
              <w:rPr>
                <w:rFonts w:ascii="GHEA Grapalat" w:hAnsi="GHEA Grapalat"/>
                <w:sz w:val="24"/>
                <w:szCs w:val="24"/>
                <w:lang w:val="hy-AM"/>
              </w:rPr>
              <w:t>, Բոսնիա և Հերցեգովինա</w:t>
            </w:r>
            <w:r w:rsidR="003D6CE2">
              <w:rPr>
                <w:rStyle w:val="FootnoteReference"/>
                <w:rFonts w:ascii="GHEA Grapalat" w:hAnsi="GHEA Grapalat"/>
                <w:sz w:val="24"/>
                <w:szCs w:val="24"/>
                <w:lang w:val="hy-AM"/>
              </w:rPr>
              <w:footnoteReference w:id="20"/>
            </w:r>
            <w:r w:rsidR="00BD777F" w:rsidRPr="00351AF5">
              <w:rPr>
                <w:rFonts w:ascii="GHEA Grapalat" w:hAnsi="GHEA Grapalat"/>
                <w:sz w:val="24"/>
                <w:szCs w:val="24"/>
                <w:lang w:val="hy-AM"/>
              </w:rPr>
              <w:t>, Հարավաֆրիկյան Հանրապետություն</w:t>
            </w:r>
            <w:r w:rsidR="003D6CE2">
              <w:rPr>
                <w:rStyle w:val="FootnoteReference"/>
                <w:rFonts w:ascii="GHEA Grapalat" w:hAnsi="GHEA Grapalat"/>
                <w:sz w:val="24"/>
                <w:szCs w:val="24"/>
                <w:lang w:val="hy-AM"/>
              </w:rPr>
              <w:footnoteReference w:id="21"/>
            </w:r>
            <w:r w:rsidR="00BD777F" w:rsidRPr="00351AF5">
              <w:rPr>
                <w:rFonts w:ascii="GHEA Grapalat" w:hAnsi="GHEA Grapalat"/>
                <w:sz w:val="24"/>
                <w:szCs w:val="24"/>
                <w:lang w:val="hy-AM"/>
              </w:rPr>
              <w:t xml:space="preserve"> և այլն։</w:t>
            </w:r>
          </w:p>
        </w:tc>
      </w:tr>
      <w:tr w:rsidR="0030753D" w:rsidRPr="005D6096" w14:paraId="106EDE77" w14:textId="77777777" w:rsidTr="009447F6">
        <w:tc>
          <w:tcPr>
            <w:tcW w:w="749" w:type="dxa"/>
          </w:tcPr>
          <w:p w14:paraId="4BBA1119"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0DC39BA4" w14:textId="77777777" w:rsidR="00156F69" w:rsidRPr="00156F69" w:rsidRDefault="00156F69" w:rsidP="00156F69">
            <w:pPr>
              <w:pStyle w:val="ListParagraph"/>
              <w:spacing w:after="0"/>
              <w:ind w:left="30"/>
              <w:jc w:val="center"/>
              <w:rPr>
                <w:rFonts w:ascii="GHEA Grapalat" w:hAnsi="GHEA Grapalat" w:cs="Sylfaen"/>
                <w:sz w:val="24"/>
                <w:szCs w:val="24"/>
                <w:lang w:val="hy-AM"/>
              </w:rPr>
            </w:pPr>
            <w:r w:rsidRPr="00156F69">
              <w:rPr>
                <w:rFonts w:ascii="GHEA Grapalat" w:hAnsi="GHEA Grapalat" w:cs="Sylfaen"/>
                <w:sz w:val="24"/>
                <w:szCs w:val="24"/>
                <w:lang w:val="hy-AM"/>
              </w:rPr>
              <w:t>Նախագծի 1-ին և 2-րդ հոդվածներով սահմանվում է, որ ի թիվս այլ նպատակների, օրենքը նպատակ ունի նպաստել նաև սպառողների շահերի պաշտպանությանը: Հարկ է ընդգծել, որ սպառողների շահերի պաշտպանություն կամ վնասել սպառողների շահերը տերմինները, չնայած օգտագործվում են օրենքում, սակայն բացահայտված չեն: Ավելին «Սպառողների իրավունքների պաշտպանության մասին» ՀՀ օրենքում ևս նման եզրույթներ չեն օգտագործվում, որի արդյունքում անհասկանալի է սպառողների շահերի պաշտպանությանն ուղղված գործառույթների և լիազորությունների իրականացումը: Ավելին «Կառավարության կառուցվածքի և գործունեության մասին»» ՀՀ օրենքի համաձայն «սպառողների շահերի պաշտպանության համակարգի զարգացումը» գտնվում է Էկոնոմիկայի նախարարության լիազորության տիրույթում:</w:t>
            </w:r>
          </w:p>
          <w:p w14:paraId="24368CEA" w14:textId="77777777" w:rsidR="00156F69" w:rsidRPr="00156F69" w:rsidRDefault="00156F69" w:rsidP="00156F69">
            <w:pPr>
              <w:pStyle w:val="ListParagraph"/>
              <w:spacing w:after="0"/>
              <w:ind w:left="30"/>
              <w:jc w:val="center"/>
              <w:rPr>
                <w:rFonts w:ascii="GHEA Grapalat" w:hAnsi="GHEA Grapalat" w:cs="Sylfaen"/>
                <w:sz w:val="24"/>
                <w:szCs w:val="24"/>
                <w:lang w:val="hy-AM"/>
              </w:rPr>
            </w:pPr>
            <w:r w:rsidRPr="00156F69">
              <w:rPr>
                <w:rFonts w:ascii="GHEA Grapalat" w:hAnsi="GHEA Grapalat" w:cs="Sylfaen"/>
                <w:sz w:val="24"/>
                <w:szCs w:val="24"/>
                <w:lang w:val="hy-AM"/>
              </w:rPr>
              <w:t xml:space="preserve">Միաժամանակ կարևոր է ընդգծել, որ Համապարփակ և ընդլայնված գործընկերության համաձայնագրով նախատեսված է սպառողների պաշտպանության ոլորտի համագործակցություն ԵՄ կողմի հետ: Մասնավորապես, Համաձայնագրի 6-րդ հավելվածով սահմանված են սպառողների պաշտպանության բնագավառի մոտարկման ենթակա ԵՄ հրահանգները և կանոնակարգերը, որոնք Հայաստանը հանձնառություն ունի մոտարկելու: Հետևաբար, սպառողների պաշտպանության օրենսդրությունը ենթակա է վերանայման, որտեղ ի թիվս այլ հարցերի պետք է ներդրվեն սպառողների պաշտպանության այլընտրանքային մեխանիզմներ և էլեկտրոնային բողոքարկման հարթակ: Հետևաբար, սպառողների պաշտպանությանն  առնչվող իրավական, ինստիտուցիոնալ և ենթակառուցվածքային  բարեփոխումները ենթադրում են ծավալուն փոփոխություններ, որոնք պետք է մանրակրկիտ քննարկվեն և իրականացվեն առանձին փաթեթով՝ անդրադառնալով սպառողների պաշտպանության բնագավառում քաղաքականության մշակման և իրականացման լիազոր մարմինների սահմանման, վերանայման և տարանջատման հարցերին, բնականաբար կրկին սույն եզրակացության 1-ին կետում նշված Հանրային կառավարման բարեփոխումների շրջանակներում: </w:t>
            </w:r>
          </w:p>
          <w:p w14:paraId="3C2EC1F3" w14:textId="5BC8B889" w:rsidR="0030753D" w:rsidRPr="0030753D" w:rsidRDefault="00156F69" w:rsidP="00156F69">
            <w:pPr>
              <w:pStyle w:val="ListParagraph"/>
              <w:spacing w:after="0"/>
              <w:ind w:left="30"/>
              <w:contextualSpacing w:val="0"/>
              <w:jc w:val="center"/>
              <w:rPr>
                <w:rFonts w:ascii="GHEA Grapalat" w:hAnsi="GHEA Grapalat" w:cs="Sylfaen"/>
                <w:sz w:val="24"/>
                <w:szCs w:val="24"/>
                <w:lang w:val="hy-AM"/>
              </w:rPr>
            </w:pPr>
            <w:r w:rsidRPr="00156F69">
              <w:rPr>
                <w:rFonts w:ascii="GHEA Grapalat" w:hAnsi="GHEA Grapalat" w:cs="Sylfaen"/>
                <w:sz w:val="24"/>
                <w:szCs w:val="24"/>
                <w:lang w:val="hy-AM"/>
              </w:rPr>
              <w:t>Այդ իսկ պատճառով առաջարկում ենք ձեռնպահ մնալ սպառողների իրավունքների պաշտպանության հատվածական մոտեցումներից և այդ հարցին անդրադառնալ համապարփակ կարգավորման նախաձեռնությամբ՝ Էկոնոմիկայի նախարարության հետ համատեղ:</w:t>
            </w:r>
          </w:p>
        </w:tc>
        <w:tc>
          <w:tcPr>
            <w:tcW w:w="2268" w:type="dxa"/>
          </w:tcPr>
          <w:p w14:paraId="68D36742" w14:textId="7C2AB8AF" w:rsidR="0030753D" w:rsidRPr="0030753D" w:rsidRDefault="00DE27D9"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402A28DE" w14:textId="77777777" w:rsidR="0030753D" w:rsidRDefault="00A60AF7" w:rsidP="00D656E8">
            <w:pPr>
              <w:spacing w:after="0"/>
              <w:jc w:val="center"/>
              <w:rPr>
                <w:rFonts w:ascii="GHEA Grapalat" w:hAnsi="GHEA Grapalat"/>
                <w:sz w:val="24"/>
                <w:szCs w:val="24"/>
                <w:lang w:val="hy-AM"/>
              </w:rPr>
            </w:pPr>
            <w:r w:rsidRPr="00A60AF7">
              <w:rPr>
                <w:rFonts w:ascii="GHEA Grapalat" w:hAnsi="GHEA Grapalat"/>
                <w:sz w:val="24"/>
                <w:szCs w:val="24"/>
                <w:lang w:val="hy-AM"/>
              </w:rPr>
              <w:t></w:t>
            </w:r>
            <w:r>
              <w:rPr>
                <w:rFonts w:ascii="GHEA Grapalat" w:hAnsi="GHEA Grapalat"/>
                <w:sz w:val="24"/>
                <w:szCs w:val="24"/>
                <w:lang w:val="hy-AM"/>
              </w:rPr>
              <w:t>Ս</w:t>
            </w:r>
            <w:r w:rsidRPr="00A60AF7">
              <w:rPr>
                <w:rFonts w:ascii="GHEA Grapalat" w:hAnsi="GHEA Grapalat"/>
                <w:sz w:val="24"/>
                <w:szCs w:val="24"/>
                <w:lang w:val="hy-AM"/>
              </w:rPr>
              <w:t>պառողների շահերի պաշտպանություն կամ վնասել սպառողների շահերը տերմինները</w:t>
            </w:r>
            <w:r>
              <w:rPr>
                <w:rFonts w:ascii="GHEA Grapalat" w:hAnsi="GHEA Grapalat"/>
                <w:sz w:val="24"/>
                <w:szCs w:val="24"/>
                <w:lang w:val="hy-AM"/>
              </w:rPr>
              <w:t xml:space="preserve"> նույնությամբ </w:t>
            </w:r>
            <w:r w:rsidR="00D656E8">
              <w:rPr>
                <w:rFonts w:ascii="GHEA Grapalat" w:hAnsi="GHEA Grapalat"/>
                <w:sz w:val="24"/>
                <w:szCs w:val="24"/>
                <w:lang w:val="hy-AM"/>
              </w:rPr>
              <w:t>կիրառված են նաև Օրենքի 1-ին և 2-րդ հոդվածներում, որոնք սահմանում են Օրենքի նպատակները և գործողության ոլորտը, ուստի այս առումով Նախագծով փոփոխություններ չեն նախատեսվել։</w:t>
            </w:r>
          </w:p>
          <w:p w14:paraId="1AA608BA" w14:textId="77777777" w:rsidR="00D656E8" w:rsidRDefault="00D656E8" w:rsidP="00974CA6">
            <w:pPr>
              <w:spacing w:after="0"/>
              <w:jc w:val="center"/>
              <w:rPr>
                <w:rFonts w:ascii="GHEA Grapalat" w:hAnsi="GHEA Grapalat"/>
                <w:sz w:val="24"/>
                <w:szCs w:val="24"/>
                <w:lang w:val="hy-AM"/>
              </w:rPr>
            </w:pPr>
            <w:r>
              <w:rPr>
                <w:rFonts w:ascii="GHEA Grapalat" w:hAnsi="GHEA Grapalat"/>
                <w:sz w:val="24"/>
                <w:szCs w:val="24"/>
                <w:lang w:val="hy-AM"/>
              </w:rPr>
              <w:t xml:space="preserve">Ինչ վերաբերում է սպառողների շահերի պաշտպանության ոլորտում Հանձնաժողովի դերին, ապա հարկ ենք համարում նշել, որ ինչպես գործող կարգավորումներով, այնպես էլ նախագծով, </w:t>
            </w:r>
            <w:r w:rsidR="000366D0" w:rsidRPr="000366D0">
              <w:rPr>
                <w:rFonts w:ascii="GHEA Grapalat" w:hAnsi="GHEA Grapalat"/>
                <w:sz w:val="24"/>
                <w:szCs w:val="24"/>
                <w:lang w:val="hy-AM"/>
              </w:rPr>
              <w:t xml:space="preserve">հակամրցակցային </w:t>
            </w:r>
            <w:r w:rsidR="00974CA6">
              <w:rPr>
                <w:rFonts w:ascii="GHEA Grapalat" w:hAnsi="GHEA Grapalat"/>
                <w:sz w:val="24"/>
                <w:szCs w:val="24"/>
                <w:lang w:val="hy-AM"/>
              </w:rPr>
              <w:t xml:space="preserve">գրեթե բոլոր </w:t>
            </w:r>
            <w:r w:rsidR="000366D0" w:rsidRPr="000366D0">
              <w:rPr>
                <w:rFonts w:ascii="GHEA Grapalat" w:hAnsi="GHEA Grapalat"/>
                <w:sz w:val="24"/>
                <w:szCs w:val="24"/>
                <w:lang w:val="hy-AM"/>
              </w:rPr>
              <w:t>գործողություններ</w:t>
            </w:r>
            <w:r w:rsidR="00974CA6">
              <w:rPr>
                <w:rFonts w:ascii="GHEA Grapalat" w:hAnsi="GHEA Grapalat"/>
                <w:sz w:val="24"/>
                <w:szCs w:val="24"/>
                <w:lang w:val="hy-AM"/>
              </w:rPr>
              <w:t xml:space="preserve">ը ուղղակի կամ անուղղակի բացասական ազդեցություն են ունենում սպառողների շահերի վրա։ Ասվածն առավել ակնառու է հատկապես գների չհիմնավորված բարձրացման, հասարակության մոլորեցման, </w:t>
            </w:r>
            <w:r w:rsidR="000A703A">
              <w:rPr>
                <w:rFonts w:ascii="GHEA Grapalat" w:hAnsi="GHEA Grapalat"/>
                <w:sz w:val="24"/>
                <w:szCs w:val="24"/>
                <w:lang w:val="hy-AM"/>
              </w:rPr>
              <w:t>տ</w:t>
            </w:r>
            <w:r w:rsidR="000A703A" w:rsidRPr="000A703A">
              <w:rPr>
                <w:rFonts w:ascii="GHEA Grapalat" w:hAnsi="GHEA Grapalat"/>
                <w:sz w:val="24"/>
                <w:szCs w:val="24"/>
                <w:lang w:val="hy-AM"/>
              </w:rPr>
              <w:t>նտեսվարող սուբյեկտի կամ նրա գործունեության վերաբերյալ շփոթություն առաջաց</w:t>
            </w:r>
            <w:r w:rsidR="000A703A">
              <w:rPr>
                <w:rFonts w:ascii="GHEA Grapalat" w:hAnsi="GHEA Grapalat"/>
                <w:sz w:val="24"/>
                <w:szCs w:val="24"/>
                <w:lang w:val="hy-AM"/>
              </w:rPr>
              <w:t>նելու դեպքերում</w:t>
            </w:r>
            <w:r w:rsidR="000366D0" w:rsidRPr="000366D0">
              <w:rPr>
                <w:rFonts w:ascii="GHEA Grapalat" w:hAnsi="GHEA Grapalat"/>
                <w:sz w:val="24"/>
                <w:szCs w:val="24"/>
                <w:lang w:val="hy-AM"/>
              </w:rPr>
              <w:t>:</w:t>
            </w:r>
          </w:p>
          <w:p w14:paraId="5890FF0F" w14:textId="77777777" w:rsidR="00BC18E8" w:rsidRDefault="00BC18E8" w:rsidP="00974CA6">
            <w:pPr>
              <w:spacing w:after="0"/>
              <w:jc w:val="center"/>
              <w:rPr>
                <w:rFonts w:ascii="GHEA Grapalat" w:hAnsi="GHEA Grapalat"/>
                <w:sz w:val="24"/>
                <w:szCs w:val="24"/>
                <w:lang w:val="hy-AM"/>
              </w:rPr>
            </w:pPr>
            <w:r>
              <w:rPr>
                <w:rFonts w:ascii="GHEA Grapalat" w:hAnsi="GHEA Grapalat"/>
                <w:sz w:val="24"/>
                <w:szCs w:val="24"/>
                <w:lang w:val="hy-AM"/>
              </w:rPr>
              <w:t xml:space="preserve">Ավելին՝ համակարծիք ենք, որ </w:t>
            </w:r>
            <w:r w:rsidRPr="00BC18E8">
              <w:rPr>
                <w:rFonts w:ascii="GHEA Grapalat" w:hAnsi="GHEA Grapalat"/>
                <w:sz w:val="24"/>
                <w:szCs w:val="24"/>
                <w:lang w:val="hy-AM"/>
              </w:rPr>
              <w:t>սպառողների պաշտպանությանն  առնչվող իրավական, ինստիտուցիոնալ և ենթակառուցվածքային  բարեփոխումները ենթադրում են ծավալուն փոփոխություններ, որոնք պետք է մանրակրկիտ քննարկվեն և իրականացվեն առանձին փաթեթով՝ անդրադառնալով սպառողների պաշտպանության բնագավառում քաղաքականության մշակման և իրականացման լիազոր մարմինների սահմանման, վերանայման և տարանջատման հարցերին</w:t>
            </w:r>
            <w:r>
              <w:rPr>
                <w:rFonts w:ascii="GHEA Grapalat" w:hAnsi="GHEA Grapalat"/>
                <w:sz w:val="24"/>
                <w:szCs w:val="24"/>
                <w:lang w:val="hy-AM"/>
              </w:rPr>
              <w:t>՝</w:t>
            </w:r>
            <w:r w:rsidRPr="00290520">
              <w:rPr>
                <w:lang w:val="hy-AM"/>
              </w:rPr>
              <w:t xml:space="preserve"> </w:t>
            </w:r>
            <w:r w:rsidRPr="00BC18E8">
              <w:rPr>
                <w:rFonts w:ascii="GHEA Grapalat" w:hAnsi="GHEA Grapalat"/>
                <w:sz w:val="24"/>
                <w:szCs w:val="24"/>
                <w:lang w:val="hy-AM"/>
              </w:rPr>
              <w:t>Հանրային կառավարման բարեփոխումների շրջանակներում</w:t>
            </w:r>
            <w:r>
              <w:rPr>
                <w:rFonts w:ascii="GHEA Grapalat" w:hAnsi="GHEA Grapalat"/>
                <w:sz w:val="24"/>
                <w:szCs w:val="24"/>
                <w:lang w:val="hy-AM"/>
              </w:rPr>
              <w:t>, և հարկ ենք համարում ընդգծել, որ Նախագծով նման փոփոխություններ չեն նախատեսվում։</w:t>
            </w:r>
          </w:p>
          <w:p w14:paraId="112D42F8" w14:textId="31EFCC22" w:rsidR="009F3151" w:rsidRPr="0030753D" w:rsidRDefault="009F3151" w:rsidP="002C3338">
            <w:pPr>
              <w:spacing w:after="0"/>
              <w:jc w:val="center"/>
              <w:rPr>
                <w:rFonts w:ascii="GHEA Grapalat" w:hAnsi="GHEA Grapalat"/>
                <w:sz w:val="24"/>
                <w:szCs w:val="24"/>
                <w:lang w:val="hy-AM"/>
              </w:rPr>
            </w:pPr>
            <w:r>
              <w:rPr>
                <w:rFonts w:ascii="GHEA Grapalat" w:hAnsi="GHEA Grapalat"/>
                <w:sz w:val="24"/>
                <w:szCs w:val="24"/>
                <w:lang w:val="hy-AM"/>
              </w:rPr>
              <w:t>Բացի այդ, Վարչապետի 2019 թվականի հունիսի 1-ի 666-Լ հրաման</w:t>
            </w:r>
            <w:r w:rsidR="002C3338">
              <w:rPr>
                <w:rFonts w:ascii="GHEA Grapalat" w:hAnsi="GHEA Grapalat"/>
                <w:sz w:val="24"/>
                <w:szCs w:val="24"/>
                <w:lang w:val="hy-AM"/>
              </w:rPr>
              <w:t xml:space="preserve">ով հաստատված </w:t>
            </w:r>
            <w:r w:rsidR="002C3338" w:rsidRPr="002C3338">
              <w:rPr>
                <w:rFonts w:ascii="GHEA Grapalat" w:hAnsi="GHEA Grapalat"/>
                <w:sz w:val="24"/>
                <w:szCs w:val="24"/>
                <w:lang w:val="hy-AM"/>
              </w:rPr>
              <w:t xml:space="preserve">համապարփակ </w:t>
            </w:r>
            <w:r w:rsidR="002C3338">
              <w:rPr>
                <w:rFonts w:ascii="GHEA Grapalat" w:hAnsi="GHEA Grapalat"/>
                <w:sz w:val="24"/>
                <w:szCs w:val="24"/>
                <w:lang w:val="hy-AM"/>
              </w:rPr>
              <w:t>և</w:t>
            </w:r>
            <w:r w:rsidR="002C3338" w:rsidRPr="002C3338">
              <w:rPr>
                <w:rFonts w:ascii="GHEA Grapalat" w:hAnsi="GHEA Grapalat"/>
                <w:sz w:val="24"/>
                <w:szCs w:val="24"/>
                <w:lang w:val="hy-AM"/>
              </w:rPr>
              <w:t xml:space="preserve"> ընդլայնված գործընկերության համաձայնագրի կիրարկման </w:t>
            </w:r>
            <w:r w:rsidR="002C3338">
              <w:rPr>
                <w:rFonts w:ascii="GHEA Grapalat" w:hAnsi="GHEA Grapalat"/>
                <w:sz w:val="24"/>
                <w:szCs w:val="24"/>
                <w:lang w:val="hy-AM"/>
              </w:rPr>
              <w:t>ճանապարհային քարտեզի</w:t>
            </w:r>
            <w:r>
              <w:rPr>
                <w:rFonts w:ascii="GHEA Grapalat" w:hAnsi="GHEA Grapalat"/>
                <w:sz w:val="24"/>
                <w:szCs w:val="24"/>
                <w:lang w:val="hy-AM"/>
              </w:rPr>
              <w:t xml:space="preserve"> 14-րդ գլխի </w:t>
            </w:r>
            <w:r w:rsidRPr="005D6096">
              <w:rPr>
                <w:rFonts w:ascii="GHEA Grapalat" w:hAnsi="GHEA Grapalat"/>
                <w:sz w:val="24"/>
                <w:szCs w:val="24"/>
                <w:lang w:val="hy-AM"/>
              </w:rPr>
              <w:t>(</w:t>
            </w:r>
            <w:r>
              <w:rPr>
                <w:rFonts w:ascii="GHEA Grapalat" w:hAnsi="GHEA Grapalat"/>
                <w:sz w:val="24"/>
                <w:szCs w:val="24"/>
                <w:lang w:val="hy-AM"/>
              </w:rPr>
              <w:t>սպառողների պաշտպանություն</w:t>
            </w:r>
            <w:r w:rsidRPr="005D6096">
              <w:rPr>
                <w:rFonts w:ascii="GHEA Grapalat" w:hAnsi="GHEA Grapalat"/>
                <w:sz w:val="24"/>
                <w:szCs w:val="24"/>
                <w:lang w:val="hy-AM"/>
              </w:rPr>
              <w:t>)</w:t>
            </w:r>
            <w:r>
              <w:rPr>
                <w:rFonts w:ascii="GHEA Grapalat" w:hAnsi="GHEA Grapalat"/>
                <w:sz w:val="24"/>
                <w:szCs w:val="24"/>
                <w:lang w:val="hy-AM"/>
              </w:rPr>
              <w:t xml:space="preserve"> </w:t>
            </w:r>
            <w:r w:rsidR="002C3338" w:rsidRPr="005D6096">
              <w:rPr>
                <w:rFonts w:ascii="GHEA Grapalat" w:hAnsi="GHEA Grapalat"/>
                <w:sz w:val="24"/>
                <w:szCs w:val="24"/>
                <w:lang w:val="hy-AM"/>
              </w:rPr>
              <w:t>141-</w:t>
            </w:r>
            <w:r w:rsidR="002C3338">
              <w:rPr>
                <w:rFonts w:ascii="GHEA Grapalat" w:hAnsi="GHEA Grapalat"/>
                <w:sz w:val="24"/>
                <w:szCs w:val="24"/>
                <w:lang w:val="hy-AM"/>
              </w:rPr>
              <w:t xml:space="preserve">րդ և 142-րդ կետերով նախատեսված դիրեկտիվներին Օրենքի դրույթների մոտարկումը </w:t>
            </w:r>
            <w:r w:rsidR="002C3338" w:rsidRPr="005D6096">
              <w:rPr>
                <w:rFonts w:ascii="GHEA Grapalat" w:hAnsi="GHEA Grapalat"/>
                <w:sz w:val="24"/>
                <w:szCs w:val="24"/>
                <w:lang w:val="hy-AM"/>
              </w:rPr>
              <w:t>(անբարեխիղճ առեւտրային գործելակերպի բացառում</w:t>
            </w:r>
            <w:r w:rsidR="002C3338">
              <w:rPr>
                <w:rFonts w:ascii="GHEA Grapalat" w:hAnsi="GHEA Grapalat"/>
                <w:sz w:val="24"/>
                <w:szCs w:val="24"/>
                <w:lang w:val="hy-AM"/>
              </w:rPr>
              <w:t xml:space="preserve">, </w:t>
            </w:r>
            <w:r w:rsidR="002C3338" w:rsidRPr="002C3338">
              <w:rPr>
                <w:rFonts w:ascii="GHEA Grapalat" w:hAnsi="GHEA Grapalat"/>
                <w:sz w:val="24"/>
                <w:szCs w:val="24"/>
                <w:lang w:val="hy-AM"/>
              </w:rPr>
              <w:t>մոլոր</w:t>
            </w:r>
            <w:r w:rsidR="002C3338">
              <w:rPr>
                <w:rFonts w:ascii="GHEA Grapalat" w:hAnsi="GHEA Grapalat"/>
                <w:sz w:val="24"/>
                <w:szCs w:val="24"/>
                <w:lang w:val="hy-AM"/>
              </w:rPr>
              <w:t xml:space="preserve">եցնող </w:t>
            </w:r>
            <w:r w:rsidR="002C3338" w:rsidRPr="002C3338">
              <w:rPr>
                <w:rFonts w:ascii="GHEA Grapalat" w:hAnsi="GHEA Grapalat"/>
                <w:sz w:val="24"/>
                <w:szCs w:val="24"/>
                <w:lang w:val="hy-AM"/>
              </w:rPr>
              <w:t>և համեմատական գովազդ</w:t>
            </w:r>
            <w:r w:rsidR="002C3338" w:rsidRPr="005D6096">
              <w:rPr>
                <w:rFonts w:ascii="GHEA Grapalat" w:hAnsi="GHEA Grapalat"/>
                <w:sz w:val="24"/>
                <w:szCs w:val="24"/>
                <w:lang w:val="hy-AM"/>
              </w:rPr>
              <w:t>)</w:t>
            </w:r>
            <w:r w:rsidR="002C3338">
              <w:rPr>
                <w:rFonts w:ascii="GHEA Grapalat" w:hAnsi="GHEA Grapalat"/>
                <w:sz w:val="24"/>
                <w:szCs w:val="24"/>
                <w:lang w:val="hy-AM"/>
              </w:rPr>
              <w:t xml:space="preserve"> վերապահված է Հանձնաժողովին՝ որպես առաջին պատասխանատու մարմին, իսկ նույն գլխի մի շարք այլ գործառությոներով Հանձնաժողովը համարվել է համակատարող մարմին։</w:t>
            </w:r>
          </w:p>
        </w:tc>
      </w:tr>
      <w:tr w:rsidR="0030753D" w:rsidRPr="005D6096" w14:paraId="681EA3A8" w14:textId="77777777" w:rsidTr="009447F6">
        <w:tc>
          <w:tcPr>
            <w:tcW w:w="749" w:type="dxa"/>
          </w:tcPr>
          <w:p w14:paraId="085941D1"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7584541A" w14:textId="2F9FC969" w:rsidR="0030753D" w:rsidRPr="0030753D" w:rsidRDefault="00156F69" w:rsidP="009447F6">
            <w:pPr>
              <w:pStyle w:val="ListParagraph"/>
              <w:spacing w:after="0"/>
              <w:ind w:left="8"/>
              <w:contextualSpacing w:val="0"/>
              <w:jc w:val="center"/>
              <w:rPr>
                <w:rFonts w:ascii="GHEA Grapalat" w:hAnsi="GHEA Grapalat" w:cs="Sylfaen"/>
                <w:sz w:val="24"/>
                <w:szCs w:val="24"/>
                <w:lang w:val="hy-AM"/>
              </w:rPr>
            </w:pPr>
            <w:r w:rsidRPr="00156F69">
              <w:rPr>
                <w:rFonts w:ascii="GHEA Grapalat" w:hAnsi="GHEA Grapalat" w:cs="Sylfaen"/>
                <w:sz w:val="24"/>
                <w:szCs w:val="24"/>
                <w:lang w:val="hy-AM"/>
              </w:rPr>
              <w:t>Նախագծի 4-րդ հոդվածի 3-րդ մասի համաձայն «3. Սույն օրենքի հիման վրա ընդունված իրավական ակտերում օգտագործվող հասկացությունները և տերմինները կիրառվում են սույն օրենքում սահմանված իմաստով, եթե այլ բան սահմանված չէ այդ իրավական ակտով:» Նորմատիվ իրավական ակտերի մասին օրենքի 9-րդ հոդվածի 1-ին մասի համաձայն «Նորմատիվ իրավական ակտի կարգավորումը չպետք է դուրս գա իր առարկայի շրջանակներից»: Նախագծի 4-րդ հոդվածի 3-րդ մասի դրույթը դուրս է իր կարգավորման առարկայի շրջանակից, քանի որ կարգավորում և կանխորոշում է այլ իրավական ակտերում օգտագործվող հասկացությունների և տերմինների բովանդակությունը: Հետևաբար, առաջարկում ենք հանել նշված կարգավորումը, քանի որ վերջինս պետք է ներառվի տվյալ օրենքի հիման վրա ընդունված իրավական ակտերում:</w:t>
            </w:r>
          </w:p>
        </w:tc>
        <w:tc>
          <w:tcPr>
            <w:tcW w:w="2268" w:type="dxa"/>
          </w:tcPr>
          <w:p w14:paraId="709B70D7" w14:textId="442973F0" w:rsidR="0030753D" w:rsidRPr="0030753D" w:rsidRDefault="00351AF5"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w:t>
            </w:r>
          </w:p>
        </w:tc>
        <w:tc>
          <w:tcPr>
            <w:tcW w:w="4678" w:type="dxa"/>
          </w:tcPr>
          <w:p w14:paraId="1644CAA4" w14:textId="20677245" w:rsidR="0030753D" w:rsidRPr="0030753D" w:rsidRDefault="007D3A60" w:rsidP="009447F6">
            <w:pPr>
              <w:spacing w:after="0"/>
              <w:jc w:val="center"/>
              <w:rPr>
                <w:rFonts w:ascii="GHEA Grapalat" w:hAnsi="GHEA Grapalat"/>
                <w:sz w:val="24"/>
                <w:szCs w:val="24"/>
                <w:lang w:val="hy-AM"/>
              </w:rPr>
            </w:pPr>
            <w:r>
              <w:rPr>
                <w:rFonts w:ascii="GHEA Grapalat" w:hAnsi="GHEA Grapalat"/>
                <w:sz w:val="24"/>
                <w:szCs w:val="24"/>
                <w:lang w:val="hy-AM"/>
              </w:rPr>
              <w:t>Նախագծում կատարվել են համապատասխան փոփոխություններ։</w:t>
            </w:r>
          </w:p>
        </w:tc>
      </w:tr>
      <w:tr w:rsidR="0030753D" w:rsidRPr="005D6096" w14:paraId="529D900F" w14:textId="77777777" w:rsidTr="009447F6">
        <w:tc>
          <w:tcPr>
            <w:tcW w:w="749" w:type="dxa"/>
          </w:tcPr>
          <w:p w14:paraId="7A795911"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0EC53730" w14:textId="77777777" w:rsidR="00156F69" w:rsidRPr="00156F69"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 xml:space="preserve">Օրենքի 26-րդ հոդվածը կարգավորում է պետական օժանդակության տրամադրման հետ կապված իրավահարաբերությունները: Նշված հոդվածի 1-ին մասի համաձայն «Սույն օրենքի իմաստով պետական օժանդակություն է համարվում պետական օժանդակություն տրամադրող մարմնի կողմից տնտեսվարող սուբյեկտին կամ տնտեսվարող սուբյեկտների որոշակի խմբին կամ որոշակի ապրանքի համար կամ որոշակի ոլորտին ուղղակիորեն կամ անուղղակիորեն տրամադրվող ցանկացած օժանդակություն (ներառյալ՝ սուբսիդիա, դրամաշնորհ, օգնություն, վարկ, փոխառություն, գույք, արտոնություններ, այլ ֆինանսական միջոցներ կամ այլ պայմաններ), որի պայմաններում տնտեսվարող սուբյեկտների համար ստեղծվում են այնպիսի առավելություններ, որոնք ազատ տնտեսական մրցակցության պայմաններում տրամադրվող օժանդակության բացակայության դեպքում տնտեսվարող սուբյեկտները չէին ունենա:» Նույն հոդվածի 7-րդ մասի համաձայն «Պետական օժանդակություն տրամադրող մարմինները պետական օժանդակության տրամադրումից հետո Հանձնաժողով են ներկայացնում իրենց տրամադրած պետական օժանդակության վերաբերյալ տեղեկատվությունը»: Հաշվի առնելով, որ նշված կարգավորումներն առկա են նաև գործող օրենքում՝ առաջարկում ենք ներկայացնել վիճակագրություն գործող ռեեստրի առկայության և պետական օժանդակության տրամադրման վերաբերյալ, որպեսզի հնարավոր լինի գնահատել նման կարգավորման արդիականությունը: Առկա են մի շարք հարցադրումներ, մասնավորապես, պետական օժանդակության ո՞ր մասնաբաժինն է հայտնվում ռեեստրում, ո՞վ է գնահատում նշված առավելությունների ստեղծման հնարավորությունը և ի՞նչ մեթոդաբանությամբ, ո՞վ է վերահսկում և այլն:  Անհասկանալի է նաև 26-րդ հոդվածի 4-րդ կետում նշված եզրակացության չտրամադրման տրամաբանությունը՝ հաշվի առնելով, որ թվարկված կետերը ոչ թե բացառություն են պետական օժանդակության հասկացության մեջ ներառվելու համար, այլ ընդհամենը Հանձնաժողովի կողմից եզրակացության չտրամադրման հիմք են, որի արդյունքում գնահատման ամբողջ պատասխանատվությունն ընկնում է պետական մարմնի վրա, որը որևէ կերպ չի ազատվում տեղեկատվության տրամադրման պարտավորությունից:   </w:t>
            </w:r>
          </w:p>
          <w:p w14:paraId="63ECEA59" w14:textId="3EE2DE57" w:rsidR="0030753D" w:rsidRPr="0030753D"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38-րդ Հոդվածի 1-ին մասի 30-րդ կետում նշված է, որ Հանձնաժողովը սահմանում է պետական օժանդակության գնահատման կարգը, սակայն 26-րդ Հոդվածում որևէ գնահատման մասին խոսք չի գնում: Առաջարկում եմ ճշգրտել:</w:t>
            </w:r>
          </w:p>
        </w:tc>
        <w:tc>
          <w:tcPr>
            <w:tcW w:w="2268" w:type="dxa"/>
          </w:tcPr>
          <w:p w14:paraId="12E7426F" w14:textId="17015431" w:rsidR="0030753D" w:rsidRPr="0030753D" w:rsidRDefault="00351AF5"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մասնակի</w:t>
            </w:r>
          </w:p>
        </w:tc>
        <w:tc>
          <w:tcPr>
            <w:tcW w:w="4678" w:type="dxa"/>
          </w:tcPr>
          <w:p w14:paraId="51940EB7" w14:textId="77777777" w:rsidR="0030753D" w:rsidRDefault="007D3A60" w:rsidP="007D3A60">
            <w:pPr>
              <w:spacing w:after="0"/>
              <w:jc w:val="center"/>
              <w:rPr>
                <w:rFonts w:ascii="GHEA Grapalat" w:hAnsi="GHEA Grapalat"/>
                <w:sz w:val="24"/>
                <w:szCs w:val="24"/>
                <w:lang w:val="hy-AM"/>
              </w:rPr>
            </w:pPr>
            <w:r>
              <w:rPr>
                <w:rFonts w:ascii="GHEA Grapalat" w:hAnsi="GHEA Grapalat"/>
                <w:sz w:val="24"/>
                <w:szCs w:val="24"/>
                <w:lang w:val="hy-AM"/>
              </w:rPr>
              <w:t>Կառավարության 2020 թվականի մայիսի 21-ի «Պ</w:t>
            </w:r>
            <w:r w:rsidRPr="007D3A60">
              <w:rPr>
                <w:rFonts w:ascii="GHEA Grapalat" w:hAnsi="GHEA Grapalat"/>
                <w:sz w:val="24"/>
                <w:szCs w:val="24"/>
                <w:lang w:val="hy-AM"/>
              </w:rPr>
              <w:t xml:space="preserve">ետական օժանդակություն տրամադրող մարմինների կողմից պետական օժանդակության տրամադրումից հետո տրամադրված պետական օժանդակության վերաբերյալ Հայաստանի Հանրապետության տնտեսական մրցակցության պաշտպանության պետական հանձնաժողով տեղեկատվություն ներկայացնելու կարգն ու ժամկետները սահմանելու </w:t>
            </w:r>
            <w:r>
              <w:rPr>
                <w:rFonts w:ascii="GHEA Grapalat" w:hAnsi="GHEA Grapalat"/>
                <w:sz w:val="24"/>
                <w:szCs w:val="24"/>
                <w:lang w:val="hy-AM"/>
              </w:rPr>
              <w:t>և</w:t>
            </w:r>
            <w:r w:rsidRPr="007D3A60">
              <w:rPr>
                <w:rFonts w:ascii="GHEA Grapalat" w:hAnsi="GHEA Grapalat"/>
                <w:sz w:val="24"/>
                <w:szCs w:val="24"/>
                <w:lang w:val="hy-AM"/>
              </w:rPr>
              <w:t xml:space="preserve"> տեղեկատվություն ներկայացնելու ձ</w:t>
            </w:r>
            <w:r>
              <w:rPr>
                <w:rFonts w:ascii="GHEA Grapalat" w:hAnsi="GHEA Grapalat"/>
                <w:sz w:val="24"/>
                <w:szCs w:val="24"/>
                <w:lang w:val="hy-AM"/>
              </w:rPr>
              <w:t>և</w:t>
            </w:r>
            <w:r w:rsidRPr="007D3A60">
              <w:rPr>
                <w:rFonts w:ascii="GHEA Grapalat" w:hAnsi="GHEA Grapalat"/>
                <w:sz w:val="24"/>
                <w:szCs w:val="24"/>
                <w:lang w:val="hy-AM"/>
              </w:rPr>
              <w:t>ը հաստատելու մասին</w:t>
            </w:r>
            <w:r>
              <w:rPr>
                <w:rFonts w:ascii="GHEA Grapalat" w:hAnsi="GHEA Grapalat"/>
                <w:sz w:val="24"/>
                <w:szCs w:val="24"/>
                <w:lang w:val="hy-AM"/>
              </w:rPr>
              <w:t>»</w:t>
            </w:r>
            <w:r w:rsidR="00985435">
              <w:rPr>
                <w:rFonts w:ascii="GHEA Grapalat" w:hAnsi="GHEA Grapalat"/>
                <w:sz w:val="24"/>
                <w:szCs w:val="24"/>
                <w:lang w:val="hy-AM"/>
              </w:rPr>
              <w:t xml:space="preserve"> թիվ 784-Ն որոշումն ուժի մեջ է մտել 2020 թվականի մայիսի 28-ին, սակայն այդ ընթացքում և դրանից հետո Հայաստանի Հանրապետությունում գործող արտակարգ դրության, կարանտինի և ռազմական դրության պայմաններում օրենքով պահանջվող տեղեկությունները Հանձնաժողով ներկայացվել են մասնակի, ինչի պատճառով ռեեստրը լիարժեք ձևավորված չէ, ուստի ամփոփ վիճակագրություն ներկայացնել այս պահին հնարավոր չէ։</w:t>
            </w:r>
          </w:p>
          <w:p w14:paraId="671831A4" w14:textId="570E64DC" w:rsidR="009D3427" w:rsidRPr="009D3427" w:rsidRDefault="00985435" w:rsidP="009D3427">
            <w:pPr>
              <w:spacing w:after="0"/>
              <w:jc w:val="center"/>
              <w:rPr>
                <w:rFonts w:ascii="GHEA Grapalat" w:hAnsi="GHEA Grapalat"/>
                <w:sz w:val="24"/>
                <w:szCs w:val="24"/>
                <w:lang w:val="hy-AM"/>
              </w:rPr>
            </w:pPr>
            <w:r>
              <w:rPr>
                <w:rFonts w:ascii="GHEA Grapalat" w:hAnsi="GHEA Grapalat"/>
                <w:sz w:val="24"/>
                <w:szCs w:val="24"/>
                <w:lang w:val="hy-AM"/>
              </w:rPr>
              <w:t xml:space="preserve">Նախագծի 26-րդ հոդվածի 4-րդ մասով սահմանված իրավակարգավորման նպատակն այն է, որ Հանձնաժողովը դրանում նշված դեպքերում չի գնահատում </w:t>
            </w:r>
            <w:r w:rsidR="0031766C">
              <w:rPr>
                <w:rFonts w:ascii="GHEA Grapalat" w:hAnsi="GHEA Grapalat"/>
                <w:sz w:val="24"/>
                <w:szCs w:val="24"/>
                <w:lang w:val="hy-AM"/>
              </w:rPr>
              <w:t xml:space="preserve">պետական օժանդակության արգելված կամ թույլատրելի լինելը, սակայն դրանց տվյալներն անհրաժեշտ են ամբողջական տեղեկություններ գրանցամատյանում ներառելու համար, ինչը </w:t>
            </w:r>
            <w:r w:rsidR="009D3427" w:rsidRPr="009D3427">
              <w:rPr>
                <w:rFonts w:ascii="GHEA Grapalat" w:hAnsi="GHEA Grapalat"/>
                <w:sz w:val="24"/>
                <w:szCs w:val="24"/>
                <w:lang w:val="hy-AM"/>
              </w:rPr>
              <w:t>ամրագրվել է</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որպես hենանիշային պայման Հայաստանի Հանրապետության և</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Համաշխարհային բանկի միջև նախատեսված «Զարգացման</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քաղաքականության գործառնություն» բյուջետային աջակցության (DPO)</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վարկի տրամադրման ծրագրի շրջանակում, Հայաստանի Հանրապետություն-Եվրոպական Միություն</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Համաշխարհային բանկի խմբի համագործակցության «Հայաստանին</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միանգամյա աջակցության 2017-2020» ծրագրի (Proposal for the World</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Bank Group-European Union Partnership Armenia Single Support</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Framework 2017-2020 Economic Governance) շրջանակում որպես</w:t>
            </w:r>
            <w:r w:rsidR="009D3427">
              <w:rPr>
                <w:rFonts w:ascii="GHEA Grapalat" w:hAnsi="GHEA Grapalat"/>
                <w:sz w:val="24"/>
                <w:szCs w:val="24"/>
                <w:lang w:val="hy-AM"/>
              </w:rPr>
              <w:t xml:space="preserve"> </w:t>
            </w:r>
            <w:r w:rsidR="009D3427" w:rsidRPr="009D3427">
              <w:rPr>
                <w:rFonts w:ascii="GHEA Grapalat" w:hAnsi="GHEA Grapalat"/>
                <w:sz w:val="24"/>
                <w:szCs w:val="24"/>
                <w:lang w:val="hy-AM"/>
              </w:rPr>
              <w:t>նախապայման,</w:t>
            </w:r>
            <w:r w:rsidR="009D3427">
              <w:rPr>
                <w:rFonts w:ascii="GHEA Grapalat" w:hAnsi="GHEA Grapalat"/>
                <w:sz w:val="24"/>
                <w:szCs w:val="24"/>
                <w:lang w:val="hy-AM"/>
              </w:rPr>
              <w:t xml:space="preserve"> և</w:t>
            </w:r>
            <w:r w:rsidR="009D3427" w:rsidRPr="009D3427">
              <w:rPr>
                <w:rFonts w:ascii="GHEA Grapalat" w:hAnsi="GHEA Grapalat"/>
                <w:sz w:val="24"/>
                <w:szCs w:val="24"/>
                <w:lang w:val="hy-AM"/>
              </w:rPr>
              <w:t xml:space="preserve"> «ԵՄ-Հայաստան համապարփակ և ընդլայնված գործընկերության</w:t>
            </w:r>
          </w:p>
          <w:p w14:paraId="46CECACC" w14:textId="77777777" w:rsidR="00985435" w:rsidRDefault="009D3427" w:rsidP="009D3427">
            <w:pPr>
              <w:spacing w:after="0"/>
              <w:jc w:val="center"/>
              <w:rPr>
                <w:rFonts w:ascii="GHEA Grapalat" w:hAnsi="GHEA Grapalat"/>
                <w:sz w:val="24"/>
                <w:szCs w:val="24"/>
                <w:lang w:val="hy-AM"/>
              </w:rPr>
            </w:pPr>
            <w:r w:rsidRPr="009D3427">
              <w:rPr>
                <w:rFonts w:ascii="GHEA Grapalat" w:hAnsi="GHEA Grapalat"/>
                <w:sz w:val="24"/>
                <w:szCs w:val="24"/>
                <w:lang w:val="hy-AM"/>
              </w:rPr>
              <w:t>համաձայնագրի» կիրակման նպատակով՝ Հայաստանի</w:t>
            </w:r>
            <w:r>
              <w:rPr>
                <w:rFonts w:ascii="GHEA Grapalat" w:hAnsi="GHEA Grapalat"/>
                <w:sz w:val="24"/>
                <w:szCs w:val="24"/>
                <w:lang w:val="hy-AM"/>
              </w:rPr>
              <w:t xml:space="preserve"> </w:t>
            </w:r>
            <w:r w:rsidRPr="009D3427">
              <w:rPr>
                <w:rFonts w:ascii="GHEA Grapalat" w:hAnsi="GHEA Grapalat"/>
                <w:sz w:val="24"/>
                <w:szCs w:val="24"/>
                <w:lang w:val="hy-AM"/>
              </w:rPr>
              <w:t>Հանրապետության պարտավորություն` վարելու պետական</w:t>
            </w:r>
            <w:r>
              <w:rPr>
                <w:rFonts w:ascii="GHEA Grapalat" w:hAnsi="GHEA Grapalat"/>
                <w:sz w:val="24"/>
                <w:szCs w:val="24"/>
                <w:lang w:val="hy-AM"/>
              </w:rPr>
              <w:t xml:space="preserve"> </w:t>
            </w:r>
            <w:r w:rsidRPr="009D3427">
              <w:rPr>
                <w:rFonts w:ascii="GHEA Grapalat" w:hAnsi="GHEA Grapalat"/>
                <w:sz w:val="24"/>
                <w:szCs w:val="24"/>
                <w:lang w:val="hy-AM"/>
              </w:rPr>
              <w:t>օժանդակության վերաբերյալ միասնական գրանցամատյան:</w:t>
            </w:r>
          </w:p>
          <w:p w14:paraId="4AD46E70" w14:textId="5A3130E0" w:rsidR="009D3427" w:rsidRPr="0030753D" w:rsidRDefault="009D3427" w:rsidP="00351AF5">
            <w:pPr>
              <w:spacing w:after="0"/>
              <w:jc w:val="center"/>
              <w:rPr>
                <w:rFonts w:ascii="GHEA Grapalat" w:hAnsi="GHEA Grapalat"/>
                <w:sz w:val="24"/>
                <w:szCs w:val="24"/>
                <w:lang w:val="hy-AM"/>
              </w:rPr>
            </w:pPr>
            <w:r>
              <w:rPr>
                <w:rFonts w:ascii="GHEA Grapalat" w:hAnsi="GHEA Grapalat"/>
                <w:sz w:val="24"/>
                <w:szCs w:val="24"/>
                <w:lang w:val="hy-AM"/>
              </w:rPr>
              <w:t>«գնահատում» հասկացության կիրառման մասով նախագծում կատարվել են փոփոխություններ։</w:t>
            </w:r>
          </w:p>
        </w:tc>
      </w:tr>
      <w:tr w:rsidR="0030753D" w:rsidRPr="005D6096" w14:paraId="16563DDB" w14:textId="77777777" w:rsidTr="009447F6">
        <w:tc>
          <w:tcPr>
            <w:tcW w:w="749" w:type="dxa"/>
          </w:tcPr>
          <w:p w14:paraId="01AC7355"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67580AE8" w14:textId="77777777" w:rsidR="00156F69" w:rsidRPr="00156F69"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 xml:space="preserve">Նախագծի 32-րդ հոդվածի 5-րդ մասի համաձայն «Իր լիազորությունների իրականացման կապակցությամբ Հանձնաժողովի անդամի նկատմամբ քրեական հետապնդում կարող է հարուցվել, կամ Հանձնաժողովի անդամը կարող է ազատությունից զրկվել Գլխավոր դատախազի միջնորդության հիման վրա միայն Հանձնաժողովի համաձայնությամբ»: </w:t>
            </w:r>
          </w:p>
          <w:p w14:paraId="37A74F68" w14:textId="77777777" w:rsidR="00156F69" w:rsidRPr="00156F69"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Նախագծի 32-րդ հոդվածի 6-րդ հոդվածի համաձայն «Հանձնաժողովի անդամը և նրա ընտանիքի անդամները գտնվում են պետության հատուկ պաշտպանության ներքո: Հանձնաժողովի անդամի, նրա ընտանիքի անդամների, նրա զբաղեցրած բնակելի և աշխատանքային տարածքների, այլ գույքի նկատմամբ ոչ իրավաչափ ներգործության կամ դրա սպառնալիքի դեպքում Հանձնաժողովի անդամը հաղորդում է իրավասու պետական մարմիններին։ Իրավասու պետական մարմինները Հանձնաժողովի անդամի դիմումի հիման վրա պարտավոր են ձեռնարկել անհրաժեշտ միջոցառումներ` Հանձնաժողովի անդամի և նրա ընտանիքի, նրա զբաղեցրած բնակելի և աշխատանքային տարածքների, այլ գույքի նկատմամբ անվտանգությունն ապահովելու նպատակով»։</w:t>
            </w:r>
          </w:p>
          <w:p w14:paraId="289E1C8E" w14:textId="77777777" w:rsidR="00156F69" w:rsidRPr="00156F69"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 xml:space="preserve">Վերոգրյալ երաշխիքները ՀՀ օրենսդրությամբ սահմանված են դատախազի, դատավորի, ՍԴ դատավորի և նրանց ընտանիքի անդամների համար և այլ առանձնահատուկ մարմինների համար: Հետևաբար նման երաշխիքների նախատեսումը Տնտեսական մրցակցության պաշտպանության հանձնաժողովի անդամի համար ենթակա է հանգամանալից և ողջամիտ հիմնավորման: Առաջարկում ենք ներկայացնել լրացուցիչ հիմնավորումներ վերոնշյալ կարգավորումների համար, այդ թվում՝ Հանձնաժողովի անդամներին ու նրանց ընտանիքի անդամներին պետության հատուկ պաշտպանության ներքո վերցնելու անհրաժեշտության  վերաբերյալ, ի՞նչ կերպ են Հանձնաժողովի գործառույթները փոխկապակցվում քրեական գործի շրջանակներում՝ հանձնաժողովի անդամին ազատությունից զրկելու թույլտվություն տալու հետ, ներկայացնել վերոնշյալ կարգավորումների վերաբերյալ </w:t>
            </w:r>
            <w:r w:rsidRPr="00EA6925">
              <w:rPr>
                <w:rFonts w:ascii="GHEA Grapalat" w:hAnsi="GHEA Grapalat" w:cs="Sylfaen"/>
                <w:sz w:val="24"/>
                <w:szCs w:val="24"/>
                <w:lang w:val="hy-AM"/>
              </w:rPr>
              <w:t>միջազգային փորձը</w:t>
            </w:r>
            <w:r w:rsidRPr="00156F69">
              <w:rPr>
                <w:rFonts w:ascii="GHEA Grapalat" w:hAnsi="GHEA Grapalat" w:cs="Sylfaen"/>
                <w:sz w:val="24"/>
                <w:szCs w:val="24"/>
                <w:lang w:val="hy-AM"/>
              </w:rPr>
              <w:t xml:space="preserve">՝ մասնավորապես հաշվի առնելով, որ ՍԻԳՄԱ-յի փորձագետների գնահատմամբ նշված գործառույթը հիմնականում գործադիր իշխանության գործառույթ է և ոչ թե անկախ մարմնի:  </w:t>
            </w:r>
          </w:p>
          <w:p w14:paraId="54BA29E8" w14:textId="77777777" w:rsidR="00156F69" w:rsidRPr="00156F69"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 xml:space="preserve">Գտնում ենք նպատակահարմար Տնտեսական մրցակցության պաշտպանության հանձնաժողովի անդամների երաշխիքների և արտոնությունների զուգահեռները տանել ոչ թե վերոնշյալ մարմինների հետ, այլ այնպիսի մարմինների հետ, ինչպիսիք են, օրինակ, Հանրային ծառայությունները կարգավորող հանձնաժողովը, Կենտրոնական ընտրական հանձնաժողովը որոնք իրականացնելով ոչ պակաս կարևոր գործառույթ՝ օժտված չեն վերոնշյալ լիազորություններով և դրանց անդամները, ինչպես նաև նրանց ընտանիքների անդամները չեն գտնվում պետության հատուկ պաշտպանության ներքո: </w:t>
            </w:r>
          </w:p>
          <w:p w14:paraId="4FD13C39" w14:textId="04E69D93" w:rsidR="0030753D" w:rsidRPr="0030753D"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Ելնելով այդ համեմատությունից՝ առաջարկում ենք նաև վերոնշյալ մարմինների օրինակով քննության առարկա դարձնել Հանձնաժողովի յոթ անդամի փոխարեն հինգ անդամ սահմանելու հարցը:</w:t>
            </w:r>
          </w:p>
        </w:tc>
        <w:tc>
          <w:tcPr>
            <w:tcW w:w="2268" w:type="dxa"/>
          </w:tcPr>
          <w:p w14:paraId="29004754" w14:textId="5BAD58B1" w:rsidR="0030753D" w:rsidRPr="0030753D" w:rsidRDefault="00351AF5"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2B1F41EB" w14:textId="77A640FD" w:rsidR="0030753D" w:rsidRDefault="009D3427" w:rsidP="00953C4B">
            <w:pPr>
              <w:spacing w:after="0"/>
              <w:jc w:val="center"/>
              <w:rPr>
                <w:rFonts w:ascii="GHEA Grapalat" w:hAnsi="GHEA Grapalat"/>
                <w:sz w:val="24"/>
                <w:szCs w:val="24"/>
                <w:lang w:val="hy-AM"/>
              </w:rPr>
            </w:pPr>
            <w:r>
              <w:rPr>
                <w:rFonts w:ascii="GHEA Grapalat" w:hAnsi="GHEA Grapalat"/>
                <w:sz w:val="24"/>
                <w:szCs w:val="24"/>
                <w:lang w:val="hy-AM"/>
              </w:rPr>
              <w:t xml:space="preserve">Սահմանադրության 122-րդ հոդվածի 4-րդ մասի համաձայն՝ օրենքով պետք է սահմանվեն </w:t>
            </w:r>
            <w:r w:rsidR="00DE27D9">
              <w:rPr>
                <w:rFonts w:ascii="GHEA Grapalat" w:hAnsi="GHEA Grapalat"/>
                <w:sz w:val="24"/>
                <w:szCs w:val="24"/>
                <w:lang w:val="hy-AM"/>
              </w:rPr>
              <w:t>ինքնավար</w:t>
            </w:r>
            <w:r>
              <w:rPr>
                <w:rFonts w:ascii="GHEA Grapalat" w:hAnsi="GHEA Grapalat"/>
                <w:sz w:val="24"/>
                <w:szCs w:val="24"/>
                <w:lang w:val="hy-AM"/>
              </w:rPr>
              <w:t xml:space="preserve"> մարմնի անկախության երաշխիքներ։ Բացի գործառութային երաշխիքներից</w:t>
            </w:r>
            <w:r w:rsidR="00953C4B">
              <w:rPr>
                <w:rFonts w:ascii="GHEA Grapalat" w:hAnsi="GHEA Grapalat"/>
                <w:sz w:val="24"/>
                <w:szCs w:val="24"/>
                <w:lang w:val="hy-AM"/>
              </w:rPr>
              <w:t>, մարմնի անկախությունը էապես կախված է նաև մ</w:t>
            </w:r>
            <w:r>
              <w:rPr>
                <w:rFonts w:ascii="GHEA Grapalat" w:hAnsi="GHEA Grapalat"/>
                <w:sz w:val="24"/>
                <w:szCs w:val="24"/>
                <w:lang w:val="hy-AM"/>
              </w:rPr>
              <w:t xml:space="preserve">արմնի </w:t>
            </w:r>
            <w:r w:rsidR="00953C4B">
              <w:rPr>
                <w:rFonts w:ascii="GHEA Grapalat" w:hAnsi="GHEA Grapalat"/>
                <w:sz w:val="24"/>
                <w:szCs w:val="24"/>
                <w:lang w:val="hy-AM"/>
              </w:rPr>
              <w:t>անդամների երաշխիքներից, որոնք զերծ են պահում մարմնի գործունեությունը կողմնակի միջամտության ռիսկերից։</w:t>
            </w:r>
          </w:p>
          <w:p w14:paraId="69496AE8" w14:textId="77777777" w:rsidR="00953C4B" w:rsidRDefault="00A02E96" w:rsidP="00A02E96">
            <w:pPr>
              <w:spacing w:after="0"/>
              <w:jc w:val="center"/>
              <w:rPr>
                <w:rFonts w:ascii="GHEA Grapalat" w:hAnsi="GHEA Grapalat"/>
                <w:sz w:val="24"/>
                <w:szCs w:val="24"/>
                <w:lang w:val="hy-AM"/>
              </w:rPr>
            </w:pPr>
            <w:r>
              <w:rPr>
                <w:rFonts w:ascii="GHEA Grapalat" w:hAnsi="GHEA Grapalat"/>
                <w:sz w:val="24"/>
                <w:szCs w:val="24"/>
                <w:lang w:val="hy-AM"/>
              </w:rPr>
              <w:t>Հարկ է նշել, որ Սահմանադրությունը դատախազի և Մարդու իրավունքների պաշտպանի համար ևս չի սահմանում նման երաշխիքներ, սակայն դրանք ամրագրվել են օրենքով։</w:t>
            </w:r>
            <w:r w:rsidR="00C73307">
              <w:rPr>
                <w:rFonts w:ascii="GHEA Grapalat" w:hAnsi="GHEA Grapalat"/>
                <w:sz w:val="24"/>
                <w:szCs w:val="24"/>
                <w:lang w:val="hy-AM"/>
              </w:rPr>
              <w:br/>
            </w:r>
            <w:r w:rsidR="00C57CE8">
              <w:rPr>
                <w:rFonts w:ascii="GHEA Grapalat" w:hAnsi="GHEA Grapalat"/>
                <w:sz w:val="24"/>
                <w:szCs w:val="24"/>
                <w:lang w:val="hy-AM"/>
              </w:rPr>
              <w:t xml:space="preserve">Ինչ վերաբերում է Հանձնաժողովի անդամների քանակին, ապա կարծում ենք, որ դա կարող է քննարկման առարկա դառնալ Հանրային կառավարման </w:t>
            </w:r>
            <w:r w:rsidR="00C57CE8" w:rsidRPr="00BC18E8">
              <w:rPr>
                <w:rFonts w:ascii="GHEA Grapalat" w:hAnsi="GHEA Grapalat"/>
                <w:sz w:val="24"/>
                <w:szCs w:val="24"/>
                <w:lang w:val="hy-AM"/>
              </w:rPr>
              <w:t>բարեփոխումների շրջանակներում</w:t>
            </w:r>
            <w:r w:rsidR="00C57CE8">
              <w:rPr>
                <w:rFonts w:ascii="GHEA Grapalat" w:hAnsi="GHEA Grapalat"/>
                <w:sz w:val="24"/>
                <w:szCs w:val="24"/>
                <w:lang w:val="hy-AM"/>
              </w:rPr>
              <w:t>։</w:t>
            </w:r>
          </w:p>
          <w:p w14:paraId="0ABD2C39" w14:textId="1FA93992" w:rsidR="00C72C06" w:rsidRPr="00290520" w:rsidRDefault="00C72C06" w:rsidP="00A02E96">
            <w:pPr>
              <w:spacing w:after="0"/>
              <w:jc w:val="center"/>
              <w:rPr>
                <w:rFonts w:ascii="GHEA Grapalat" w:hAnsi="GHEA Grapalat"/>
                <w:sz w:val="24"/>
                <w:szCs w:val="24"/>
                <w:lang w:val="hy-AM"/>
              </w:rPr>
            </w:pPr>
            <w:r w:rsidRPr="00351AF5">
              <w:rPr>
                <w:rFonts w:ascii="GHEA Grapalat" w:hAnsi="GHEA Grapalat"/>
                <w:sz w:val="24"/>
                <w:szCs w:val="24"/>
                <w:lang w:val="hy-AM"/>
              </w:rPr>
              <w:t xml:space="preserve">Բացի այդ, 2018 թվականի մարտի 23-ին ընդունված «Տնտեսական մրցակցության պաշտպանության մասին» օրենքում լրացումներ և փոփոխություններ կատարելու մասին» ՀՕ-249-Ն օրենքի համաձայն Հանձնաժողովի առաջին կազմը ձևավորվել է ռոտացիոն սկզբունքով՝ Հանձնաժողովի անդամներն ընտրվել են 1-5 տարի ժամկետներով։ </w:t>
            </w:r>
          </w:p>
        </w:tc>
      </w:tr>
      <w:tr w:rsidR="0030753D" w:rsidRPr="005D6096" w14:paraId="347204E1" w14:textId="77777777" w:rsidTr="009447F6">
        <w:tc>
          <w:tcPr>
            <w:tcW w:w="749" w:type="dxa"/>
          </w:tcPr>
          <w:p w14:paraId="058FC86A"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0C03ABCE" w14:textId="77777777" w:rsidR="00156F69" w:rsidRPr="00156F69"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Նախագծի 38-րդ հոդվածում սահմանված Հանձնաժողովի առանձին լիազորությունների վերաբերյալ առկա են հարցադրումներ և մտահոգություններ՝ կապված դրանց իրավաչափության հետ: Այսպես, 38-րդ հոդվածի 1-ին մասի 3-րդ կետի համաձայն հանձնաժողովը «պետական մարմիններին և նրանց պաշտոնատար անձանց ենթարկում է պատասխանատվության՝ հանձնարարելով իր կողմից սահմանված ժամկետում շտկել խախտումը և հետագայում բացառել այն»: Կարծում ենք, որ այն չի համապատասխանում «Կառավարության կառուցվածքի և գործունեության մասին» օրենքի 9-րդ հոդվածի դրույթներին և, ընդհանուր առմամբ, նշված օրենքի հայեցակարգին: Առաջարկում ենք հանել այս կարգավորումը:</w:t>
            </w:r>
          </w:p>
          <w:p w14:paraId="7808336A" w14:textId="03E2A2B4" w:rsidR="0030753D" w:rsidRPr="0030753D" w:rsidRDefault="00156F69" w:rsidP="00156F6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Նույն հոդվածի 1-ին մասի 32-րդ կետի համաձայն Հանձնաժողովը «որոշում է կայացնում հաշտության համաձայնություն կնքելու վերաբերյալ»: Առաջարկում ենք պարզաբանել նշված դրույթը և դրա կիրառման տիրույթը, այդ թվում՝ հաշտության համաձայնության կողմերին:</w:t>
            </w:r>
          </w:p>
        </w:tc>
        <w:tc>
          <w:tcPr>
            <w:tcW w:w="2268" w:type="dxa"/>
          </w:tcPr>
          <w:p w14:paraId="6DA97074" w14:textId="0F55E74E" w:rsidR="0030753D" w:rsidRPr="0030753D" w:rsidRDefault="00351AF5"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38D782BA" w14:textId="77777777" w:rsidR="0030753D" w:rsidRDefault="00651A44" w:rsidP="006D32D6">
            <w:pPr>
              <w:spacing w:after="0"/>
              <w:jc w:val="center"/>
              <w:rPr>
                <w:rFonts w:ascii="GHEA Grapalat" w:hAnsi="GHEA Grapalat"/>
                <w:sz w:val="24"/>
                <w:szCs w:val="24"/>
                <w:lang w:val="hy-AM"/>
              </w:rPr>
            </w:pPr>
            <w:r>
              <w:rPr>
                <w:rFonts w:ascii="GHEA Grapalat" w:hAnsi="GHEA Grapalat"/>
                <w:sz w:val="24"/>
                <w:szCs w:val="24"/>
                <w:lang w:val="hy-AM"/>
              </w:rPr>
              <w:t xml:space="preserve">Պետական մարմիններին և նրանց պաշտոնատար անձանց պատասխանատվության ենթարկելու </w:t>
            </w:r>
            <w:r w:rsidR="00340A38">
              <w:rPr>
                <w:rFonts w:ascii="GHEA Grapalat" w:hAnsi="GHEA Grapalat"/>
                <w:sz w:val="24"/>
                <w:szCs w:val="24"/>
                <w:lang w:val="hy-AM"/>
              </w:rPr>
              <w:t xml:space="preserve"> </w:t>
            </w:r>
            <w:r w:rsidR="003061FC">
              <w:rPr>
                <w:rFonts w:ascii="GHEA Grapalat" w:hAnsi="GHEA Grapalat"/>
                <w:sz w:val="24"/>
                <w:szCs w:val="24"/>
                <w:lang w:val="hy-AM"/>
              </w:rPr>
              <w:t>դրույթ</w:t>
            </w:r>
            <w:r w:rsidR="006D32D6">
              <w:rPr>
                <w:rFonts w:ascii="GHEA Grapalat" w:hAnsi="GHEA Grapalat"/>
                <w:sz w:val="24"/>
                <w:szCs w:val="24"/>
                <w:lang w:val="hy-AM"/>
              </w:rPr>
              <w:t>ի</w:t>
            </w:r>
            <w:r w:rsidR="003061FC">
              <w:rPr>
                <w:rFonts w:ascii="GHEA Grapalat" w:hAnsi="GHEA Grapalat"/>
                <w:sz w:val="24"/>
                <w:szCs w:val="24"/>
                <w:lang w:val="hy-AM"/>
              </w:rPr>
              <w:t xml:space="preserve"> </w:t>
            </w:r>
            <w:r w:rsidR="006D32D6">
              <w:rPr>
                <w:rFonts w:ascii="GHEA Grapalat" w:hAnsi="GHEA Grapalat"/>
                <w:sz w:val="24"/>
                <w:szCs w:val="24"/>
                <w:lang w:val="hy-AM"/>
              </w:rPr>
              <w:t>նպատակը</w:t>
            </w:r>
            <w:r w:rsidR="003061FC">
              <w:rPr>
                <w:rFonts w:ascii="GHEA Grapalat" w:hAnsi="GHEA Grapalat"/>
                <w:sz w:val="24"/>
                <w:szCs w:val="24"/>
                <w:lang w:val="hy-AM"/>
              </w:rPr>
              <w:t xml:space="preserve"> նրանց կողմից Օրենքով նախատեսված իրավախախտումներ կատարելու </w:t>
            </w:r>
            <w:r w:rsidR="00007A2F">
              <w:rPr>
                <w:rFonts w:ascii="GHEA Grapalat" w:hAnsi="GHEA Grapalat"/>
                <w:sz w:val="24"/>
                <w:szCs w:val="24"/>
                <w:lang w:val="hy-AM"/>
              </w:rPr>
              <w:t xml:space="preserve">դեպքում </w:t>
            </w:r>
            <w:r w:rsidR="00501C90">
              <w:rPr>
                <w:rFonts w:ascii="GHEA Grapalat" w:hAnsi="GHEA Grapalat"/>
                <w:sz w:val="24"/>
                <w:szCs w:val="24"/>
                <w:lang w:val="hy-AM"/>
              </w:rPr>
              <w:t>համարժեք</w:t>
            </w:r>
            <w:r w:rsidR="006D32D6">
              <w:rPr>
                <w:rFonts w:ascii="GHEA Grapalat" w:hAnsi="GHEA Grapalat"/>
                <w:sz w:val="24"/>
                <w:szCs w:val="24"/>
                <w:lang w:val="hy-AM"/>
              </w:rPr>
              <w:t xml:space="preserve"> միջոց ձեռնարկելն է, ինչը որևէ կերպ չի խոչընդոտում պետական մարմինների և նրանց պաշտոնատար անձանց լիազորությունների իրականացմանը և օրենքով սահմանված երաշխիքներին, այդ թվում՝ նախարարի՝ </w:t>
            </w:r>
            <w:r w:rsidR="006D32D6" w:rsidRPr="006D32D6">
              <w:rPr>
                <w:rFonts w:ascii="GHEA Grapalat" w:hAnsi="GHEA Grapalat"/>
                <w:sz w:val="24"/>
                <w:szCs w:val="24"/>
                <w:lang w:val="hy-AM"/>
              </w:rPr>
              <w:t>նախարարությանը վերապահված գործունեության ոլորտը</w:t>
            </w:r>
            <w:r w:rsidR="006D32D6">
              <w:rPr>
                <w:rFonts w:ascii="GHEA Grapalat" w:hAnsi="GHEA Grapalat"/>
                <w:sz w:val="24"/>
                <w:szCs w:val="24"/>
                <w:lang w:val="hy-AM"/>
              </w:rPr>
              <w:t xml:space="preserve"> ինքնուրույն ղեկավարելուն և այլ լիազորություններին։</w:t>
            </w:r>
          </w:p>
          <w:p w14:paraId="184BF13A" w14:textId="300B498F" w:rsidR="003C03C4" w:rsidRPr="003C03C4" w:rsidRDefault="006D32D6" w:rsidP="003C03C4">
            <w:pPr>
              <w:spacing w:after="0"/>
              <w:jc w:val="center"/>
              <w:rPr>
                <w:rFonts w:ascii="GHEA Grapalat" w:hAnsi="GHEA Grapalat"/>
                <w:sz w:val="24"/>
                <w:szCs w:val="24"/>
                <w:lang w:val="hy-AM"/>
              </w:rPr>
            </w:pPr>
            <w:r>
              <w:rPr>
                <w:rFonts w:ascii="GHEA Grapalat" w:hAnsi="GHEA Grapalat"/>
                <w:sz w:val="24"/>
                <w:szCs w:val="24"/>
                <w:lang w:val="hy-AM"/>
              </w:rPr>
              <w:t xml:space="preserve">Հանձնաժողովի՝ հաշտության համաձայնության վերաբերյալ որոշում կայացնելու լիազորությունն ուղղված է դատավարական օրենսգրքերով դատավարության մասնակիցներին հաշտության համաձայնություն կնքելու իրավունքը լիարժեք իրականացնելու համար։ Նման լիազորության նախատեսումը նաև նպատակ է հետապնդում սահմանափակել Հանձնաժողովի ներկայացուցչի լիազորությունը դատավարության ընթացքում Հանձնաժողովի անունից կնքելու հաշտության համաձայնություն՝ դրանով նաև </w:t>
            </w:r>
            <w:r w:rsidR="003C03C4">
              <w:rPr>
                <w:rFonts w:ascii="GHEA Grapalat" w:hAnsi="GHEA Grapalat"/>
                <w:sz w:val="24"/>
                <w:szCs w:val="24"/>
                <w:lang w:val="hy-AM"/>
              </w:rPr>
              <w:t>պատասխանատվությունը դնելով Հանձնաժողովի վրա։</w:t>
            </w:r>
            <w:r w:rsidR="00DE27D9">
              <w:rPr>
                <w:rFonts w:ascii="GHEA Grapalat" w:hAnsi="GHEA Grapalat"/>
                <w:sz w:val="24"/>
                <w:szCs w:val="24"/>
                <w:lang w:val="hy-AM"/>
              </w:rPr>
              <w:t xml:space="preserve"> Այլապես կարգավորված չի լինի դատարանում հաշտության համաձայնությունը կնքելուն Հանձնաժողովի անունից համաձայնություն տալուն նախորդող գործընթացը և նման որոշում կայացնելու իրավասություն ունեցող անձանց շրջանակը։</w:t>
            </w:r>
            <w:r w:rsidR="003C03C4">
              <w:rPr>
                <w:rFonts w:ascii="GHEA Grapalat" w:hAnsi="GHEA Grapalat"/>
                <w:sz w:val="24"/>
                <w:szCs w:val="24"/>
                <w:lang w:val="hy-AM"/>
              </w:rPr>
              <w:t xml:space="preserve"> Այսպիսով՝ հաշտության համաձայնությունը կիրառվում է օրենքով նախատեսված դեպքերում դատավարության ընթացքում, իսկ դրա կողմերն են դատավարության մասնակիցները։</w:t>
            </w:r>
          </w:p>
        </w:tc>
      </w:tr>
      <w:tr w:rsidR="0030753D" w:rsidRPr="005D6096" w14:paraId="4872D17A" w14:textId="77777777" w:rsidTr="009447F6">
        <w:tc>
          <w:tcPr>
            <w:tcW w:w="749" w:type="dxa"/>
          </w:tcPr>
          <w:p w14:paraId="1531F82B"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390A4796" w14:textId="49DB5B06" w:rsidR="0030753D" w:rsidRPr="0030753D" w:rsidRDefault="00156F69" w:rsidP="009447F6">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Օրենսդրական փաթեթով փոփոխություն է առաջարկվում նաև Ստուգումների անցկացման մասին և Կենտրոնական բանկի մասին օրենքներում, որի արդյունքում ֆինանսական համակարգում տնտեսական մրցակցության ապահովումը վերապահվելու է Հանձնաժողովին: Առաջարկում ենք ներկայացնել լրացուցիչ հիմնավորումներ այս մոտեցման վերաբերյալ: Թեև Օրենսդրական փաթեթին կից հիմնավորման մեջ նշվում է միջազգային փորձի մասին, սակայն այդ հղումները պարզորոշ չեն, որի հետևանքով չի հաստատվում փորձագետների կողմից՝ առաջարկվող մոտեցումը հիմնավորող դիրքորոշումներ արտահայտելու փաստը, ինչպես նաև հնարավոր չի լինում իմանալ սպառիչ տեղեկություն ՏՀԶԿ երկրների փորձի վերաբերյալ:  Առաջարկում ենք ներկայացնել ՏՀԶԿ երկրների փորձը՝ պարզորոշ (ոչ ընդհանարական) հղումներ կատարելով աղբյուրներին:</w:t>
            </w:r>
          </w:p>
        </w:tc>
        <w:tc>
          <w:tcPr>
            <w:tcW w:w="2268" w:type="dxa"/>
          </w:tcPr>
          <w:p w14:paraId="5A6927A6" w14:textId="1016625C" w:rsidR="0030753D" w:rsidRPr="0030753D" w:rsidRDefault="00351AF5"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21A3BAC8" w14:textId="7B6ECC6B" w:rsidR="001F708C" w:rsidRPr="00290520" w:rsidRDefault="001F708C" w:rsidP="001F708C">
            <w:pPr>
              <w:spacing w:after="0"/>
              <w:jc w:val="center"/>
              <w:rPr>
                <w:rFonts w:ascii="GHEA Grapalat" w:hAnsi="GHEA Grapalat"/>
                <w:sz w:val="24"/>
                <w:szCs w:val="24"/>
                <w:lang w:val="hy-AM"/>
              </w:rPr>
            </w:pPr>
            <w:r w:rsidRPr="00290520">
              <w:rPr>
                <w:rFonts w:ascii="GHEA Grapalat" w:hAnsi="GHEA Grapalat"/>
                <w:sz w:val="24"/>
                <w:szCs w:val="24"/>
                <w:lang w:val="hy-AM"/>
              </w:rPr>
              <w:t>Միջազգային մրցակցային ցանցը (այսուհետ` ՄՄՑ), որը մրցակցային իրավունքի և մրցակցային քաղաքականության իրականացումը հզորացնելու նպատակով ստեղծված միջազգային կազմակերպություն է, և որին անդամակցում են ավելի քան 150</w:t>
            </w:r>
            <w:r>
              <w:rPr>
                <w:rFonts w:ascii="GHEA Grapalat" w:hAnsi="GHEA Grapalat"/>
                <w:sz w:val="24"/>
                <w:szCs w:val="24"/>
                <w:lang w:val="hy-AM"/>
              </w:rPr>
              <w:t xml:space="preserve"> </w:t>
            </w:r>
            <w:r w:rsidRPr="00290520">
              <w:rPr>
                <w:rFonts w:ascii="GHEA Grapalat" w:hAnsi="GHEA Grapalat"/>
                <w:sz w:val="24"/>
                <w:szCs w:val="24"/>
                <w:lang w:val="hy-AM"/>
              </w:rPr>
              <w:t>պետություններ (ներառյալ բոլոր զարգացած պետությունները), իր զեկույցներում, անդրադառնալով տնտեսական մրցակցության մարմինների կողմից ֆինանսական ոլորտում տնտեսական մրցակցության օրենսդրության կիրառման անհրաժեշտությանը, հանդես է եկել հետևյալ առաջարկություններով</w:t>
            </w:r>
            <w:r>
              <w:rPr>
                <w:rStyle w:val="FootnoteReference"/>
                <w:rFonts w:ascii="GHEA Grapalat" w:hAnsi="GHEA Grapalat"/>
                <w:sz w:val="24"/>
                <w:szCs w:val="24"/>
                <w:lang w:val="en-GB"/>
              </w:rPr>
              <w:footnoteReference w:id="22"/>
            </w:r>
            <w:r w:rsidRPr="00290520">
              <w:rPr>
                <w:rFonts w:ascii="GHEA Grapalat" w:hAnsi="GHEA Grapalat"/>
                <w:sz w:val="24"/>
                <w:szCs w:val="24"/>
                <w:lang w:val="hy-AM"/>
              </w:rPr>
              <w:t>`</w:t>
            </w:r>
          </w:p>
          <w:p w14:paraId="21414028" w14:textId="77777777" w:rsidR="001F708C" w:rsidRPr="00290520" w:rsidRDefault="001F708C" w:rsidP="001F708C">
            <w:pPr>
              <w:spacing w:after="0"/>
              <w:jc w:val="center"/>
              <w:rPr>
                <w:rFonts w:ascii="GHEA Grapalat" w:hAnsi="GHEA Grapalat"/>
                <w:sz w:val="24"/>
                <w:szCs w:val="24"/>
                <w:lang w:val="hy-AM"/>
              </w:rPr>
            </w:pPr>
            <w:r w:rsidRPr="00290520">
              <w:rPr>
                <w:rFonts w:ascii="GHEA Grapalat" w:hAnsi="GHEA Grapalat"/>
                <w:sz w:val="24"/>
                <w:szCs w:val="24"/>
                <w:lang w:val="hy-AM"/>
              </w:rPr>
              <w:t>•</w:t>
            </w:r>
            <w:r w:rsidRPr="00290520">
              <w:rPr>
                <w:rFonts w:ascii="GHEA Grapalat" w:hAnsi="GHEA Grapalat"/>
                <w:sz w:val="24"/>
                <w:szCs w:val="24"/>
                <w:lang w:val="hy-AM"/>
              </w:rPr>
              <w:tab/>
              <w:t xml:space="preserve"> Մրցակցային իրավունքը (բանկային կարգավորմանը զուգընթաց) ամբողջապես, առանց բացառությունների պետք է կիրառվի բանկային ոլորտի նկատմամբ:</w:t>
            </w:r>
          </w:p>
          <w:p w14:paraId="5F470C88" w14:textId="77777777" w:rsidR="001F708C" w:rsidRPr="00290520" w:rsidRDefault="001F708C" w:rsidP="001F708C">
            <w:pPr>
              <w:spacing w:after="0"/>
              <w:jc w:val="center"/>
              <w:rPr>
                <w:rFonts w:ascii="GHEA Grapalat" w:hAnsi="GHEA Grapalat"/>
                <w:sz w:val="24"/>
                <w:szCs w:val="24"/>
                <w:lang w:val="hy-AM"/>
              </w:rPr>
            </w:pPr>
            <w:r w:rsidRPr="00290520">
              <w:rPr>
                <w:rFonts w:ascii="GHEA Grapalat" w:hAnsi="GHEA Grapalat"/>
                <w:sz w:val="24"/>
                <w:szCs w:val="24"/>
                <w:lang w:val="hy-AM"/>
              </w:rPr>
              <w:t>•</w:t>
            </w:r>
            <w:r w:rsidRPr="00290520">
              <w:rPr>
                <w:rFonts w:ascii="GHEA Grapalat" w:hAnsi="GHEA Grapalat"/>
                <w:sz w:val="24"/>
                <w:szCs w:val="24"/>
                <w:lang w:val="hy-AM"/>
              </w:rPr>
              <w:tab/>
              <w:t xml:space="preserve"> Բանկերը չպետք է ունենան իրենց «հատուկ» կանոնները մրցակցության համար, այլ պետք է բանկերի վրա տարածվեն մրցակցության ընդհանուր կանոնները: Որպես վերոնշյալ դիրքորոշման հիմնավորում է բերվում բոլոր շուկաներում միասնական մրցակցային կանոնների կիրառման անհրաժեշտությունը, բանկերի համար մրցակցության հատուկ կանոնների սահմանման դեպքում կոռուպցիայի աճը, խտրական քաղաքականության կիրառումը և տնտեսական մրցակցության խաթարման ռիսկերի մեծացումը:</w:t>
            </w:r>
          </w:p>
          <w:p w14:paraId="2161B8F9" w14:textId="77777777" w:rsidR="003F5BC0" w:rsidRPr="00290520" w:rsidRDefault="001F708C" w:rsidP="00EA6925">
            <w:pPr>
              <w:spacing w:after="0"/>
              <w:jc w:val="center"/>
              <w:rPr>
                <w:rFonts w:ascii="GHEA Grapalat" w:hAnsi="GHEA Grapalat"/>
                <w:sz w:val="24"/>
                <w:szCs w:val="24"/>
                <w:lang w:val="hy-AM"/>
              </w:rPr>
            </w:pPr>
            <w:r w:rsidRPr="00290520">
              <w:rPr>
                <w:rFonts w:ascii="GHEA Grapalat" w:hAnsi="GHEA Grapalat"/>
                <w:sz w:val="24"/>
                <w:szCs w:val="24"/>
                <w:lang w:val="hy-AM"/>
              </w:rPr>
              <w:t>•</w:t>
            </w:r>
            <w:r w:rsidRPr="00290520">
              <w:rPr>
                <w:rFonts w:ascii="GHEA Grapalat" w:hAnsi="GHEA Grapalat"/>
                <w:sz w:val="24"/>
                <w:szCs w:val="24"/>
                <w:lang w:val="hy-AM"/>
              </w:rPr>
              <w:tab/>
              <w:t xml:space="preserve"> Մրցակցային իրավունքը պետք է կիրառվի բացառապես մրցակցային մարմինների կողմից, այլ ոչ` ոլորտը կարգավորող մարմնի կողմից:</w:t>
            </w:r>
          </w:p>
          <w:p w14:paraId="0407DB43" w14:textId="6225DAB4" w:rsidR="00166954" w:rsidRPr="00166954" w:rsidRDefault="00166954" w:rsidP="00166954">
            <w:pPr>
              <w:spacing w:after="0"/>
              <w:jc w:val="center"/>
              <w:rPr>
                <w:rFonts w:ascii="GHEA Grapalat" w:hAnsi="GHEA Grapalat"/>
                <w:sz w:val="24"/>
                <w:szCs w:val="24"/>
                <w:lang w:val="hy-AM"/>
              </w:rPr>
            </w:pPr>
            <w:r w:rsidRPr="00290520">
              <w:rPr>
                <w:rFonts w:ascii="GHEA Grapalat" w:hAnsi="GHEA Grapalat"/>
                <w:sz w:val="24"/>
                <w:szCs w:val="24"/>
                <w:lang w:val="hy-AM"/>
              </w:rPr>
              <w:t>ՏՀԶԿ 2019 թվականի</w:t>
            </w:r>
            <w:r>
              <w:rPr>
                <w:rFonts w:ascii="GHEA Grapalat" w:hAnsi="GHEA Grapalat"/>
                <w:sz w:val="24"/>
                <w:szCs w:val="24"/>
                <w:lang w:val="hy-AM"/>
              </w:rPr>
              <w:t xml:space="preserve"> </w:t>
            </w:r>
            <w:r w:rsidRPr="00166954">
              <w:rPr>
                <w:rFonts w:ascii="GHEA Grapalat" w:hAnsi="GHEA Grapalat"/>
                <w:sz w:val="24"/>
                <w:szCs w:val="24"/>
                <w:lang w:val="hy-AM"/>
              </w:rPr>
              <w:t>Զեկույցում նշվում է, որ թեև ոլորտի կարագավորող մարմինն առավել լավ է պատկերացնում ոլորտի առանձնահատկութունները, այնուամենանիվ, կարգավորող մարմնի կողմից որոշումների կայացումը կարող է խնդրահարույց լինել շահերի բախման հաճախակի դեպքերի, ինչպես նաև շահագգրգիռ անձանց՝ ոլորտի մասնակից տնտեսվարող սուբյեկտների կողմից ղեկավարվելու կամ վերջիններիս էական ազդեցութանը ենթարկվելու պատճառներով (to be sub</w:t>
            </w:r>
            <w:r w:rsidR="009447F6" w:rsidRPr="009447F6">
              <w:rPr>
                <w:rFonts w:ascii="GHEA Grapalat" w:hAnsi="GHEA Grapalat"/>
                <w:sz w:val="24"/>
                <w:szCs w:val="24"/>
                <w:lang w:val="hy-AM"/>
              </w:rPr>
              <w:t>j</w:t>
            </w:r>
            <w:r w:rsidRPr="00166954">
              <w:rPr>
                <w:rFonts w:ascii="GHEA Grapalat" w:hAnsi="GHEA Grapalat"/>
                <w:sz w:val="24"/>
                <w:szCs w:val="24"/>
                <w:lang w:val="hy-AM"/>
              </w:rPr>
              <w:t>ect to capture/regulatory capture)</w:t>
            </w:r>
            <w:r w:rsidR="009447F6">
              <w:rPr>
                <w:rStyle w:val="FootnoteReference"/>
                <w:rFonts w:ascii="GHEA Grapalat" w:hAnsi="GHEA Grapalat"/>
                <w:sz w:val="24"/>
                <w:szCs w:val="24"/>
                <w:lang w:val="hy-AM"/>
              </w:rPr>
              <w:footnoteReference w:id="23"/>
            </w:r>
            <w:r w:rsidRPr="00166954">
              <w:rPr>
                <w:rFonts w:ascii="GHEA Grapalat" w:hAnsi="GHEA Grapalat"/>
                <w:sz w:val="24"/>
                <w:szCs w:val="24"/>
                <w:lang w:val="hy-AM"/>
              </w:rPr>
              <w:t>: Այդ կապակցությամբ Զեկույցում ընդգծվում է անհրաժեշտությունը ձևավորելու կարգավորող մարմնի և մրցակցության մարմնի միջև համագործակցության արդյունավետ ձևաչափ, որի շրջանակներում կարգավորող մարմինն իր մասնագիտական աջակցությունը կցուցաբերի մրցակցային մարմնին:</w:t>
            </w:r>
          </w:p>
          <w:p w14:paraId="10900A69" w14:textId="2B47499C" w:rsidR="00166954" w:rsidRDefault="00166954" w:rsidP="00166954">
            <w:pPr>
              <w:spacing w:after="0"/>
              <w:jc w:val="center"/>
              <w:rPr>
                <w:rFonts w:ascii="GHEA Grapalat" w:hAnsi="GHEA Grapalat"/>
                <w:sz w:val="24"/>
                <w:szCs w:val="24"/>
                <w:lang w:val="hy-AM"/>
              </w:rPr>
            </w:pPr>
            <w:r w:rsidRPr="00166954">
              <w:rPr>
                <w:rFonts w:ascii="GHEA Grapalat" w:hAnsi="GHEA Grapalat"/>
                <w:sz w:val="24"/>
                <w:szCs w:val="24"/>
                <w:lang w:val="hy-AM"/>
              </w:rPr>
              <w:t>Զեկույցում նշվում է նաև, որ կարգավորող մարմինը, իր կարգավորման գործընացներում ապահովելով ազատ և բարեխիղճ մրցակցությունը, իրականացնում է մրցակցության ex ante պաշտպանություն, մինչդեռ մրցակցության մարմինն իրականացնում է ex post վերահսկողություն՝ միաժամանակ շտկելով կարգավորման արդյունքում առաջացած մրցակցության սահմանափակումները: Հետևաբար, կարգավորվող ոլորտներում մրցակցութան պաշտպանություննն արդյունավետորեն կապահովվի միայն մրցակցութան մարմնի և կարգավորող մարմնի արդյունավետ համագործակցության միջոցով: Զեկույցում նաև ընդգծվում է և մրցակցության մարմնի և և կարգավորող մարմնի անկախության երաշխիքների անհրաժեշտութան մասին</w:t>
            </w:r>
            <w:r w:rsidR="00E16F34">
              <w:rPr>
                <w:rStyle w:val="FootnoteReference"/>
                <w:rFonts w:ascii="GHEA Grapalat" w:hAnsi="GHEA Grapalat"/>
                <w:sz w:val="24"/>
                <w:szCs w:val="24"/>
                <w:lang w:val="hy-AM"/>
              </w:rPr>
              <w:footnoteReference w:id="24"/>
            </w:r>
            <w:r w:rsidRPr="00166954">
              <w:rPr>
                <w:rFonts w:ascii="GHEA Grapalat" w:hAnsi="GHEA Grapalat"/>
                <w:sz w:val="24"/>
                <w:szCs w:val="24"/>
                <w:lang w:val="hy-AM"/>
              </w:rPr>
              <w:t>:</w:t>
            </w:r>
          </w:p>
          <w:p w14:paraId="0F22E333" w14:textId="52BE1DA8" w:rsidR="00166954" w:rsidRPr="00166954" w:rsidRDefault="00166954" w:rsidP="008E64AF">
            <w:pPr>
              <w:spacing w:after="0"/>
              <w:jc w:val="center"/>
              <w:rPr>
                <w:rFonts w:ascii="GHEA Grapalat" w:hAnsi="GHEA Grapalat"/>
                <w:sz w:val="24"/>
                <w:szCs w:val="24"/>
                <w:lang w:val="hy-AM"/>
              </w:rPr>
            </w:pPr>
            <w:r w:rsidRPr="00166954">
              <w:rPr>
                <w:rFonts w:ascii="GHEA Grapalat" w:hAnsi="GHEA Grapalat"/>
                <w:sz w:val="24"/>
                <w:szCs w:val="24"/>
                <w:lang w:val="hy-AM"/>
              </w:rPr>
              <w:t>ՄԱԿ-ի առևտրի և զարգացման հարցերով համաժողովը բազմիցս անդրադարձել է  մրցակցային քաղաքականության իրականացման և կատարելագործման անհրաժեշտությանը տնտեսության բոլոր, ներառյալ` ֆինանսական ոլորտներում:  Մասնավորապես, առանձնացվել են զարգացող պետությունների ֆինանսական շուկաներում մրցակցային քաղաքականության արդյունավետ իրականացման անհրաժեշտությունը ամբողջ ծավալով, քանի որ տնտեսական մրցակցությունը կարող է սահամանափակվել և խաթարվել ոչ միայն ֆինանսական շուկաների մասնակից կազմակերպությունների կողմից, այլև ֆինանսական ոլորտը կարգավորող նորմատիվ ակտերում առկա որոշ դրույթների և լիցենզավորման գործընթացների հետևանքով</w:t>
            </w:r>
            <w:r w:rsidR="00632584">
              <w:rPr>
                <w:rStyle w:val="FootnoteReference"/>
                <w:rFonts w:ascii="GHEA Grapalat" w:hAnsi="GHEA Grapalat"/>
                <w:sz w:val="24"/>
                <w:szCs w:val="24"/>
                <w:lang w:val="hy-AM"/>
              </w:rPr>
              <w:footnoteReference w:id="25"/>
            </w:r>
            <w:r w:rsidRPr="00166954">
              <w:rPr>
                <w:rFonts w:ascii="GHEA Grapalat" w:hAnsi="GHEA Grapalat"/>
                <w:sz w:val="24"/>
                <w:szCs w:val="24"/>
                <w:lang w:val="hy-AM"/>
              </w:rPr>
              <w:t>:</w:t>
            </w:r>
          </w:p>
        </w:tc>
      </w:tr>
      <w:tr w:rsidR="0030753D" w:rsidRPr="005D6096" w14:paraId="0F647E12" w14:textId="77777777" w:rsidTr="009447F6">
        <w:tc>
          <w:tcPr>
            <w:tcW w:w="749" w:type="dxa"/>
          </w:tcPr>
          <w:p w14:paraId="77DB06C4"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1D0370B1" w14:textId="412BDC98" w:rsidR="0030753D" w:rsidRPr="0030753D" w:rsidRDefault="00156F69" w:rsidP="009447F6">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Ստուգումների անցկացման մասին օրենքում  առաջարկվում է  սահմանել, որ Հանձնաժողովի ստուգումներ իրականացնող անձինք իրավունք ունեն «ժբ) ստուգման ժամանակահատվածում և ստուգման համար անհրաժեշտ ծավալով կապարակնքել տնտեսվարող սուբյեկտի տրամադրության տակ գտնվող ցանկացած շենք և (կամ) փաստաթղթեր»: Առաջարկում ենք լրացուցիչ հիմնավորել այս իրավասությունը Հանձնաժողովին վերապահելու անհրաժեշտությունը, ինչպես նաև հիմնավորել թե ինչպե՞ս է այն նպաստելու տնտեսական մրցակցության պաշտպանության վիճակի բարելավմանը,  ներկայացնել ՏՀԶԿ երկրների փորձը, փորձագիտական կառույցների եզրակացությունները (առկայության դեպքում) այս հարցի վերաբերյալ:</w:t>
            </w:r>
          </w:p>
        </w:tc>
        <w:tc>
          <w:tcPr>
            <w:tcW w:w="2268" w:type="dxa"/>
          </w:tcPr>
          <w:p w14:paraId="518DF84B" w14:textId="6457942F" w:rsidR="0030753D" w:rsidRPr="0030753D" w:rsidRDefault="00351AF5"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6C345CD3" w14:textId="6B5C725C" w:rsidR="00484CA9" w:rsidRDefault="00484CA9" w:rsidP="00484CA9">
            <w:pPr>
              <w:spacing w:after="0"/>
              <w:jc w:val="center"/>
              <w:rPr>
                <w:rFonts w:ascii="GHEA Grapalat" w:hAnsi="GHEA Grapalat"/>
                <w:sz w:val="24"/>
                <w:szCs w:val="24"/>
                <w:lang w:val="hy-AM"/>
              </w:rPr>
            </w:pPr>
            <w:r w:rsidRPr="00484CA9">
              <w:rPr>
                <w:rFonts w:ascii="GHEA Grapalat" w:hAnsi="GHEA Grapalat"/>
                <w:sz w:val="24"/>
                <w:szCs w:val="24"/>
                <w:lang w:val="hy-AM"/>
              </w:rPr>
              <w:t xml:space="preserve"> Հանձնաժողովի՝ ապացույցներ ձեռք բերելու սահմանափակ իրավա</w:t>
            </w:r>
            <w:r w:rsidR="00C73307">
              <w:rPr>
                <w:rFonts w:ascii="GHEA Grapalat" w:hAnsi="GHEA Grapalat"/>
                <w:sz w:val="24"/>
                <w:szCs w:val="24"/>
                <w:lang w:val="hy-AM"/>
              </w:rPr>
              <w:t>ս</w:t>
            </w:r>
            <w:r w:rsidRPr="00484CA9">
              <w:rPr>
                <w:rFonts w:ascii="GHEA Grapalat" w:hAnsi="GHEA Grapalat"/>
                <w:sz w:val="24"/>
                <w:szCs w:val="24"/>
                <w:lang w:val="hy-AM"/>
              </w:rPr>
              <w:t>ությունների խնդիրը մշտապես բարձրացվել է միջազգային կազմակերպությունների կողմից</w:t>
            </w:r>
            <w:r w:rsidR="0091242B" w:rsidRPr="0091242B">
              <w:rPr>
                <w:rFonts w:ascii="GHEA Grapalat" w:hAnsi="GHEA Grapalat"/>
                <w:sz w:val="24"/>
                <w:szCs w:val="24"/>
                <w:lang w:val="hy-AM"/>
              </w:rPr>
              <w:t>:</w:t>
            </w:r>
            <w:r w:rsidRPr="00484CA9">
              <w:rPr>
                <w:rFonts w:ascii="GHEA Grapalat" w:hAnsi="GHEA Grapalat"/>
                <w:sz w:val="24"/>
                <w:szCs w:val="24"/>
                <w:lang w:val="hy-AM"/>
              </w:rPr>
              <w:t xml:space="preserve"> ՀՀ-ում տնտեսական մրցակցության պաշտպանության արդյունավետության բարձրացման նպատակով Հանձնաժողովին ստուգումների լայն, այդ թվում` օպերատիվ-հետախուզական իրավասությունների տրամադրման անհրաժեշտություն</w:t>
            </w:r>
            <w:r w:rsidR="0091242B">
              <w:rPr>
                <w:rFonts w:ascii="GHEA Grapalat" w:hAnsi="GHEA Grapalat"/>
                <w:sz w:val="24"/>
                <w:szCs w:val="24"/>
                <w:lang w:val="hy-AM"/>
              </w:rPr>
              <w:t>ը</w:t>
            </w:r>
            <w:r w:rsidRPr="00484CA9">
              <w:rPr>
                <w:rFonts w:ascii="GHEA Grapalat" w:hAnsi="GHEA Grapalat"/>
                <w:sz w:val="24"/>
                <w:szCs w:val="24"/>
                <w:lang w:val="hy-AM"/>
              </w:rPr>
              <w:t xml:space="preserve"> բազմիցս շեշտվել է ԵՄ և Համաշխարհային բանկի փորձագետների կողմից, ամրագրվել է ՄԱԿ-ի առևտրի և զարգացման համաժողովի Հայաստանի վերաբերյալ «Ներդրումային քաղաքականության ուսումնասիրություն»  խորագրով 2019 թվականի զեկույցում (UNCTAD Ivestment policy review of Armenia, 2019) </w:t>
            </w:r>
            <w:r>
              <w:rPr>
                <w:rStyle w:val="FootnoteReference"/>
                <w:rFonts w:ascii="GHEA Grapalat" w:hAnsi="GHEA Grapalat"/>
                <w:sz w:val="24"/>
                <w:szCs w:val="24"/>
                <w:lang w:val="hy-AM"/>
              </w:rPr>
              <w:footnoteReference w:id="26"/>
            </w:r>
            <w:r w:rsidRPr="00484CA9">
              <w:rPr>
                <w:rFonts w:ascii="GHEA Grapalat" w:hAnsi="GHEA Grapalat"/>
                <w:sz w:val="24"/>
                <w:szCs w:val="24"/>
                <w:lang w:val="hy-AM"/>
              </w:rPr>
              <w:t>, Համաշխարհային բանկի խմբի կողմից 2018 թվականին կազմված «Հայաստանի համար մրցակցության բարեփոխումների գնահատում» ԽԾՎ վերտառությամբ հուշագիր-զեկույցում:</w:t>
            </w:r>
          </w:p>
          <w:p w14:paraId="6219B5E8" w14:textId="05E45682" w:rsidR="00484CA9" w:rsidRPr="0030753D" w:rsidRDefault="00484CA9" w:rsidP="00BA6878">
            <w:pPr>
              <w:spacing w:after="0"/>
              <w:jc w:val="center"/>
              <w:rPr>
                <w:rFonts w:ascii="GHEA Grapalat" w:hAnsi="GHEA Grapalat"/>
                <w:sz w:val="24"/>
                <w:szCs w:val="24"/>
                <w:lang w:val="hy-AM"/>
              </w:rPr>
            </w:pPr>
            <w:r>
              <w:rPr>
                <w:rFonts w:ascii="GHEA Grapalat" w:hAnsi="GHEA Grapalat"/>
                <w:sz w:val="24"/>
                <w:szCs w:val="24"/>
                <w:lang w:val="hy-AM"/>
              </w:rPr>
              <w:t xml:space="preserve">Ավելին՝ </w:t>
            </w:r>
            <w:r w:rsidRPr="00484CA9">
              <w:rPr>
                <w:rFonts w:ascii="GHEA Grapalat" w:hAnsi="GHEA Grapalat"/>
                <w:sz w:val="24"/>
                <w:szCs w:val="24"/>
                <w:lang w:val="hy-AM"/>
              </w:rPr>
              <w:t>ՀՀ կառավարության 2019 թվականի</w:t>
            </w:r>
            <w:r>
              <w:rPr>
                <w:rFonts w:ascii="GHEA Grapalat" w:hAnsi="GHEA Grapalat"/>
                <w:sz w:val="24"/>
                <w:szCs w:val="24"/>
                <w:lang w:val="hy-AM"/>
              </w:rPr>
              <w:t xml:space="preserve"> </w:t>
            </w:r>
            <w:r w:rsidRPr="00484CA9">
              <w:rPr>
                <w:rFonts w:ascii="GHEA Grapalat" w:hAnsi="GHEA Grapalat"/>
                <w:sz w:val="24"/>
                <w:szCs w:val="24"/>
                <w:lang w:val="hy-AM"/>
              </w:rPr>
              <w:t>հոկտեմբերի 3-ի</w:t>
            </w:r>
            <w:r>
              <w:rPr>
                <w:rFonts w:ascii="GHEA Grapalat" w:hAnsi="GHEA Grapalat"/>
                <w:sz w:val="24"/>
                <w:szCs w:val="24"/>
                <w:lang w:val="hy-AM"/>
              </w:rPr>
              <w:t xml:space="preserve"> «</w:t>
            </w:r>
            <w:r w:rsidRPr="00484CA9">
              <w:rPr>
                <w:rFonts w:ascii="GHEA Grapalat" w:hAnsi="GHEA Grapalat"/>
                <w:sz w:val="24"/>
                <w:szCs w:val="24"/>
                <w:lang w:val="hy-AM"/>
              </w:rPr>
              <w:t xml:space="preserve">Հայաստանի Հանրապետության հակակոռուպցիոն ռազմավարությունը </w:t>
            </w:r>
            <w:r>
              <w:rPr>
                <w:rFonts w:ascii="GHEA Grapalat" w:hAnsi="GHEA Grapalat"/>
                <w:sz w:val="24"/>
                <w:szCs w:val="24"/>
                <w:lang w:val="hy-AM"/>
              </w:rPr>
              <w:t>և</w:t>
            </w:r>
            <w:r w:rsidRPr="00484CA9">
              <w:rPr>
                <w:rFonts w:ascii="GHEA Grapalat" w:hAnsi="GHEA Grapalat"/>
                <w:sz w:val="24"/>
                <w:szCs w:val="24"/>
                <w:lang w:val="hy-AM"/>
              </w:rPr>
              <w:t xml:space="preserve"> դրա իրականացման 2019-2022 թվականների միջոցառումների ծրագիրը հաստատելու մասին</w:t>
            </w:r>
            <w:r>
              <w:rPr>
                <w:rFonts w:ascii="GHEA Grapalat" w:hAnsi="GHEA Grapalat"/>
                <w:sz w:val="24"/>
                <w:szCs w:val="24"/>
                <w:lang w:val="hy-AM"/>
              </w:rPr>
              <w:t>»</w:t>
            </w:r>
            <w:r w:rsidRPr="00484CA9">
              <w:rPr>
                <w:rFonts w:ascii="GHEA Grapalat" w:hAnsi="GHEA Grapalat"/>
                <w:sz w:val="24"/>
                <w:szCs w:val="24"/>
                <w:lang w:val="hy-AM"/>
              </w:rPr>
              <w:t xml:space="preserve"> </w:t>
            </w:r>
            <w:r>
              <w:rPr>
                <w:rFonts w:ascii="GHEA Grapalat" w:hAnsi="GHEA Grapalat"/>
                <w:sz w:val="24"/>
                <w:szCs w:val="24"/>
                <w:lang w:val="hy-AM"/>
              </w:rPr>
              <w:t>թիվ 1332-</w:t>
            </w:r>
            <w:r w:rsidRPr="00484CA9">
              <w:rPr>
                <w:rFonts w:ascii="GHEA Grapalat" w:hAnsi="GHEA Grapalat"/>
                <w:sz w:val="24"/>
                <w:szCs w:val="24"/>
                <w:lang w:val="hy-AM"/>
              </w:rPr>
              <w:t xml:space="preserve">Ն  որոշման </w:t>
            </w:r>
            <w:r>
              <w:rPr>
                <w:rFonts w:ascii="GHEA Grapalat" w:hAnsi="GHEA Grapalat"/>
                <w:sz w:val="24"/>
                <w:szCs w:val="24"/>
                <w:lang w:val="hy-AM"/>
              </w:rPr>
              <w:t>հավելվածի 2-ի 25-րդ կետով, որպես տ</w:t>
            </w:r>
            <w:r w:rsidRPr="00484CA9">
              <w:rPr>
                <w:rFonts w:ascii="GHEA Grapalat" w:hAnsi="GHEA Grapalat"/>
                <w:sz w:val="24"/>
                <w:szCs w:val="24"/>
                <w:lang w:val="hy-AM"/>
              </w:rPr>
              <w:t>նտեսական մրցակցության պաշտպանության ոլորտի վերաբերյալ օրենսդրության կատարելագործմ</w:t>
            </w:r>
            <w:r>
              <w:rPr>
                <w:rFonts w:ascii="GHEA Grapalat" w:hAnsi="GHEA Grapalat"/>
                <w:sz w:val="24"/>
                <w:szCs w:val="24"/>
                <w:lang w:val="hy-AM"/>
              </w:rPr>
              <w:t>ան 2020 թվականի համար ակնկալվող արդյունք նախատեսվել է մ</w:t>
            </w:r>
            <w:r w:rsidRPr="00484CA9">
              <w:rPr>
                <w:rFonts w:ascii="GHEA Grapalat" w:hAnsi="GHEA Grapalat"/>
                <w:sz w:val="24"/>
                <w:szCs w:val="24"/>
                <w:lang w:val="hy-AM"/>
              </w:rPr>
              <w:t xml:space="preserve">շակել </w:t>
            </w:r>
            <w:r>
              <w:rPr>
                <w:rFonts w:ascii="GHEA Grapalat" w:hAnsi="GHEA Grapalat"/>
                <w:sz w:val="24"/>
                <w:szCs w:val="24"/>
                <w:lang w:val="hy-AM"/>
              </w:rPr>
              <w:t>տ</w:t>
            </w:r>
            <w:r w:rsidRPr="00484CA9">
              <w:rPr>
                <w:rFonts w:ascii="GHEA Grapalat" w:hAnsi="GHEA Grapalat"/>
                <w:sz w:val="24"/>
                <w:szCs w:val="24"/>
                <w:lang w:val="hy-AM"/>
              </w:rPr>
              <w:t>նտեսական մրցակցության պաշտպանության ոլորտի օրենսդրություն</w:t>
            </w:r>
            <w:r w:rsidR="00BA6878">
              <w:rPr>
                <w:rFonts w:ascii="GHEA Grapalat" w:hAnsi="GHEA Grapalat"/>
                <w:sz w:val="24"/>
                <w:szCs w:val="24"/>
                <w:lang w:val="hy-AM"/>
              </w:rPr>
              <w:t>ում</w:t>
            </w:r>
            <w:r w:rsidRPr="00484CA9">
              <w:rPr>
                <w:rFonts w:ascii="GHEA Grapalat" w:hAnsi="GHEA Grapalat"/>
                <w:sz w:val="24"/>
                <w:szCs w:val="24"/>
                <w:lang w:val="hy-AM"/>
              </w:rPr>
              <w:t xml:space="preserve"> առկա խնդիրների կարգավորմանն ուղղված առաջարկությունների փաթեթ, այդ թվում՝ Հանձնաժողովի կողմից ստուգումների իրականացման մեխանիզմների կատարելագործման, հակամրցակցային համաձայնությունների կանխարգելման  գործընթացում Հանձնաժողովին  օպերատիվ տվյալների հասանելիության տրամադրման </w:t>
            </w:r>
            <w:r w:rsidR="00BA6878">
              <w:rPr>
                <w:rFonts w:ascii="GHEA Grapalat" w:hAnsi="GHEA Grapalat"/>
                <w:sz w:val="24"/>
                <w:szCs w:val="24"/>
                <w:lang w:val="hy-AM"/>
              </w:rPr>
              <w:t>հարցի լուծմամբ</w:t>
            </w:r>
            <w:r w:rsidRPr="00484CA9">
              <w:rPr>
                <w:rFonts w:ascii="GHEA Grapalat" w:hAnsi="GHEA Grapalat"/>
                <w:sz w:val="24"/>
                <w:szCs w:val="24"/>
                <w:lang w:val="hy-AM"/>
              </w:rPr>
              <w:t>:</w:t>
            </w:r>
          </w:p>
        </w:tc>
      </w:tr>
      <w:tr w:rsidR="0030753D" w:rsidRPr="005D6096" w14:paraId="6B364E46" w14:textId="77777777" w:rsidTr="009447F6">
        <w:tc>
          <w:tcPr>
            <w:tcW w:w="749" w:type="dxa"/>
          </w:tcPr>
          <w:p w14:paraId="1D452486"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3A1DB2F3" w14:textId="15818477" w:rsidR="0030753D" w:rsidRPr="0030753D" w:rsidRDefault="00156F69" w:rsidP="009447F6">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Նախագծի 50-րդ Հոդվածի 3-րդ կետում նշվում է, որ «Հանձնաժողովը ստուգում իրականացնելիս իրավունք ունի ստանալ այլ պետական մարմինների աջակցությունը, ստուգմանը ներգրավել այդ մարմինների աշխատողներին..»: Առաջարկում ենք հիմնավորել «ստուգմանը ներգրավել այդ մարմինների աշխատողներին» եզրույթի նպատակահարմարությունը՝ նեղացնելով տվյալ լայն լիազորությունների շրջանակը, ինչպես նաև ներկայացնելով իրավական հիմքեր տվյալ աշխատողների ներգրավվածության համար կամ ընդհանրապես հանել այդ դրույթը:</w:t>
            </w:r>
          </w:p>
        </w:tc>
        <w:tc>
          <w:tcPr>
            <w:tcW w:w="2268" w:type="dxa"/>
          </w:tcPr>
          <w:p w14:paraId="2066E368" w14:textId="165255FC" w:rsidR="0030753D" w:rsidRPr="0030753D" w:rsidRDefault="00351AF5"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262EC488" w14:textId="6FBE3AE3" w:rsidR="0030753D" w:rsidRPr="0030753D" w:rsidRDefault="000B25CE" w:rsidP="00B7087B">
            <w:pPr>
              <w:spacing w:after="0"/>
              <w:jc w:val="center"/>
              <w:rPr>
                <w:rFonts w:ascii="GHEA Grapalat" w:hAnsi="GHEA Grapalat"/>
                <w:sz w:val="24"/>
                <w:szCs w:val="24"/>
                <w:lang w:val="hy-AM"/>
              </w:rPr>
            </w:pPr>
            <w:r>
              <w:rPr>
                <w:rFonts w:ascii="GHEA Grapalat" w:hAnsi="GHEA Grapalat" w:cs="Sylfaen"/>
                <w:sz w:val="24"/>
                <w:szCs w:val="24"/>
                <w:lang w:val="hy-AM"/>
              </w:rPr>
              <w:t>Ա</w:t>
            </w:r>
            <w:r w:rsidRPr="00156F69">
              <w:rPr>
                <w:rFonts w:ascii="GHEA Grapalat" w:hAnsi="GHEA Grapalat" w:cs="Sylfaen"/>
                <w:sz w:val="24"/>
                <w:szCs w:val="24"/>
                <w:lang w:val="hy-AM"/>
              </w:rPr>
              <w:t>յլ պետական մարմինների</w:t>
            </w:r>
            <w:r w:rsidR="001B7609">
              <w:rPr>
                <w:rFonts w:ascii="GHEA Grapalat" w:hAnsi="GHEA Grapalat" w:cs="Sylfaen"/>
                <w:sz w:val="24"/>
                <w:szCs w:val="24"/>
                <w:lang w:val="hy-AM"/>
              </w:rPr>
              <w:t xml:space="preserve"> աշխատակիցներին </w:t>
            </w:r>
            <w:r w:rsidR="00B7087B">
              <w:rPr>
                <w:rFonts w:ascii="GHEA Grapalat" w:hAnsi="GHEA Grapalat" w:cs="Sylfaen"/>
                <w:sz w:val="24"/>
                <w:szCs w:val="24"/>
                <w:lang w:val="hy-AM"/>
              </w:rPr>
              <w:t>ս</w:t>
            </w:r>
            <w:r w:rsidR="001B7609">
              <w:rPr>
                <w:rFonts w:ascii="GHEA Grapalat" w:hAnsi="GHEA Grapalat" w:cs="Sylfaen"/>
                <w:sz w:val="24"/>
                <w:szCs w:val="24"/>
                <w:lang w:val="hy-AM"/>
              </w:rPr>
              <w:t xml:space="preserve">տուգմանը ներգրավելը վարչական մարմինների փոխօգնության դրսևորում է, որն անհրաժեշտ է </w:t>
            </w:r>
            <w:r w:rsidR="00B7087B">
              <w:rPr>
                <w:rFonts w:ascii="GHEA Grapalat" w:hAnsi="GHEA Grapalat" w:cs="Sylfaen"/>
                <w:sz w:val="24"/>
                <w:szCs w:val="24"/>
                <w:lang w:val="hy-AM"/>
              </w:rPr>
              <w:t>ռեսուրսների խնայողության համար, մասնավորապես՝ հնարավորության դեպքում ստուգումների լիարժեք իրականացման համար անհրաժեշտ փորձագետներ, մասնագետներ չներգրավելու և գույք ձեռք չբերելու համար։</w:t>
            </w:r>
          </w:p>
        </w:tc>
      </w:tr>
      <w:tr w:rsidR="0030753D" w:rsidRPr="005D6096" w14:paraId="59F3AD0F" w14:textId="77777777" w:rsidTr="009447F6">
        <w:tc>
          <w:tcPr>
            <w:tcW w:w="749" w:type="dxa"/>
          </w:tcPr>
          <w:p w14:paraId="1D65CE77" w14:textId="77777777" w:rsidR="0030753D" w:rsidRPr="0030753D" w:rsidRDefault="0030753D" w:rsidP="009447F6">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4A753D0F" w14:textId="0C7BCB5A" w:rsidR="0030753D" w:rsidRPr="0030753D" w:rsidRDefault="00156F69" w:rsidP="009447F6">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Օրենսդրական փաթեթով առաջարկվում է փոփոխություն կատարել նաև ՀՀ քրեական օրենսգրքի 195-րդ հոդվածում: Եթե ՀՀ ՔՕ 195-րդ հոդվածի ներկա կարգավորումը քրեական պատասխանատվություն է նախատեսում «ապօրինի մենաշնորհային գներն արհեստական բարձրացնելուն կամ իջեցնելուն կամ պահպանելուն, ինչպես նաև մրցակցությունը սահմանափակելուն նախնական համաձայնությամբ կամ համաձայնեցված գործողությունների միջոցով, որն ուղղված է շուկան տարածքային սկզբունքով բաժանելուն, այլ տնտեսավարող սուբյեկտների շուկա մուտք գործելուն խոչընդոտելուն, տնտեսավարող այլ սուբյեկտներին շուկայից դուրս մղելուն, խտրական գներ սահմանելուն կամ պահպանելուն» նպատակաուղղված հանցավոր արարքների համար, ապա Քրեական օրենսգրքի նախագծով առաջարկվում է քրեական պատասխանատվություն նախատեսել «Մենաշնորհ կամ գերիշխող դիրքի չարաշահումը կամ հակամրցակցային համաձայնությունը կամ տնտեսական գործունեության համակարգումը, որի արդյունքում քաղաքացիներին, կազմակերպություններին կամ պետությանը պատճառվել է խոշոր վնաս կամ ապրանքային շուկայի մասնակիցը ստացել է խոշոր չափով շահույթ» արարքի համար: Կարծում ենք տնտեսական ոլորտում որևէ քրեական պատասխանատվության միջոցի փոփոխության (մեղմացում կամ խստացում) համար պետք է լինեն բավարար հիմքեր, այդ թվում՝ դատական և քննչական պրակտիկայի փաստարկված և առարկայական վերլուծություն՝ զուգորդված վերջին տարիների վիճակագրությամբ, միջազգային լավագույն փորձի մասին տեղեկանք, ինչը համոզիչ կդարձնի առաջարկվող փոփոխության անհրաժեշտությունը: Մինչդեռ, այս հարցի վերաբերյալ օրենսդրական փաթեթին կից հիմնավորումը՝ 4 տող է: Առաջարկում ենք ներկայացնել առարկայական հիմնավորումներ, վիճակագրություն, միջազգային փորձ իրավախախտումը քրեականացնելու նպատակահարմարության վերաբերյալ:</w:t>
            </w:r>
          </w:p>
        </w:tc>
        <w:tc>
          <w:tcPr>
            <w:tcW w:w="2268" w:type="dxa"/>
          </w:tcPr>
          <w:p w14:paraId="0EB43328" w14:textId="39D19BFB" w:rsidR="0030753D" w:rsidRPr="0030753D" w:rsidRDefault="00351AF5" w:rsidP="009447F6">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3E83CFB0" w14:textId="10AB4D8C" w:rsidR="00166954" w:rsidRDefault="001B7609" w:rsidP="001B7609">
            <w:pPr>
              <w:spacing w:after="0"/>
              <w:jc w:val="center"/>
              <w:rPr>
                <w:rFonts w:ascii="GHEA Grapalat" w:hAnsi="GHEA Grapalat"/>
                <w:sz w:val="24"/>
                <w:szCs w:val="24"/>
                <w:lang w:val="hy-AM"/>
              </w:rPr>
            </w:pPr>
            <w:r>
              <w:rPr>
                <w:rFonts w:ascii="GHEA Grapalat" w:hAnsi="GHEA Grapalat"/>
                <w:sz w:val="24"/>
                <w:szCs w:val="24"/>
                <w:lang w:val="hy-AM"/>
              </w:rPr>
              <w:t xml:space="preserve">Տնտեսական մրցակցության ոլորտի օրենսդրության այն խախտումները, որոնց համար </w:t>
            </w:r>
            <w:r w:rsidR="00166954">
              <w:rPr>
                <w:rFonts w:ascii="GHEA Grapalat" w:hAnsi="GHEA Grapalat"/>
                <w:sz w:val="24"/>
                <w:szCs w:val="24"/>
                <w:lang w:val="hy-AM"/>
              </w:rPr>
              <w:t xml:space="preserve">Նախագծով </w:t>
            </w:r>
            <w:r>
              <w:rPr>
                <w:rFonts w:ascii="GHEA Grapalat" w:hAnsi="GHEA Grapalat"/>
                <w:sz w:val="24"/>
                <w:szCs w:val="24"/>
                <w:lang w:val="hy-AM"/>
              </w:rPr>
              <w:t>առաջարկվում է սահմանել քրեական պատասխանատվություն, ամբողջությամբ համըկնում է Կառավարության կողմից հավանություն ստացած</w:t>
            </w:r>
            <w:r w:rsidR="00CA24C9">
              <w:rPr>
                <w:rFonts w:ascii="GHEA Grapalat" w:hAnsi="GHEA Grapalat"/>
                <w:sz w:val="24"/>
                <w:szCs w:val="24"/>
                <w:lang w:val="hy-AM"/>
              </w:rPr>
              <w:t xml:space="preserve"> և Ազգային ժողովում արդեն իսկ առաջին ընթերցմամբ ընդունված</w:t>
            </w:r>
            <w:r>
              <w:rPr>
                <w:rFonts w:ascii="GHEA Grapalat" w:hAnsi="GHEA Grapalat"/>
                <w:sz w:val="24"/>
                <w:szCs w:val="24"/>
                <w:lang w:val="hy-AM"/>
              </w:rPr>
              <w:t xml:space="preserve"> </w:t>
            </w:r>
            <w:r w:rsidR="00166954">
              <w:rPr>
                <w:rFonts w:ascii="GHEA Grapalat" w:hAnsi="GHEA Grapalat"/>
                <w:sz w:val="24"/>
                <w:szCs w:val="24"/>
                <w:lang w:val="hy-AM"/>
              </w:rPr>
              <w:t xml:space="preserve">Քրեական օրենսգրքի </w:t>
            </w:r>
            <w:r>
              <w:rPr>
                <w:rFonts w:ascii="GHEA Grapalat" w:hAnsi="GHEA Grapalat"/>
                <w:sz w:val="24"/>
                <w:szCs w:val="24"/>
                <w:lang w:val="hy-AM"/>
              </w:rPr>
              <w:t xml:space="preserve">նախագծի </w:t>
            </w:r>
            <w:r w:rsidR="00166954">
              <w:rPr>
                <w:rFonts w:ascii="GHEA Grapalat" w:hAnsi="GHEA Grapalat"/>
                <w:sz w:val="24"/>
                <w:szCs w:val="24"/>
                <w:lang w:val="hy-AM"/>
              </w:rPr>
              <w:t xml:space="preserve"> </w:t>
            </w:r>
            <w:r>
              <w:rPr>
                <w:rFonts w:ascii="GHEA Grapalat" w:hAnsi="GHEA Grapalat"/>
                <w:sz w:val="24"/>
                <w:szCs w:val="24"/>
                <w:lang w:val="hy-AM"/>
              </w:rPr>
              <w:t>դրույթներին</w:t>
            </w:r>
            <w:r w:rsidR="00166954">
              <w:rPr>
                <w:rFonts w:ascii="GHEA Grapalat" w:hAnsi="GHEA Grapalat"/>
                <w:sz w:val="24"/>
                <w:szCs w:val="24"/>
                <w:lang w:val="hy-AM"/>
              </w:rPr>
              <w:t>։</w:t>
            </w:r>
          </w:p>
          <w:p w14:paraId="41C49B1B" w14:textId="107A4953" w:rsidR="00F82CCA" w:rsidRPr="00F82CCA" w:rsidRDefault="00F82CCA" w:rsidP="00F82CCA">
            <w:pPr>
              <w:spacing w:after="0"/>
              <w:jc w:val="center"/>
              <w:rPr>
                <w:rFonts w:ascii="GHEA Grapalat" w:hAnsi="GHEA Grapalat"/>
                <w:sz w:val="24"/>
                <w:szCs w:val="24"/>
                <w:lang w:val="hy-AM"/>
              </w:rPr>
            </w:pPr>
            <w:r>
              <w:rPr>
                <w:rFonts w:ascii="GHEA Grapalat" w:hAnsi="GHEA Grapalat"/>
                <w:sz w:val="24"/>
                <w:szCs w:val="24"/>
                <w:lang w:val="hy-AM"/>
              </w:rPr>
              <w:t>Բացի այդ, քննարկվող հանցակազմի գործող</w:t>
            </w:r>
            <w:r w:rsidRPr="00F82CCA">
              <w:rPr>
                <w:rFonts w:ascii="GHEA Grapalat" w:hAnsi="GHEA Grapalat"/>
                <w:sz w:val="24"/>
                <w:szCs w:val="24"/>
                <w:lang w:val="hy-AM"/>
              </w:rPr>
              <w:t xml:space="preserve"> ձևակերպումը ոչ միայն չի համապատասխանում տնտեսական մրցակցության ամենավտանգավոր երկու խախտումների՝ գերիշխող դիրքի չարաշահման և հակամրցակցային համաձայնությունների բովանդակությանը, այլև պարունակում է ներքին հակասություններ և թերությունները:</w:t>
            </w:r>
          </w:p>
          <w:p w14:paraId="2E7F25F7" w14:textId="42A112A1" w:rsidR="00F82CCA" w:rsidRP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 xml:space="preserve">Սահմանադրության </w:t>
            </w:r>
            <w:r>
              <w:rPr>
                <w:rFonts w:ascii="GHEA Grapalat" w:hAnsi="GHEA Grapalat"/>
                <w:sz w:val="24"/>
                <w:szCs w:val="24"/>
                <w:lang w:val="hy-AM"/>
              </w:rPr>
              <w:t>59-րդ</w:t>
            </w:r>
            <w:r w:rsidRPr="00F82CCA">
              <w:rPr>
                <w:rFonts w:ascii="GHEA Grapalat" w:hAnsi="GHEA Grapalat"/>
                <w:sz w:val="24"/>
                <w:szCs w:val="24"/>
                <w:lang w:val="hy-AM"/>
              </w:rPr>
              <w:t xml:space="preserve"> հոդվածի 3-րդ մասով ամրագրվեց, որ շուկայում մենաշնորհ կամ գերիշխող դիրքի չարաշահումը, անբարեխիղճ մրցակցությունը և հակամրցակցային համաձայնություններն արգելվում են:</w:t>
            </w:r>
          </w:p>
          <w:p w14:paraId="5571F350" w14:textId="77777777" w:rsid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 xml:space="preserve">Ստացվում է, որ Սահմանադրությամբ ամրագրված են հակամրցակցային գործունեության դրսևորումները, ու դրանց արգելքը, իսկ </w:t>
            </w:r>
            <w:r>
              <w:rPr>
                <w:rFonts w:ascii="GHEA Grapalat" w:hAnsi="GHEA Grapalat"/>
                <w:sz w:val="24"/>
                <w:szCs w:val="24"/>
                <w:lang w:val="hy-AM"/>
              </w:rPr>
              <w:t>Ք</w:t>
            </w:r>
            <w:r w:rsidRPr="00F82CCA">
              <w:rPr>
                <w:rFonts w:ascii="GHEA Grapalat" w:hAnsi="GHEA Grapalat"/>
                <w:sz w:val="24"/>
                <w:szCs w:val="24"/>
                <w:lang w:val="hy-AM"/>
              </w:rPr>
              <w:t xml:space="preserve">րեական օրենսգիրքն այս առումով չի համապատասխանեցվել Սահմանադրությանը, քանի որ գերիշխող դիրքի չարաշահման և հակամրցակցային համաձայնության բոլոր դրսևորումների համար չի նախատեսում քրեական պատասխանատվություն: Ինչ վերաբերում է անբարեխիղճ մրցակցության համար քրեական պատասխանատվություն սահմանելուն, ապա հարկ է նշել, որ անբարեխիղճ մրցակցությունը, լինելով ավելի նվազ վտանգավորությամբ իրավախախտում, տեղ չի գտնում հակամրցակցային գործունեություն դիտարկվող և քրեական պատասխանատվություն առաջացնող իրավախախտումների շարքում: Այնուամենայնիվ, անբարեխիղճ մրցակցության որոշ հանրության համար առավել վտանգավոր մի քանի դրսևորումներ տեղ են գտել </w:t>
            </w:r>
            <w:r>
              <w:rPr>
                <w:rFonts w:ascii="GHEA Grapalat" w:hAnsi="GHEA Grapalat"/>
                <w:sz w:val="24"/>
                <w:szCs w:val="24"/>
                <w:lang w:val="hy-AM"/>
              </w:rPr>
              <w:t>Ք</w:t>
            </w:r>
            <w:r w:rsidRPr="00F82CCA">
              <w:rPr>
                <w:rFonts w:ascii="GHEA Grapalat" w:hAnsi="GHEA Grapalat"/>
                <w:sz w:val="24"/>
                <w:szCs w:val="24"/>
                <w:lang w:val="hy-AM"/>
              </w:rPr>
              <w:t>րեական օրենսգրքում, ինչպիսիք են, օրինակ, ապրանքային նշանն ապօրինի օգտագործելը (հոդված 197), կեղծ գովազդը (հոդված 198), սպառողներին խաբելը (հոդված 212):</w:t>
            </w:r>
          </w:p>
          <w:p w14:paraId="238B06C2" w14:textId="77777777" w:rsidR="00F82CCA" w:rsidRP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քրեական օրենսգրքով ըստ էության որպես գերիշխող դիրքի չարաշահման դրսևորում է դիտարկվում «ապօրինի մենաշնորհային գներն արհեստական բարձրացնելը կամ իջեցնելը կամ պահպանելը»: ՀՀ օրենսդրությամբ որևէ կերպ չի բացահայտվում, թե որն է մենաշնորհային գինը, որ դեպքում է այն համարվում ապօրինի, որն է գնի արհեստական բարձրացումը, իջեցումը կամ պահպանումը, ինչով է այն տարբերվում բնականոն գնային փոփոխություններից:</w:t>
            </w:r>
          </w:p>
          <w:p w14:paraId="278EF767" w14:textId="77777777" w:rsidR="00F82CCA" w:rsidRP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Նման պայմաններում ստացվում է մի իրավիճակ, որ նույնիսկ չարաշահման կոնկրետ հանգամանքներ հայտնաբերվելու դեպքում հնարավոր չի լինի դրանց գնահատական տալ, քանի որ տվյալ բլանկետային նորմի հղումն ըստ էության հասցե չունի: Ըստ էության քրեական օրենսգրքի հեղինակները նշված ձևակերպմամբ ենթադրաբար նկատի են ունեցել այն դեպքը, երբ ապրանքային շուկայում մենաշնորհ կամ գերիշխող դիրք զբաղեցնող տնտեսվարող սուբյեկտը անհիմն (շուկայական իրավիճակի թելադրանքով չպայմանավորված) բարձրացնում, իջեցնում կամ պահպանում է ապրանքի (ծառայության, աշխատանքի) գինը: Սակայն նույնիսկ նշված կերպով ձևակերպված լինելու դեպքում ևս «մենաշնորհ կամ գերիշխող դիրքի չարաշահում» իրավախախտումն ամբողջությամբ իր արտացոլումը չէր ստանա օրենքում: Բանն այն է, որ գնային չարաշահումը հակամրցակցային գործողությունների ընդամենը մեկ դրվագն է: Բացի գնային չարաշահումները, մենաշնորհ կամ գերիշխող դիրքի չարաշահում հնարավոր է թույլ տալ բազմաթիվ այլ եղանակներով, այդ թվում՝ պարտադրել շուկայի մյուս մասնակիցներին, այլ անձանց կատարելու գերիշխող դիրք ունեցող սուբյեկտին ձեռնտու գործողություններ կամ ձեռնպահ մնալ որոշակի գործողություններից, դրսևորել խտրական վարքագիծ՝ շուկայի մասնակիցներին առաջարկելով իրարից կտրուկ տարբերվող պայմաններ, ստեղծել արհեստական պակասորդ, առաջարկել օրենսդրությանը հակասող պայմաններ և այլն:</w:t>
            </w:r>
          </w:p>
          <w:p w14:paraId="32B5E35D" w14:textId="77777777" w:rsidR="00F82CCA" w:rsidRP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ՀՀ քրեական օրենսգրքով ըստ էության որպես հակամրցակցային համաձայնության դրսևորում է դիտարկվում «մրցակցությունը սահմանափակելը նախնական համաձայնությամբ կամ համաձայնեցված գործողությունների միջոցով»: Նշված դեպքում, թեև ձևակերպումն ավելի ընդհանուր է, սակայն պարունակում է որոշ բացեր, որոնք կոնկրետ դեպքերում կարող են խոչընդոտ հանդիսանալ հայտնաբերված հակամրցակցային համաձայնություններին գնահատական տալու համար: Օրինակ, խոսքն այն դեպքի մասին է, երբ հակամրցակցային համաձայնությունը տեղի է ունենում անգործությամբ: Մասնավորապես, ապրանքային շուկայում փոքր տնտեսվարող սուբյեկտները շուկայական իրավիճակի թելադրանքով (օրինակ՝ փոխարժեքի տատանում) բարձրացնում են ապրանքի գները, իսկ խոշոր ընկերությունները, համաձայնեցված վարքագծով (առանց նախնական համաձայնության) ցուցաբերում են անգործություն՝ գները պահելով նույն ցածր մակարդակի վրա:</w:t>
            </w:r>
          </w:p>
          <w:p w14:paraId="06E0426D" w14:textId="77777777" w:rsidR="00F82CCA" w:rsidRP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ՀՀ քրեական օրենսգիրքը նախնական համաձայնությամբ կամ համաձայնեցված գործողությունների միջոցով մրցակցությունը սահմանափակելու դեպքում նախատեսել է հանցավոր արարքի սուբյեկտիվ կողմի հատկանիշ, որի առկայության դեպքում միայն խոսք կլինի հանցագործության մասին: Մասնավորապես, ամրագրված է, որ հակամրցակցային գործունեությունը պետք է ուղղված լինի «շուկան տարածքային սկզբունքով բաժանելուն, այլ տնտեսավարող սուբյեկտների շուկա մուտք գործելուն խոչընդոտելուն, տնտեսավարող այլ սուբյեկտներին շուկայից դուրս մղելուն, խտրական գներ սահմանելուն կամ պահպանելուն»:</w:t>
            </w:r>
          </w:p>
          <w:p w14:paraId="646108B1" w14:textId="77777777" w:rsidR="00F82CCA" w:rsidRP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Ստացվում է, որ նշված 4 պայմանները չլինելու դեպքում հակամրցակցային համաձայնությունը ենթակա չէ քրեական պատասխանատվության:</w:t>
            </w:r>
          </w:p>
          <w:p w14:paraId="799757DF" w14:textId="77777777" w:rsidR="00F82CCA" w:rsidRP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Նշվածի կապակցությամբ հարկ է նշել հետևյալը.</w:t>
            </w:r>
          </w:p>
          <w:p w14:paraId="3E130398" w14:textId="77777777" w:rsidR="00F82CCA" w:rsidRP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1.</w:t>
            </w:r>
            <w:r w:rsidRPr="00F82CCA">
              <w:rPr>
                <w:rFonts w:ascii="GHEA Grapalat" w:hAnsi="GHEA Grapalat"/>
                <w:sz w:val="24"/>
                <w:szCs w:val="24"/>
                <w:lang w:val="hy-AM"/>
              </w:rPr>
              <w:tab/>
              <w:t>Նշված պայմաններն առկա ձևակերպմամբ արդեն իսկ խնդրահարույց են: Օրինակ՝ խտրական գներ սահմանելը կամ պահպանելը ոչ մի դեպքում չի կարող լինել տնտեսվարողի նպատակ, ցանկություն, չի կարող հակամրցակցային համաձայնությունն ուղղված լինել խտրական գներ սահմանելուն, քանի որ այն զուտ միջոց է նպատակին հասնելու համար:</w:t>
            </w:r>
          </w:p>
          <w:p w14:paraId="3AC1C80F" w14:textId="77777777" w:rsidR="00F82CCA" w:rsidRDefault="00F82CCA" w:rsidP="00F82CCA">
            <w:pPr>
              <w:spacing w:after="0"/>
              <w:jc w:val="center"/>
              <w:rPr>
                <w:rFonts w:ascii="GHEA Grapalat" w:hAnsi="GHEA Grapalat"/>
                <w:sz w:val="24"/>
                <w:szCs w:val="24"/>
                <w:lang w:val="hy-AM"/>
              </w:rPr>
            </w:pPr>
            <w:r w:rsidRPr="00F82CCA">
              <w:rPr>
                <w:rFonts w:ascii="GHEA Grapalat" w:hAnsi="GHEA Grapalat"/>
                <w:sz w:val="24"/>
                <w:szCs w:val="24"/>
                <w:lang w:val="hy-AM"/>
              </w:rPr>
              <w:t>2.</w:t>
            </w:r>
            <w:r w:rsidRPr="00F82CCA">
              <w:rPr>
                <w:rFonts w:ascii="GHEA Grapalat" w:hAnsi="GHEA Grapalat"/>
                <w:sz w:val="24"/>
                <w:szCs w:val="24"/>
                <w:lang w:val="hy-AM"/>
              </w:rPr>
              <w:tab/>
              <w:t>Նշված պայմանները սպառիչ կերպով սահմանելով՝ օրենսդիրը բացառել է այլ պայմանների դեպքում հակամրցակցային համաձայնությունները հանցագործություն համարելու հնարավորությունը: Օրինակ, հակամրցակցային համաձայնությունը կարող է ուղղված լինել ապրանքային շուկան ոչ թե տարածքային, այլ ըստ ապրանքատեսակների, սպառողների շրջանակի բաժանելուն, գերշահույթ ստանալուն, գնումների, մրցույթների, աճուրդների շրջանակներում հաղթող ճանաչվելուն և այլն:</w:t>
            </w:r>
          </w:p>
          <w:p w14:paraId="5731E0B5" w14:textId="77777777" w:rsidR="00F82CCA" w:rsidRDefault="00D15FA6" w:rsidP="00D15FA6">
            <w:pPr>
              <w:spacing w:after="0"/>
              <w:jc w:val="center"/>
              <w:rPr>
                <w:rFonts w:ascii="GHEA Grapalat" w:hAnsi="GHEA Grapalat"/>
                <w:sz w:val="24"/>
                <w:szCs w:val="24"/>
                <w:lang w:val="hy-AM"/>
              </w:rPr>
            </w:pPr>
            <w:r w:rsidRPr="00D15FA6">
              <w:rPr>
                <w:rFonts w:ascii="GHEA Grapalat" w:hAnsi="GHEA Grapalat"/>
                <w:sz w:val="24"/>
                <w:szCs w:val="24"/>
                <w:lang w:val="hy-AM"/>
              </w:rPr>
              <w:t xml:space="preserve">ՀՀ քրեական օրենսգրքի ներկա կարգավորման պայմաններում քննարկվող հանցագործությունը նախատեսված է ձևական հանցակազմով. այն ավարտված է համարվում հակամրցակցային գործունեությունը կատարելու պահից: Նշված կարգավորմամբ, </w:t>
            </w:r>
            <w:r>
              <w:rPr>
                <w:rFonts w:ascii="GHEA Grapalat" w:hAnsi="GHEA Grapalat"/>
                <w:sz w:val="24"/>
                <w:szCs w:val="24"/>
                <w:lang w:val="hy-AM"/>
              </w:rPr>
              <w:t>սակայն</w:t>
            </w:r>
            <w:r w:rsidRPr="00D15FA6">
              <w:rPr>
                <w:rFonts w:ascii="GHEA Grapalat" w:hAnsi="GHEA Grapalat"/>
                <w:sz w:val="24"/>
                <w:szCs w:val="24"/>
                <w:lang w:val="hy-AM"/>
              </w:rPr>
              <w:t>, չի հիմնավորվում տվյալ հանցագործության հանրային վտանգավորությունը, տնտեսության վրա ունեցած բացասական ազդեցությունը, ուստի անհրաժեշտ է սահմանել նյութական հանցակազմ: Որպես տվյալ իրավախախտման պարտադիր հետևանք առաջարկվում է կիրառել քաղաքացիներին, կազմակերպություններին կամ պետությանը պատճառված խոշոր կամ առանձնապես խոշոր չափով վնասը կամ ապրանքային շուկայի մասնակցի ստացած խոշոր կամ առանձնապես խոշոր չափով շահույթը:</w:t>
            </w:r>
          </w:p>
          <w:p w14:paraId="321B3CAE" w14:textId="436C1A4E" w:rsidR="00D15FA6" w:rsidRPr="0030753D" w:rsidRDefault="00D15FA6" w:rsidP="00D15FA6">
            <w:pPr>
              <w:spacing w:after="0"/>
              <w:jc w:val="center"/>
              <w:rPr>
                <w:rFonts w:ascii="GHEA Grapalat" w:hAnsi="GHEA Grapalat"/>
                <w:sz w:val="24"/>
                <w:szCs w:val="24"/>
                <w:lang w:val="hy-AM"/>
              </w:rPr>
            </w:pPr>
            <w:r w:rsidRPr="00D15FA6">
              <w:rPr>
                <w:rFonts w:ascii="GHEA Grapalat" w:hAnsi="GHEA Grapalat"/>
                <w:sz w:val="24"/>
                <w:szCs w:val="24"/>
                <w:lang w:val="hy-AM"/>
              </w:rPr>
              <w:t>Ինչ վերաբերում տվյալ հանցագործության ծանրացնող հանգամանքներին, ապա դրանք մեծապես բնութագրում են տվյալ հանցագործության առավել վտանգավոր դրսևորումները, էական հակասություններ կամ բացեր չեն պարունակում: Այդ տեսանկյունից առաջարկվում է որպես ծանրացուցիչ հանգամանք դիտարկել նաև առանձնապես խոշոր չափերով վնաս պատճառելը կամ առանձնապես խոշոր չափերով շահույթ ստանալը:</w:t>
            </w:r>
          </w:p>
        </w:tc>
      </w:tr>
      <w:tr w:rsidR="00484CA9" w:rsidRPr="005D6096" w14:paraId="1B50C0DB" w14:textId="77777777" w:rsidTr="009447F6">
        <w:tc>
          <w:tcPr>
            <w:tcW w:w="749" w:type="dxa"/>
          </w:tcPr>
          <w:p w14:paraId="74430E15" w14:textId="77777777" w:rsidR="00484CA9" w:rsidRPr="0030753D" w:rsidRDefault="00484CA9" w:rsidP="00484CA9">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1286E07D" w14:textId="373FC1B1" w:rsidR="00484CA9" w:rsidRPr="0030753D" w:rsidRDefault="00484CA9" w:rsidP="00484CA9">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Օրենսդրական փաթեթով առաջարկվում է լրացում կատարել նաև Օպերատիվ հետախուզական գործունեության մասին օրենքում: Սահմանվում է, որ «Տնտեսական մրցակցության պաշտպանության ոլորտում օպերատիվ-հետախուզական գործունեության նախապատրաստման և անցկացման կարգը սահմանում է Հայաստանի Հանրապետության կառավարությունը»: Առաջարկում ենք լրացուցիչ հիմնավորել Տնտեսական մրցակցության պաշտպանության նպատակով օպերատիվ հետախուզական գործունեություն իրականացնելու խիստ անհրաժեշտությունը, ինչպես նաև ներկայացնել ՏՀԶԿ երկրների փորձը, փորձագիտական կառույցների եզրակացությունները (առկայության դեպքում) այս հարցի վերաբերյալ:</w:t>
            </w:r>
          </w:p>
        </w:tc>
        <w:tc>
          <w:tcPr>
            <w:tcW w:w="2268" w:type="dxa"/>
          </w:tcPr>
          <w:p w14:paraId="62166AE6" w14:textId="71BAA703" w:rsidR="00484CA9" w:rsidRPr="0030753D" w:rsidRDefault="00351AF5" w:rsidP="00484CA9">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295E2225" w14:textId="09F3A7D6" w:rsidR="00484CA9" w:rsidRPr="0030753D" w:rsidRDefault="000B25CE" w:rsidP="00670DBE">
            <w:pPr>
              <w:spacing w:after="0"/>
              <w:jc w:val="center"/>
              <w:rPr>
                <w:rFonts w:ascii="GHEA Grapalat" w:hAnsi="GHEA Grapalat"/>
                <w:sz w:val="24"/>
                <w:szCs w:val="24"/>
                <w:lang w:val="hy-AM"/>
              </w:rPr>
            </w:pPr>
            <w:r w:rsidRPr="000B25CE">
              <w:rPr>
                <w:rFonts w:ascii="GHEA Grapalat" w:hAnsi="GHEA Grapalat"/>
                <w:sz w:val="24"/>
                <w:szCs w:val="24"/>
                <w:lang w:val="hy-AM"/>
              </w:rPr>
              <w:t xml:space="preserve">Հակամրցակցային համաձայությունները գրեթե բոլոր դեպքերում կայացվում են գաղտնի բանավոր համաձայությունների տեսքով, մինչդեռ հակամրցակցային համաձայության առկայությունը բացահայտելու և հաստատելու Հանձնաժողովի միակ գործիքը ստուգումների սահմանափակ լիազորությունների և տեղեկատվություն պահանջելու </w:t>
            </w:r>
            <w:r w:rsidR="001A201A">
              <w:rPr>
                <w:rFonts w:ascii="GHEA Grapalat" w:hAnsi="GHEA Grapalat"/>
                <w:sz w:val="24"/>
                <w:szCs w:val="24"/>
                <w:lang w:val="hy-AM"/>
              </w:rPr>
              <w:t>մ</w:t>
            </w:r>
            <w:r w:rsidRPr="000B25CE">
              <w:rPr>
                <w:rFonts w:ascii="GHEA Grapalat" w:hAnsi="GHEA Grapalat"/>
                <w:sz w:val="24"/>
                <w:szCs w:val="24"/>
                <w:lang w:val="hy-AM"/>
              </w:rPr>
              <w:t xml:space="preserve">իջոցով փաստաթղթային ապացույցների ձեռքբերումն է: Նման  պայմաններում դժվարանում և շատ դեպքերում անհնարին է դառնում համակրցակցային համաձայության առկայության ապացուցումը և վարչական վարույթը կարճվում է, թեև առկա են ողջամիտ կասկածներ հակամրցակցային համաձայնության առկայության վերաբերյալ կամ դրա առկայությունն ակնհայտ է: Նմանատիպ խնդիրներ առկա են նաև Օրենքի այլ խախտումները բացահայտելու հարցում, քանի որ իրավախախտումը հաստատող  ապացույցները քողարկվում կամ թաքցվում են:  Այս ամենը բացասական ազդեցություն է ունենում Հանձնաժողովի կողմից Օրենքի խախտումները բացահայտելու և արդյունավետ տնտեսական մրցակցություն ապահովելու հարցում: </w:t>
            </w:r>
            <w:r w:rsidR="00484CA9" w:rsidRPr="00484CA9">
              <w:rPr>
                <w:rFonts w:ascii="GHEA Grapalat" w:hAnsi="GHEA Grapalat"/>
                <w:sz w:val="24"/>
                <w:szCs w:val="24"/>
                <w:lang w:val="hy-AM"/>
              </w:rPr>
              <w:t xml:space="preserve"> ՀՀ կառավարության 2019 թվականի</w:t>
            </w:r>
            <w:r w:rsidR="00484CA9">
              <w:rPr>
                <w:rFonts w:ascii="GHEA Grapalat" w:hAnsi="GHEA Grapalat"/>
                <w:sz w:val="24"/>
                <w:szCs w:val="24"/>
                <w:lang w:val="hy-AM"/>
              </w:rPr>
              <w:t xml:space="preserve"> </w:t>
            </w:r>
            <w:r w:rsidR="00484CA9" w:rsidRPr="00484CA9">
              <w:rPr>
                <w:rFonts w:ascii="GHEA Grapalat" w:hAnsi="GHEA Grapalat"/>
                <w:sz w:val="24"/>
                <w:szCs w:val="24"/>
                <w:lang w:val="hy-AM"/>
              </w:rPr>
              <w:t>հոկտեմբերի 3-ի</w:t>
            </w:r>
            <w:r w:rsidR="00484CA9">
              <w:rPr>
                <w:rFonts w:ascii="GHEA Grapalat" w:hAnsi="GHEA Grapalat"/>
                <w:sz w:val="24"/>
                <w:szCs w:val="24"/>
                <w:lang w:val="hy-AM"/>
              </w:rPr>
              <w:t xml:space="preserve"> «</w:t>
            </w:r>
            <w:r w:rsidR="00484CA9" w:rsidRPr="00484CA9">
              <w:rPr>
                <w:rFonts w:ascii="GHEA Grapalat" w:hAnsi="GHEA Grapalat"/>
                <w:sz w:val="24"/>
                <w:szCs w:val="24"/>
                <w:lang w:val="hy-AM"/>
              </w:rPr>
              <w:t xml:space="preserve">Հայաստանի Հանրապետության հակակոռուպցիոն ռազմավարությունը </w:t>
            </w:r>
            <w:r w:rsidR="00484CA9">
              <w:rPr>
                <w:rFonts w:ascii="GHEA Grapalat" w:hAnsi="GHEA Grapalat"/>
                <w:sz w:val="24"/>
                <w:szCs w:val="24"/>
                <w:lang w:val="hy-AM"/>
              </w:rPr>
              <w:t>և</w:t>
            </w:r>
            <w:r w:rsidR="00484CA9" w:rsidRPr="00484CA9">
              <w:rPr>
                <w:rFonts w:ascii="GHEA Grapalat" w:hAnsi="GHEA Grapalat"/>
                <w:sz w:val="24"/>
                <w:szCs w:val="24"/>
                <w:lang w:val="hy-AM"/>
              </w:rPr>
              <w:t xml:space="preserve"> դրա իրականացման 2019-2022 թվականների միջոցառումների ծրագիրը հաստատելու մասին</w:t>
            </w:r>
            <w:r w:rsidR="00484CA9">
              <w:rPr>
                <w:rFonts w:ascii="GHEA Grapalat" w:hAnsi="GHEA Grapalat"/>
                <w:sz w:val="24"/>
                <w:szCs w:val="24"/>
                <w:lang w:val="hy-AM"/>
              </w:rPr>
              <w:t>»</w:t>
            </w:r>
            <w:r w:rsidR="00484CA9" w:rsidRPr="00484CA9">
              <w:rPr>
                <w:rFonts w:ascii="GHEA Grapalat" w:hAnsi="GHEA Grapalat"/>
                <w:sz w:val="24"/>
                <w:szCs w:val="24"/>
                <w:lang w:val="hy-AM"/>
              </w:rPr>
              <w:t xml:space="preserve"> </w:t>
            </w:r>
            <w:r w:rsidR="00484CA9">
              <w:rPr>
                <w:rFonts w:ascii="GHEA Grapalat" w:hAnsi="GHEA Grapalat"/>
                <w:sz w:val="24"/>
                <w:szCs w:val="24"/>
                <w:lang w:val="hy-AM"/>
              </w:rPr>
              <w:t>թիվ 1332-</w:t>
            </w:r>
            <w:r w:rsidR="00484CA9" w:rsidRPr="00484CA9">
              <w:rPr>
                <w:rFonts w:ascii="GHEA Grapalat" w:hAnsi="GHEA Grapalat"/>
                <w:sz w:val="24"/>
                <w:szCs w:val="24"/>
                <w:lang w:val="hy-AM"/>
              </w:rPr>
              <w:t xml:space="preserve">Ն  որոշման </w:t>
            </w:r>
            <w:r w:rsidR="00484CA9">
              <w:rPr>
                <w:rFonts w:ascii="GHEA Grapalat" w:hAnsi="GHEA Grapalat"/>
                <w:sz w:val="24"/>
                <w:szCs w:val="24"/>
                <w:lang w:val="hy-AM"/>
              </w:rPr>
              <w:t>հավելվածի 2-ի 25-րդ կետով, որպես տ</w:t>
            </w:r>
            <w:r w:rsidR="00484CA9" w:rsidRPr="00484CA9">
              <w:rPr>
                <w:rFonts w:ascii="GHEA Grapalat" w:hAnsi="GHEA Grapalat"/>
                <w:sz w:val="24"/>
                <w:szCs w:val="24"/>
                <w:lang w:val="hy-AM"/>
              </w:rPr>
              <w:t>նտեսական մրցակցության պաշտպանության ոլորտի վերաբերյալ օրենսդրության կատարելագործմ</w:t>
            </w:r>
            <w:r w:rsidR="00484CA9">
              <w:rPr>
                <w:rFonts w:ascii="GHEA Grapalat" w:hAnsi="GHEA Grapalat"/>
                <w:sz w:val="24"/>
                <w:szCs w:val="24"/>
                <w:lang w:val="hy-AM"/>
              </w:rPr>
              <w:t>ան 2020 թվականի համար ակնկալվող արդյունք նախատեսվել է մ</w:t>
            </w:r>
            <w:r w:rsidR="00484CA9" w:rsidRPr="00484CA9">
              <w:rPr>
                <w:rFonts w:ascii="GHEA Grapalat" w:hAnsi="GHEA Grapalat"/>
                <w:sz w:val="24"/>
                <w:szCs w:val="24"/>
                <w:lang w:val="hy-AM"/>
              </w:rPr>
              <w:t xml:space="preserve">շակել </w:t>
            </w:r>
            <w:r w:rsidR="00484CA9">
              <w:rPr>
                <w:rFonts w:ascii="GHEA Grapalat" w:hAnsi="GHEA Grapalat"/>
                <w:sz w:val="24"/>
                <w:szCs w:val="24"/>
                <w:lang w:val="hy-AM"/>
              </w:rPr>
              <w:t>տ</w:t>
            </w:r>
            <w:r w:rsidR="00484CA9" w:rsidRPr="00484CA9">
              <w:rPr>
                <w:rFonts w:ascii="GHEA Grapalat" w:hAnsi="GHEA Grapalat"/>
                <w:sz w:val="24"/>
                <w:szCs w:val="24"/>
                <w:lang w:val="hy-AM"/>
              </w:rPr>
              <w:t>նտեսական մրցակցության պաշտպանության ոլորտի օրենսդրություն</w:t>
            </w:r>
            <w:r w:rsidR="00670DBE">
              <w:rPr>
                <w:rFonts w:ascii="GHEA Grapalat" w:hAnsi="GHEA Grapalat"/>
                <w:sz w:val="24"/>
                <w:szCs w:val="24"/>
                <w:lang w:val="hy-AM"/>
              </w:rPr>
              <w:t>ում</w:t>
            </w:r>
            <w:r w:rsidR="00484CA9" w:rsidRPr="00484CA9">
              <w:rPr>
                <w:rFonts w:ascii="GHEA Grapalat" w:hAnsi="GHEA Grapalat"/>
                <w:sz w:val="24"/>
                <w:szCs w:val="24"/>
                <w:lang w:val="hy-AM"/>
              </w:rPr>
              <w:t xml:space="preserve"> առկա խնդիրների կարգավորմանն ուղղված առաջարկությունների </w:t>
            </w:r>
            <w:r w:rsidR="00BA6878" w:rsidRPr="00484CA9">
              <w:rPr>
                <w:rFonts w:ascii="GHEA Grapalat" w:hAnsi="GHEA Grapalat"/>
                <w:sz w:val="24"/>
                <w:szCs w:val="24"/>
                <w:lang w:val="hy-AM"/>
              </w:rPr>
              <w:t xml:space="preserve">փաթեթ, այդ թվում՝ Հանձնաժողովի կողմից ստուգումների իրականացման մեխանիզմների կատարելագործման, հակամրցակցային համաձայնությունների կանխարգելման  գործընթացում Հանձնաժողովին  օպերատիվ տվյալների հասանելիության տրամադրման </w:t>
            </w:r>
            <w:r w:rsidR="00BA6878">
              <w:rPr>
                <w:rFonts w:ascii="GHEA Grapalat" w:hAnsi="GHEA Grapalat"/>
                <w:sz w:val="24"/>
                <w:szCs w:val="24"/>
                <w:lang w:val="hy-AM"/>
              </w:rPr>
              <w:t>հարցի լուծմամբ</w:t>
            </w:r>
            <w:r w:rsidR="00BA6878" w:rsidRPr="00484CA9">
              <w:rPr>
                <w:rFonts w:ascii="GHEA Grapalat" w:hAnsi="GHEA Grapalat"/>
                <w:sz w:val="24"/>
                <w:szCs w:val="24"/>
                <w:lang w:val="hy-AM"/>
              </w:rPr>
              <w:t>:</w:t>
            </w:r>
          </w:p>
        </w:tc>
      </w:tr>
      <w:tr w:rsidR="00BA6878" w:rsidRPr="005D6096" w14:paraId="32A41C4B" w14:textId="77777777" w:rsidTr="009447F6">
        <w:tc>
          <w:tcPr>
            <w:tcW w:w="749" w:type="dxa"/>
          </w:tcPr>
          <w:p w14:paraId="04035C1E" w14:textId="77777777" w:rsidR="00BA6878" w:rsidRPr="0030753D" w:rsidRDefault="00BA6878" w:rsidP="00BA6878">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56E045B2" w14:textId="2A451806" w:rsidR="00BA6878" w:rsidRPr="0030753D" w:rsidRDefault="00BA6878" w:rsidP="00BA6878">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Հաշվի առնելով օրենսդրական փաթեթի բովանդակային մեծածավալ փոփոխությունների բնույթը, ինչպես նաև դրա հնարավոր բացասական ազդեցությունը տնտեսվարող սուբյեկտների գործունեության վրա՝ առաջարկում ենք Օրենսդրական փաթեթն ուղարկել նաև Առևտրաարդյունաբերական Պալատ, Գործատուների հանրապետական միություն և Արդյունաբերողների և գործարարների միություն՝ կարծիքի:</w:t>
            </w:r>
          </w:p>
        </w:tc>
        <w:tc>
          <w:tcPr>
            <w:tcW w:w="2268" w:type="dxa"/>
          </w:tcPr>
          <w:p w14:paraId="74DEAA75" w14:textId="0E532D64" w:rsidR="00BA6878" w:rsidRPr="0030753D" w:rsidRDefault="00BA6878" w:rsidP="00BA6878">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044B7352" w14:textId="26BFB123" w:rsidR="00BA6878" w:rsidRPr="00B453B9" w:rsidRDefault="00BA6878" w:rsidP="00BA6878">
            <w:pPr>
              <w:spacing w:after="0"/>
              <w:jc w:val="center"/>
              <w:rPr>
                <w:rFonts w:ascii="GHEA Grapalat" w:hAnsi="GHEA Grapalat"/>
                <w:sz w:val="24"/>
                <w:szCs w:val="24"/>
                <w:lang w:val="hy-AM"/>
              </w:rPr>
            </w:pPr>
            <w:r>
              <w:rPr>
                <w:rFonts w:ascii="GHEA Grapalat" w:hAnsi="GHEA Grapalat"/>
                <w:sz w:val="24"/>
                <w:szCs w:val="24"/>
                <w:lang w:val="hy-AM"/>
              </w:rPr>
              <w:t xml:space="preserve">Նախագիծը հանձնաժողովի նախագահի 2020 թվականի մայիսի 22-ի թիվ </w:t>
            </w:r>
            <w:r w:rsidRPr="00B453B9">
              <w:rPr>
                <w:rFonts w:ascii="GHEA Grapalat" w:hAnsi="GHEA Grapalat"/>
                <w:sz w:val="24"/>
                <w:szCs w:val="24"/>
                <w:lang w:val="hy-AM"/>
              </w:rPr>
              <w:t>ԳԳ/1819-2020</w:t>
            </w:r>
            <w:r>
              <w:rPr>
                <w:rFonts w:ascii="GHEA Grapalat" w:hAnsi="GHEA Grapalat"/>
                <w:sz w:val="24"/>
                <w:szCs w:val="24"/>
                <w:lang w:val="hy-AM"/>
              </w:rPr>
              <w:t xml:space="preserve"> գրությամբ կարծիքի է ուղարկվել Հ</w:t>
            </w:r>
            <w:r w:rsidRPr="00B453B9">
              <w:rPr>
                <w:rFonts w:ascii="GHEA Grapalat" w:hAnsi="GHEA Grapalat"/>
                <w:sz w:val="24"/>
                <w:szCs w:val="24"/>
                <w:lang w:val="hy-AM"/>
              </w:rPr>
              <w:t>այաստանի գործատուների հանրապետական միության</w:t>
            </w:r>
            <w:r>
              <w:rPr>
                <w:rFonts w:ascii="GHEA Grapalat" w:hAnsi="GHEA Grapalat"/>
                <w:sz w:val="24"/>
                <w:szCs w:val="24"/>
                <w:lang w:val="hy-AM"/>
              </w:rPr>
              <w:t xml:space="preserve">ը, </w:t>
            </w:r>
            <w:r w:rsidRPr="00670DBE">
              <w:rPr>
                <w:rFonts w:ascii="GHEA Grapalat" w:hAnsi="GHEA Grapalat"/>
                <w:sz w:val="24"/>
                <w:szCs w:val="24"/>
                <w:lang w:val="hy-AM"/>
              </w:rPr>
              <w:t>Հայաստանի արհմիությունների կոնֆեդերացիայի</w:t>
            </w:r>
            <w:r>
              <w:rPr>
                <w:rFonts w:ascii="GHEA Grapalat" w:hAnsi="GHEA Grapalat"/>
                <w:sz w:val="24"/>
                <w:szCs w:val="24"/>
                <w:lang w:val="hy-AM"/>
              </w:rPr>
              <w:t xml:space="preserve">ն, </w:t>
            </w:r>
            <w:r w:rsidRPr="00B453B9">
              <w:rPr>
                <w:rFonts w:ascii="GHEA Grapalat" w:hAnsi="GHEA Grapalat"/>
                <w:sz w:val="24"/>
                <w:szCs w:val="24"/>
                <w:lang w:val="hy-AM"/>
              </w:rPr>
              <w:t>«</w:t>
            </w:r>
            <w:r>
              <w:rPr>
                <w:rFonts w:ascii="GHEA Grapalat" w:hAnsi="GHEA Grapalat"/>
                <w:sz w:val="24"/>
                <w:szCs w:val="24"/>
                <w:lang w:val="hy-AM"/>
              </w:rPr>
              <w:t>Հ</w:t>
            </w:r>
            <w:r w:rsidRPr="00B453B9">
              <w:rPr>
                <w:rFonts w:ascii="GHEA Grapalat" w:hAnsi="GHEA Grapalat"/>
                <w:sz w:val="24"/>
                <w:szCs w:val="24"/>
                <w:lang w:val="hy-AM"/>
              </w:rPr>
              <w:t xml:space="preserve">այաստանի արդյունաբերողների </w:t>
            </w:r>
            <w:r>
              <w:rPr>
                <w:rFonts w:ascii="GHEA Grapalat" w:hAnsi="GHEA Grapalat"/>
                <w:sz w:val="24"/>
                <w:szCs w:val="24"/>
                <w:lang w:val="hy-AM"/>
              </w:rPr>
              <w:t>և</w:t>
            </w:r>
            <w:r w:rsidRPr="00B453B9">
              <w:rPr>
                <w:rFonts w:ascii="GHEA Grapalat" w:hAnsi="GHEA Grapalat"/>
                <w:sz w:val="24"/>
                <w:szCs w:val="24"/>
                <w:lang w:val="hy-AM"/>
              </w:rPr>
              <w:t xml:space="preserve"> </w:t>
            </w:r>
          </w:p>
          <w:p w14:paraId="60FAE2B8" w14:textId="2473EE64" w:rsidR="00BA6878" w:rsidRDefault="00BA6878" w:rsidP="00BA6878">
            <w:pPr>
              <w:spacing w:after="0"/>
              <w:jc w:val="center"/>
              <w:rPr>
                <w:rFonts w:ascii="GHEA Grapalat" w:hAnsi="GHEA Grapalat"/>
                <w:sz w:val="24"/>
                <w:szCs w:val="24"/>
                <w:lang w:val="hy-AM"/>
              </w:rPr>
            </w:pPr>
            <w:r w:rsidRPr="00B453B9">
              <w:rPr>
                <w:rFonts w:ascii="GHEA Grapalat" w:hAnsi="GHEA Grapalat"/>
                <w:sz w:val="24"/>
                <w:szCs w:val="24"/>
                <w:lang w:val="hy-AM"/>
              </w:rPr>
              <w:t>գործարարների միությ</w:t>
            </w:r>
            <w:r>
              <w:rPr>
                <w:rFonts w:ascii="GHEA Grapalat" w:hAnsi="GHEA Grapalat"/>
                <w:sz w:val="24"/>
                <w:szCs w:val="24"/>
                <w:lang w:val="hy-AM"/>
              </w:rPr>
              <w:t>ու</w:t>
            </w:r>
            <w:r w:rsidRPr="00B453B9">
              <w:rPr>
                <w:rFonts w:ascii="GHEA Grapalat" w:hAnsi="GHEA Grapalat"/>
                <w:sz w:val="24"/>
                <w:szCs w:val="24"/>
                <w:lang w:val="hy-AM"/>
              </w:rPr>
              <w:t>ն»</w:t>
            </w:r>
            <w:r>
              <w:rPr>
                <w:rFonts w:ascii="GHEA Grapalat" w:hAnsi="GHEA Grapalat"/>
                <w:sz w:val="24"/>
                <w:szCs w:val="24"/>
                <w:lang w:val="hy-AM"/>
              </w:rPr>
              <w:t xml:space="preserve">, </w:t>
            </w:r>
            <w:r w:rsidRPr="00670DBE">
              <w:rPr>
                <w:rFonts w:ascii="GHEA Grapalat" w:hAnsi="GHEA Grapalat"/>
                <w:sz w:val="24"/>
                <w:szCs w:val="24"/>
                <w:lang w:val="hy-AM"/>
              </w:rPr>
              <w:t>«Իրավաբանների հայկական ասոցիացիա</w:t>
            </w:r>
            <w:r>
              <w:rPr>
                <w:rFonts w:ascii="GHEA Grapalat" w:hAnsi="GHEA Grapalat"/>
                <w:sz w:val="24"/>
                <w:szCs w:val="24"/>
                <w:lang w:val="hy-AM"/>
              </w:rPr>
              <w:t>»</w:t>
            </w:r>
          </w:p>
          <w:p w14:paraId="1895E1A4" w14:textId="595E15AC" w:rsidR="00BA6878" w:rsidRPr="00670DBE" w:rsidRDefault="00BA6878" w:rsidP="00BA6878">
            <w:pPr>
              <w:spacing w:after="0"/>
              <w:jc w:val="center"/>
              <w:rPr>
                <w:rFonts w:ascii="GHEA Grapalat" w:hAnsi="GHEA Grapalat"/>
                <w:sz w:val="24"/>
                <w:szCs w:val="24"/>
                <w:lang w:val="hy-AM"/>
              </w:rPr>
            </w:pPr>
            <w:r>
              <w:rPr>
                <w:rFonts w:ascii="GHEA Grapalat" w:hAnsi="GHEA Grapalat"/>
                <w:sz w:val="24"/>
                <w:szCs w:val="24"/>
                <w:lang w:val="hy-AM"/>
              </w:rPr>
              <w:t xml:space="preserve">և </w:t>
            </w:r>
            <w:r w:rsidRPr="00670DBE">
              <w:rPr>
                <w:rFonts w:ascii="GHEA Grapalat" w:hAnsi="GHEA Grapalat"/>
                <w:sz w:val="24"/>
                <w:szCs w:val="24"/>
                <w:lang w:val="hy-AM"/>
              </w:rPr>
              <w:t>«</w:t>
            </w:r>
            <w:r>
              <w:rPr>
                <w:rFonts w:ascii="GHEA Grapalat" w:hAnsi="GHEA Grapalat"/>
                <w:sz w:val="24"/>
                <w:szCs w:val="24"/>
                <w:lang w:val="hy-AM"/>
              </w:rPr>
              <w:t>Ի</w:t>
            </w:r>
            <w:r w:rsidRPr="00670DBE">
              <w:rPr>
                <w:rFonts w:ascii="GHEA Grapalat" w:hAnsi="GHEA Grapalat"/>
                <w:sz w:val="24"/>
                <w:szCs w:val="24"/>
                <w:lang w:val="hy-AM"/>
              </w:rPr>
              <w:t xml:space="preserve">րազեկ </w:t>
            </w:r>
            <w:r>
              <w:rPr>
                <w:rFonts w:ascii="GHEA Grapalat" w:hAnsi="GHEA Grapalat"/>
                <w:sz w:val="24"/>
                <w:szCs w:val="24"/>
                <w:lang w:val="hy-AM"/>
              </w:rPr>
              <w:t>և</w:t>
            </w:r>
            <w:r w:rsidRPr="00670DBE">
              <w:rPr>
                <w:rFonts w:ascii="GHEA Grapalat" w:hAnsi="GHEA Grapalat"/>
                <w:sz w:val="24"/>
                <w:szCs w:val="24"/>
                <w:lang w:val="hy-AM"/>
              </w:rPr>
              <w:t xml:space="preserve"> պաշտպանված սպառող» հասարակական </w:t>
            </w:r>
          </w:p>
          <w:p w14:paraId="41FD2009" w14:textId="7265D991" w:rsidR="00BA6878" w:rsidRDefault="00BA6878" w:rsidP="00BA6878">
            <w:pPr>
              <w:spacing w:after="0"/>
              <w:jc w:val="center"/>
              <w:rPr>
                <w:rFonts w:ascii="GHEA Grapalat" w:hAnsi="GHEA Grapalat"/>
                <w:sz w:val="24"/>
                <w:szCs w:val="24"/>
                <w:lang w:val="hy-AM"/>
              </w:rPr>
            </w:pPr>
            <w:r w:rsidRPr="00670DBE">
              <w:rPr>
                <w:rFonts w:ascii="GHEA Grapalat" w:hAnsi="GHEA Grapalat"/>
                <w:sz w:val="24"/>
                <w:szCs w:val="24"/>
                <w:lang w:val="hy-AM"/>
              </w:rPr>
              <w:t>կազմակերպությ</w:t>
            </w:r>
            <w:r>
              <w:rPr>
                <w:rFonts w:ascii="GHEA Grapalat" w:hAnsi="GHEA Grapalat"/>
                <w:sz w:val="24"/>
                <w:szCs w:val="24"/>
                <w:lang w:val="hy-AM"/>
              </w:rPr>
              <w:t>ուններին, սակայն դիտողություններ և առաջարկություններ չեն ստացվել։</w:t>
            </w:r>
          </w:p>
          <w:p w14:paraId="78496492" w14:textId="3C0CBEC4" w:rsidR="00BA6878" w:rsidRPr="00290520" w:rsidRDefault="00BA6878" w:rsidP="00BA6878">
            <w:pPr>
              <w:spacing w:after="0"/>
              <w:jc w:val="center"/>
              <w:rPr>
                <w:rFonts w:ascii="GHEA Grapalat" w:hAnsi="GHEA Grapalat"/>
                <w:sz w:val="24"/>
                <w:szCs w:val="24"/>
                <w:lang w:val="hy-AM"/>
              </w:rPr>
            </w:pPr>
            <w:r>
              <w:rPr>
                <w:rFonts w:ascii="GHEA Grapalat" w:hAnsi="GHEA Grapalat"/>
                <w:sz w:val="24"/>
                <w:szCs w:val="24"/>
                <w:lang w:val="hy-AM"/>
              </w:rPr>
              <w:t xml:space="preserve">Բացի այդ, Նախագիծն անցել է օրենքով սահմանված կարգով հանրային քննարկում </w:t>
            </w:r>
            <w:r w:rsidRPr="00B453B9">
              <w:rPr>
                <w:rFonts w:ascii="GHEA Grapalat" w:hAnsi="GHEA Grapalat"/>
                <w:sz w:val="24"/>
                <w:szCs w:val="24"/>
                <w:lang w:val="hy-AM"/>
              </w:rPr>
              <w:t>իրավական ակտերի նախագծերի հրապարակման միասնական կայքում</w:t>
            </w:r>
            <w:r>
              <w:rPr>
                <w:rFonts w:ascii="GHEA Grapalat" w:hAnsi="GHEA Grapalat"/>
                <w:sz w:val="24"/>
                <w:szCs w:val="24"/>
                <w:lang w:val="hy-AM"/>
              </w:rPr>
              <w:t>, իսկ նախագծի վերաբերյալ ներկայացված դիտողությունների և առաջարկությունների ամփոփաթերթերի ընդհանուր ծավալը մոտ 500 էջ է։</w:t>
            </w:r>
          </w:p>
        </w:tc>
      </w:tr>
      <w:tr w:rsidR="00BA6878" w:rsidRPr="005D6096" w14:paraId="24DB6E4C" w14:textId="77777777" w:rsidTr="009447F6">
        <w:tc>
          <w:tcPr>
            <w:tcW w:w="749" w:type="dxa"/>
          </w:tcPr>
          <w:p w14:paraId="5CDE2869" w14:textId="77777777" w:rsidR="00BA6878" w:rsidRPr="0030753D" w:rsidRDefault="00BA6878" w:rsidP="00BA6878">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51C122B4" w14:textId="0A66C3F6" w:rsidR="00BA6878" w:rsidRPr="0030753D" w:rsidRDefault="00BA6878" w:rsidP="00BA6878">
            <w:pPr>
              <w:pStyle w:val="ListParagraph"/>
              <w:spacing w:after="0"/>
              <w:ind w:left="8"/>
              <w:jc w:val="center"/>
              <w:rPr>
                <w:rFonts w:ascii="GHEA Grapalat" w:hAnsi="GHEA Grapalat" w:cs="Sylfaen"/>
                <w:sz w:val="24"/>
                <w:szCs w:val="24"/>
                <w:lang w:val="hy-AM"/>
              </w:rPr>
            </w:pPr>
            <w:r w:rsidRPr="00156F69">
              <w:rPr>
                <w:rFonts w:ascii="GHEA Grapalat" w:hAnsi="GHEA Grapalat" w:cs="Sylfaen"/>
                <w:sz w:val="24"/>
                <w:szCs w:val="24"/>
                <w:lang w:val="hy-AM"/>
              </w:rPr>
              <w:t>Օրենսդրական փաթեթով առաջարկվող բովանդակային փոփոխությունների ծավալը հիմք է տալիս ենթադրելու, որ առաջարկվող փաթեթն էական ազդեցություն է ունենալու տնտեսվարող սուբյեկտների գործունեության և, ընդհանուր առմամբ, Հայաստանի գործարար միջավայրի վրա: Այդ իսկ պատճառով գտնում ենք անհրաժեշտ իրականացնել օրենսդրական փաթեթի կարգավորման ազդեցության գնահատում՝ գործարար միջավայրի վրա հնարավոր ազդեցության տեսակետից:</w:t>
            </w:r>
          </w:p>
        </w:tc>
        <w:tc>
          <w:tcPr>
            <w:tcW w:w="2268" w:type="dxa"/>
          </w:tcPr>
          <w:p w14:paraId="795D3611" w14:textId="5388B692" w:rsidR="00BA6878" w:rsidRPr="0030753D" w:rsidRDefault="00BA6878" w:rsidP="00BA6878">
            <w:pPr>
              <w:spacing w:after="0"/>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c>
          <w:tcPr>
            <w:tcW w:w="4678" w:type="dxa"/>
          </w:tcPr>
          <w:p w14:paraId="2F285642" w14:textId="77777777" w:rsidR="00BA6878" w:rsidRDefault="00BA6878" w:rsidP="00BA6878">
            <w:pPr>
              <w:spacing w:after="0"/>
              <w:jc w:val="center"/>
              <w:rPr>
                <w:rFonts w:ascii="GHEA Grapalat" w:hAnsi="GHEA Grapalat"/>
                <w:sz w:val="24"/>
                <w:szCs w:val="24"/>
                <w:lang w:val="hy-AM"/>
              </w:rPr>
            </w:pPr>
            <w:r>
              <w:rPr>
                <w:rFonts w:ascii="GHEA Grapalat" w:hAnsi="GHEA Grapalat"/>
                <w:sz w:val="24"/>
                <w:szCs w:val="24"/>
                <w:lang w:val="hy-AM"/>
              </w:rPr>
              <w:t xml:space="preserve">«Նորմատիվ իրավական ակտերի մասին» օրենքի 5-րդ հոդվածի 1-ին մասի համաձայն՝ </w:t>
            </w:r>
            <w:r w:rsidRPr="000B25CE">
              <w:rPr>
                <w:rFonts w:ascii="GHEA Grapalat" w:hAnsi="GHEA Grapalat"/>
                <w:sz w:val="24"/>
                <w:szCs w:val="24"/>
                <w:lang w:val="hy-AM"/>
              </w:rPr>
              <w:t>Կառավարության սահմանած կարգով և դեպքերում օրենքի կամ Կառավարության որոշման նախագիծը մշակող պետական կառավարման մարմինը կազմակերպում է նախագծի կարգավորման ազդեցության գնահատումը:</w:t>
            </w:r>
          </w:p>
          <w:p w14:paraId="07F032D9" w14:textId="6B4EE2D9" w:rsidR="00BA6878" w:rsidRPr="0030753D" w:rsidRDefault="00BA6878" w:rsidP="00BA6878">
            <w:pPr>
              <w:spacing w:after="0"/>
              <w:jc w:val="center"/>
              <w:rPr>
                <w:rFonts w:ascii="GHEA Grapalat" w:hAnsi="GHEA Grapalat"/>
                <w:sz w:val="24"/>
                <w:szCs w:val="24"/>
                <w:lang w:val="hy-AM"/>
              </w:rPr>
            </w:pPr>
            <w:r>
              <w:rPr>
                <w:rFonts w:ascii="GHEA Grapalat" w:hAnsi="GHEA Grapalat"/>
                <w:sz w:val="24"/>
                <w:szCs w:val="24"/>
                <w:lang w:val="hy-AM"/>
              </w:rPr>
              <w:t xml:space="preserve">Այսինքն՝ </w:t>
            </w:r>
            <w:r w:rsidRPr="00156F69">
              <w:rPr>
                <w:rFonts w:ascii="GHEA Grapalat" w:hAnsi="GHEA Grapalat" w:cs="Sylfaen"/>
                <w:sz w:val="24"/>
                <w:szCs w:val="24"/>
                <w:lang w:val="hy-AM"/>
              </w:rPr>
              <w:t>կարգավորման ազդեցության գնահատում</w:t>
            </w:r>
            <w:r>
              <w:rPr>
                <w:rFonts w:ascii="GHEA Grapalat" w:hAnsi="GHEA Grapalat"/>
                <w:sz w:val="24"/>
                <w:szCs w:val="24"/>
                <w:lang w:val="hy-AM"/>
              </w:rPr>
              <w:t xml:space="preserve">ն իրականացվում է Կառավարության սահմանած դեպքերում, մինչդեռ Կառավարությունը դեռևս չի սահմանել այդ դեպքերը, ուստի </w:t>
            </w:r>
            <w:r w:rsidR="00006307">
              <w:rPr>
                <w:rFonts w:ascii="GHEA Grapalat" w:hAnsi="GHEA Grapalat"/>
                <w:sz w:val="24"/>
                <w:szCs w:val="24"/>
                <w:lang w:val="hy-AM"/>
              </w:rPr>
              <w:t>այն իրականացնել հնարավոր չէ։</w:t>
            </w:r>
          </w:p>
        </w:tc>
      </w:tr>
    </w:tbl>
    <w:p w14:paraId="698FD5FA" w14:textId="77777777" w:rsidR="00E178D4" w:rsidRPr="0030753D" w:rsidRDefault="00E178D4" w:rsidP="0030753D">
      <w:pPr>
        <w:rPr>
          <w:lang w:val="hy-AM"/>
        </w:rPr>
      </w:pPr>
    </w:p>
    <w:sectPr w:rsidR="00E178D4" w:rsidRPr="0030753D" w:rsidSect="00E178D4">
      <w:footerReference w:type="default" r:id="rId8"/>
      <w:pgSz w:w="15840" w:h="12240" w:orient="landscape"/>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80B0A" w14:textId="77777777" w:rsidR="007378A8" w:rsidRDefault="007378A8" w:rsidP="00995354">
      <w:pPr>
        <w:spacing w:after="0" w:line="240" w:lineRule="auto"/>
      </w:pPr>
      <w:r>
        <w:separator/>
      </w:r>
    </w:p>
  </w:endnote>
  <w:endnote w:type="continuationSeparator" w:id="0">
    <w:p w14:paraId="208E83F2" w14:textId="77777777" w:rsidR="007378A8" w:rsidRDefault="007378A8" w:rsidP="00995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145814"/>
      <w:docPartObj>
        <w:docPartGallery w:val="Page Numbers (Bottom of Page)"/>
        <w:docPartUnique/>
      </w:docPartObj>
    </w:sdtPr>
    <w:sdtEndPr/>
    <w:sdtContent>
      <w:p w14:paraId="340E56F9" w14:textId="732C922E" w:rsidR="009447F6" w:rsidRDefault="009447F6">
        <w:pPr>
          <w:pStyle w:val="Footer"/>
          <w:jc w:val="center"/>
        </w:pPr>
        <w:r>
          <w:fldChar w:fldCharType="begin"/>
        </w:r>
        <w:r>
          <w:instrText>PAGE   \* MERGEFORMAT</w:instrText>
        </w:r>
        <w:r>
          <w:fldChar w:fldCharType="separate"/>
        </w:r>
        <w:r w:rsidR="0002463D" w:rsidRPr="0002463D">
          <w:rPr>
            <w:noProof/>
            <w:lang w:val="ru-RU"/>
          </w:rPr>
          <w:t>35</w:t>
        </w:r>
        <w:r>
          <w:fldChar w:fldCharType="end"/>
        </w:r>
      </w:p>
    </w:sdtContent>
  </w:sdt>
  <w:p w14:paraId="252B5F88" w14:textId="77777777" w:rsidR="009447F6" w:rsidRDefault="009447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20EAD" w14:textId="77777777" w:rsidR="007378A8" w:rsidRDefault="007378A8" w:rsidP="00995354">
      <w:pPr>
        <w:spacing w:after="0" w:line="240" w:lineRule="auto"/>
      </w:pPr>
      <w:r>
        <w:separator/>
      </w:r>
    </w:p>
  </w:footnote>
  <w:footnote w:type="continuationSeparator" w:id="0">
    <w:p w14:paraId="13C41D9D" w14:textId="77777777" w:rsidR="007378A8" w:rsidRDefault="007378A8" w:rsidP="00995354">
      <w:pPr>
        <w:spacing w:after="0" w:line="240" w:lineRule="auto"/>
      </w:pPr>
      <w:r>
        <w:continuationSeparator/>
      </w:r>
    </w:p>
  </w:footnote>
  <w:footnote w:id="1">
    <w:p w14:paraId="3E998AEF" w14:textId="30442A38"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rPr>
        <w:t xml:space="preserve"> </w:t>
      </w:r>
      <w:r w:rsidRPr="00DE27D9">
        <w:rPr>
          <w:rFonts w:ascii="GHEA Grapalat" w:hAnsi="GHEA Grapalat"/>
          <w:lang w:val="hy-AM"/>
        </w:rPr>
        <w:t xml:space="preserve">Տե՛ս </w:t>
      </w:r>
      <w:hyperlink r:id="rId1" w:history="1">
        <w:r w:rsidRPr="00DE27D9">
          <w:rPr>
            <w:rStyle w:val="Hyperlink"/>
            <w:rFonts w:ascii="GHEA Grapalat" w:hAnsi="GHEA Grapalat" w:cs="Arial"/>
            <w:color w:val="1155CC"/>
          </w:rPr>
          <w:t>http://www.cpc.bg/storage/file/Protection_of_Competition_Act.pdf</w:t>
        </w:r>
      </w:hyperlink>
      <w:r w:rsidRPr="00DE27D9">
        <w:rPr>
          <w:rStyle w:val="Hyperlink"/>
          <w:rFonts w:ascii="GHEA Grapalat" w:hAnsi="GHEA Grapalat" w:cs="Arial"/>
          <w:color w:val="1155CC"/>
          <w:lang w:val="hy-AM"/>
        </w:rPr>
        <w:t>։</w:t>
      </w:r>
    </w:p>
  </w:footnote>
  <w:footnote w:id="2">
    <w:p w14:paraId="6F749DD1" w14:textId="0789DFFF"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2" w:history="1">
        <w:r w:rsidRPr="00DE27D9">
          <w:rPr>
            <w:rStyle w:val="Hyperlink"/>
            <w:rFonts w:ascii="GHEA Grapalat" w:hAnsi="GHEA Grapalat" w:cs="Arial"/>
            <w:lang w:val="hy-AM"/>
          </w:rPr>
          <w:t>https://www.cnmc.es/en/sobre-la-cnmc/que-es-la-cnmc</w:t>
        </w:r>
      </w:hyperlink>
      <w:r w:rsidRPr="00DE27D9">
        <w:rPr>
          <w:rStyle w:val="Hyperlink"/>
          <w:rFonts w:ascii="GHEA Grapalat" w:hAnsi="GHEA Grapalat" w:cs="Arial"/>
          <w:lang w:val="hy-AM"/>
        </w:rPr>
        <w:t>։</w:t>
      </w:r>
    </w:p>
  </w:footnote>
  <w:footnote w:id="3">
    <w:p w14:paraId="5406C851" w14:textId="4A5F23A3"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3" w:history="1">
        <w:r w:rsidRPr="00DE27D9">
          <w:rPr>
            <w:rStyle w:val="Hyperlink"/>
            <w:rFonts w:ascii="GHEA Grapalat" w:hAnsi="GHEA Grapalat" w:cs="Arial"/>
            <w:color w:val="1155CC"/>
            <w:lang w:val="hy-AM"/>
          </w:rPr>
          <w:t>https://en.agcm.it/en/scope-of-activity/competition/detail?id=3b426468-e51f-4bc1-b1ee-b1f4bd65d9e7&amp;parent=Legislation&amp;parentUrl=/en/scope-of-activity/competition/legislation</w:t>
        </w:r>
      </w:hyperlink>
      <w:r w:rsidRPr="00DE27D9">
        <w:rPr>
          <w:rStyle w:val="Hyperlink"/>
          <w:rFonts w:ascii="GHEA Grapalat" w:hAnsi="GHEA Grapalat" w:cs="Arial"/>
          <w:color w:val="1155CC"/>
          <w:lang w:val="hy-AM"/>
        </w:rPr>
        <w:t>։</w:t>
      </w:r>
    </w:p>
  </w:footnote>
  <w:footnote w:id="4">
    <w:p w14:paraId="6E406125" w14:textId="5607ABB8"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4" w:history="1">
        <w:r w:rsidRPr="00DE27D9">
          <w:rPr>
            <w:rStyle w:val="Hyperlink"/>
            <w:rFonts w:ascii="GHEA Grapalat" w:hAnsi="GHEA Grapalat" w:cs="Arial"/>
            <w:color w:val="1155CC"/>
            <w:lang w:val="hy-AM"/>
          </w:rPr>
          <w:t>http://www.uohs.cz/download/Legislativa/HS/CR/143_2001_Sb_2017.pdf</w:t>
        </w:r>
      </w:hyperlink>
      <w:r w:rsidRPr="00DE27D9">
        <w:rPr>
          <w:rStyle w:val="Hyperlink"/>
          <w:rFonts w:ascii="GHEA Grapalat" w:hAnsi="GHEA Grapalat" w:cs="Arial"/>
          <w:color w:val="1155CC"/>
          <w:lang w:val="hy-AM"/>
        </w:rPr>
        <w:t>։</w:t>
      </w:r>
    </w:p>
  </w:footnote>
  <w:footnote w:id="5">
    <w:p w14:paraId="719E5C2F" w14:textId="0DC7E76B"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5" w:history="1">
        <w:r w:rsidRPr="00DE27D9">
          <w:rPr>
            <w:rStyle w:val="Hyperlink"/>
            <w:rFonts w:ascii="GHEA Grapalat" w:hAnsi="GHEA Grapalat" w:cs="Arial"/>
            <w:color w:val="1155CC"/>
            <w:lang w:val="hy-AM"/>
          </w:rPr>
          <w:t>https://www.gvh.hu/pfile/file?path=/en/legal_background/jogihatter_tpvt_hataly_20190101_a.pdf1&amp;inline=true</w:t>
        </w:r>
      </w:hyperlink>
      <w:r w:rsidRPr="00DE27D9">
        <w:rPr>
          <w:rStyle w:val="Hyperlink"/>
          <w:rFonts w:ascii="GHEA Grapalat" w:hAnsi="GHEA Grapalat" w:cs="Arial"/>
          <w:color w:val="1155CC"/>
          <w:lang w:val="hy-AM"/>
        </w:rPr>
        <w:t>։</w:t>
      </w:r>
    </w:p>
  </w:footnote>
  <w:footnote w:id="6">
    <w:p w14:paraId="580AF70A" w14:textId="1A9144EC" w:rsidR="009447F6" w:rsidRPr="00DE27D9" w:rsidRDefault="009447F6">
      <w:pPr>
        <w:pStyle w:val="FootnoteText"/>
        <w:rPr>
          <w:rFonts w:ascii="GHEA Grapalat" w:hAnsi="GHEA Grapalat" w:cs="Arial"/>
          <w:color w:val="1155CC"/>
          <w:u w:val="single"/>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6" w:history="1">
        <w:r w:rsidRPr="00DE27D9">
          <w:rPr>
            <w:rStyle w:val="Hyperlink"/>
            <w:rFonts w:ascii="GHEA Grapalat" w:hAnsi="GHEA Grapalat" w:cs="Arial"/>
            <w:color w:val="1155CC"/>
            <w:lang w:val="hy-AM"/>
          </w:rPr>
          <w:t>https://www.antimon.gov.sk/data/files/403_act-no-136_2001-valid-from-172014.pdf</w:t>
        </w:r>
      </w:hyperlink>
      <w:r w:rsidRPr="00DE27D9">
        <w:rPr>
          <w:rStyle w:val="Hyperlink"/>
          <w:rFonts w:ascii="GHEA Grapalat" w:hAnsi="GHEA Grapalat" w:cs="Arial"/>
          <w:color w:val="1155CC"/>
          <w:lang w:val="hy-AM"/>
        </w:rPr>
        <w:t>։</w:t>
      </w:r>
    </w:p>
  </w:footnote>
  <w:footnote w:id="7">
    <w:p w14:paraId="2B0B3754" w14:textId="11EDED6B"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7" w:history="1">
        <w:r w:rsidRPr="00DE27D9">
          <w:rPr>
            <w:rStyle w:val="Hyperlink"/>
            <w:rFonts w:ascii="GHEA Grapalat" w:hAnsi="GHEA Grapalat" w:cs="Arial"/>
            <w:color w:val="1155CC"/>
            <w:lang w:val="hy-AM"/>
          </w:rPr>
          <w:t>http://www.varstvo-konkurence.si/fileadmin/varstvo-konkurence.si/pageuploads/angleska_stran/ZPOMK-1-AN_REV-za_objavo_na_spletu.pdf</w:t>
        </w:r>
      </w:hyperlink>
      <w:r w:rsidRPr="00DE27D9">
        <w:rPr>
          <w:rStyle w:val="Hyperlink"/>
          <w:rFonts w:ascii="GHEA Grapalat" w:hAnsi="GHEA Grapalat" w:cs="Arial"/>
          <w:color w:val="1155CC"/>
          <w:lang w:val="hy-AM"/>
        </w:rPr>
        <w:t>։</w:t>
      </w:r>
    </w:p>
  </w:footnote>
  <w:footnote w:id="8">
    <w:p w14:paraId="06EFB037" w14:textId="2D8ED9CB"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8" w:history="1">
        <w:r w:rsidRPr="00DE27D9">
          <w:rPr>
            <w:rStyle w:val="Hyperlink"/>
            <w:rFonts w:ascii="GHEA Grapalat" w:hAnsi="GHEA Grapalat" w:cs="Arial"/>
            <w:color w:val="1155CC"/>
            <w:lang w:val="hy-AM"/>
          </w:rPr>
          <w:t>http://www.consiliulconcurentei.ro/uploads/docs/concurenta/LEGEA_CONCURENTEI_Nr_21_eng_rev_1.pdf</w:t>
        </w:r>
      </w:hyperlink>
      <w:r w:rsidRPr="00DE27D9">
        <w:rPr>
          <w:rStyle w:val="Hyperlink"/>
          <w:rFonts w:ascii="GHEA Grapalat" w:hAnsi="GHEA Grapalat" w:cs="Arial"/>
          <w:color w:val="1155CC"/>
          <w:lang w:val="hy-AM"/>
        </w:rPr>
        <w:t>։</w:t>
      </w:r>
    </w:p>
  </w:footnote>
  <w:footnote w:id="9">
    <w:p w14:paraId="28E3BB18" w14:textId="37CBCD29" w:rsidR="009447F6" w:rsidRPr="00DE27D9" w:rsidRDefault="009447F6">
      <w:pPr>
        <w:pStyle w:val="FootnoteText"/>
        <w:rPr>
          <w:rFonts w:ascii="GHEA Grapalat" w:hAnsi="GHEA Grapalat" w:cs="Arial"/>
          <w:color w:val="1155CC"/>
          <w:u w:val="single"/>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9" w:history="1">
        <w:r w:rsidRPr="00DE27D9">
          <w:rPr>
            <w:rStyle w:val="Hyperlink"/>
            <w:rFonts w:ascii="GHEA Grapalat" w:hAnsi="GHEA Grapalat" w:cs="Arial"/>
            <w:color w:val="1155CC"/>
            <w:lang w:val="hy-AM"/>
          </w:rPr>
          <w:t>http://www.aztn.hr/ea/wp-content/uploads/2015/06/COMPETITION-ACT-2009.pdf</w:t>
        </w:r>
      </w:hyperlink>
      <w:r w:rsidRPr="00DE27D9">
        <w:rPr>
          <w:rStyle w:val="Hyperlink"/>
          <w:rFonts w:ascii="GHEA Grapalat" w:hAnsi="GHEA Grapalat" w:cs="Arial"/>
          <w:color w:val="1155CC"/>
          <w:lang w:val="hy-AM"/>
        </w:rPr>
        <w:t>։</w:t>
      </w:r>
    </w:p>
  </w:footnote>
  <w:footnote w:id="10">
    <w:p w14:paraId="74E0714E" w14:textId="1CF9BC61"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0" w:history="1">
        <w:r w:rsidRPr="00DE27D9">
          <w:rPr>
            <w:rStyle w:val="Hyperlink"/>
            <w:rFonts w:ascii="GHEA Grapalat" w:hAnsi="GHEA Grapalat" w:cs="Arial"/>
            <w:color w:val="1155CC"/>
            <w:lang w:val="hy-AM"/>
          </w:rPr>
          <w:t>http://www.kzk.gov.rs/kzk/wp-content/uploads/2011/07/Law-on-Protection-of-Competition2.pdf</w:t>
        </w:r>
      </w:hyperlink>
      <w:r w:rsidRPr="00DE27D9">
        <w:rPr>
          <w:rStyle w:val="Hyperlink"/>
          <w:rFonts w:ascii="GHEA Grapalat" w:hAnsi="GHEA Grapalat" w:cs="Arial"/>
          <w:color w:val="1155CC"/>
          <w:lang w:val="hy-AM"/>
        </w:rPr>
        <w:t>։</w:t>
      </w:r>
    </w:p>
  </w:footnote>
  <w:footnote w:id="11">
    <w:p w14:paraId="6E887094" w14:textId="19E564DE"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1" w:history="1">
        <w:r w:rsidRPr="00DE27D9">
          <w:rPr>
            <w:rStyle w:val="Hyperlink"/>
            <w:rFonts w:ascii="GHEA Grapalat" w:hAnsi="GHEA Grapalat" w:cs="Arial"/>
            <w:color w:val="1155CC"/>
            <w:lang w:val="hy-AM"/>
          </w:rPr>
          <w:t>https://www.legislation.gov.au/Details/C2017C00375</w:t>
        </w:r>
      </w:hyperlink>
      <w:r w:rsidRPr="00DE27D9">
        <w:rPr>
          <w:rStyle w:val="Hyperlink"/>
          <w:rFonts w:ascii="GHEA Grapalat" w:hAnsi="GHEA Grapalat" w:cs="Arial"/>
          <w:color w:val="1155CC"/>
          <w:lang w:val="hy-AM"/>
        </w:rPr>
        <w:t>։</w:t>
      </w:r>
    </w:p>
  </w:footnote>
  <w:footnote w:id="12">
    <w:p w14:paraId="2E291674" w14:textId="605F22C7"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2" w:history="1">
        <w:r w:rsidRPr="00DE27D9">
          <w:rPr>
            <w:rStyle w:val="Hyperlink"/>
            <w:rFonts w:ascii="GHEA Grapalat" w:hAnsi="GHEA Grapalat" w:cs="Arial"/>
            <w:color w:val="1155CC"/>
            <w:lang w:val="hy-AM"/>
          </w:rPr>
          <w:t>https://laws.justice.gc.ca/eng/acts/C-34/FullText.html</w:t>
        </w:r>
      </w:hyperlink>
      <w:r w:rsidRPr="00DE27D9">
        <w:rPr>
          <w:rStyle w:val="Hyperlink"/>
          <w:rFonts w:ascii="GHEA Grapalat" w:hAnsi="GHEA Grapalat" w:cs="Arial"/>
          <w:color w:val="1155CC"/>
          <w:lang w:val="hy-AM"/>
        </w:rPr>
        <w:t>։</w:t>
      </w:r>
    </w:p>
  </w:footnote>
  <w:footnote w:id="13">
    <w:p w14:paraId="4BCFFE55" w14:textId="0BEF133C"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3" w:history="1">
        <w:r w:rsidRPr="00DE27D9">
          <w:rPr>
            <w:rStyle w:val="Hyperlink"/>
            <w:rFonts w:ascii="GHEA Grapalat" w:hAnsi="GHEA Grapalat" w:cs="Arial"/>
            <w:color w:val="1155CC"/>
            <w:lang w:val="hy-AM"/>
          </w:rPr>
          <w:t>https://www.cofece.mx/cofece/images/Documentos_Micrositios/Federal_Economic_Competition_Law.pdf</w:t>
        </w:r>
      </w:hyperlink>
      <w:r w:rsidRPr="00DE27D9">
        <w:rPr>
          <w:rStyle w:val="Hyperlink"/>
          <w:rFonts w:ascii="GHEA Grapalat" w:hAnsi="GHEA Grapalat" w:cs="Arial"/>
          <w:color w:val="1155CC"/>
          <w:lang w:val="hy-AM"/>
        </w:rPr>
        <w:t>։</w:t>
      </w:r>
    </w:p>
  </w:footnote>
  <w:footnote w:id="14">
    <w:p w14:paraId="062895BE" w14:textId="3EE617EA"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4" w:anchor="DLM87623" w:history="1">
        <w:r w:rsidRPr="00DE27D9">
          <w:rPr>
            <w:rStyle w:val="Hyperlink"/>
            <w:rFonts w:ascii="GHEA Grapalat" w:hAnsi="GHEA Grapalat" w:cs="Arial"/>
            <w:color w:val="1155CC"/>
            <w:lang w:val="hy-AM"/>
          </w:rPr>
          <w:t>http://www.legislation.govt.nz/act/public/1986/0005/86.0/whole.html#DLM87623</w:t>
        </w:r>
      </w:hyperlink>
      <w:r w:rsidRPr="00DE27D9">
        <w:rPr>
          <w:rStyle w:val="Hyperlink"/>
          <w:rFonts w:ascii="GHEA Grapalat" w:hAnsi="GHEA Grapalat" w:cs="Arial"/>
          <w:color w:val="1155CC"/>
          <w:lang w:val="hy-AM"/>
        </w:rPr>
        <w:t>։</w:t>
      </w:r>
    </w:p>
  </w:footnote>
  <w:footnote w:id="15">
    <w:p w14:paraId="538B1D9A" w14:textId="77435868"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5" w:history="1">
        <w:r w:rsidRPr="00DE27D9">
          <w:rPr>
            <w:rStyle w:val="Hyperlink"/>
            <w:rFonts w:ascii="GHEA Grapalat" w:hAnsi="GHEA Grapalat" w:cs="Arial"/>
            <w:color w:val="1155CC"/>
            <w:lang w:val="hy-AM"/>
          </w:rPr>
          <w:t>http://pravoved.in.ua/section-law/200-zuoaku.html</w:t>
        </w:r>
      </w:hyperlink>
      <w:r w:rsidRPr="00DE27D9">
        <w:rPr>
          <w:rStyle w:val="Hyperlink"/>
          <w:rFonts w:ascii="GHEA Grapalat" w:hAnsi="GHEA Grapalat" w:cs="Arial"/>
          <w:color w:val="1155CC"/>
          <w:lang w:val="hy-AM"/>
        </w:rPr>
        <w:t>։</w:t>
      </w:r>
    </w:p>
  </w:footnote>
  <w:footnote w:id="16">
    <w:p w14:paraId="37798BC3" w14:textId="5331EB25"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6" w:history="1">
        <w:r w:rsidRPr="00DE27D9">
          <w:rPr>
            <w:rStyle w:val="Hyperlink"/>
            <w:rFonts w:ascii="GHEA Grapalat" w:hAnsi="GHEA Grapalat" w:cs="Arial"/>
            <w:color w:val="1155CC"/>
            <w:lang w:val="hy-AM"/>
          </w:rPr>
          <w:t>https://admin.competition.ge/uploads/c75d805e69be45a2be8ef28be02aa85b.pdf</w:t>
        </w:r>
      </w:hyperlink>
      <w:r w:rsidRPr="00DE27D9">
        <w:rPr>
          <w:rStyle w:val="Hyperlink"/>
          <w:rFonts w:ascii="GHEA Grapalat" w:hAnsi="GHEA Grapalat" w:cs="Arial"/>
          <w:color w:val="1155CC"/>
          <w:lang w:val="hy-AM"/>
        </w:rPr>
        <w:t>։</w:t>
      </w:r>
    </w:p>
  </w:footnote>
  <w:footnote w:id="17">
    <w:p w14:paraId="2E2EFB13" w14:textId="2B00CF11"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7" w:history="1">
        <w:r w:rsidRPr="00DE27D9">
          <w:rPr>
            <w:rStyle w:val="Hyperlink"/>
            <w:rFonts w:ascii="GHEA Grapalat" w:hAnsi="GHEA Grapalat" w:cs="Arial"/>
            <w:color w:val="1155CC"/>
            <w:lang w:val="hy-AM"/>
          </w:rPr>
          <w:t>https://competition.md/public/files/Competition-Law-nr-183-from-11072012b4a7c8896b.pdf</w:t>
        </w:r>
      </w:hyperlink>
      <w:r w:rsidRPr="00DE27D9">
        <w:rPr>
          <w:rStyle w:val="Hyperlink"/>
          <w:rFonts w:ascii="GHEA Grapalat" w:hAnsi="GHEA Grapalat" w:cs="Arial"/>
          <w:color w:val="1155CC"/>
          <w:lang w:val="hy-AM"/>
        </w:rPr>
        <w:t>։</w:t>
      </w:r>
    </w:p>
  </w:footnote>
  <w:footnote w:id="18">
    <w:p w14:paraId="5BEA9E83" w14:textId="153775BD"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8" w:history="1">
        <w:r w:rsidRPr="00DE27D9">
          <w:rPr>
            <w:rStyle w:val="Hyperlink"/>
            <w:rFonts w:ascii="GHEA Grapalat" w:hAnsi="GHEA Grapalat" w:cs="Arial"/>
            <w:color w:val="1155CC"/>
            <w:lang w:val="hy-AM"/>
          </w:rPr>
          <w:t>http://www.caa.gov.al/uploads/laws/Law_nr_9121_date_09.05.2012.pdf</w:t>
        </w:r>
      </w:hyperlink>
      <w:r w:rsidRPr="00DE27D9">
        <w:rPr>
          <w:rStyle w:val="Hyperlink"/>
          <w:rFonts w:ascii="GHEA Grapalat" w:hAnsi="GHEA Grapalat" w:cs="Arial"/>
          <w:color w:val="1155CC"/>
          <w:lang w:val="hy-AM"/>
        </w:rPr>
        <w:t>։</w:t>
      </w:r>
    </w:p>
  </w:footnote>
  <w:footnote w:id="19">
    <w:p w14:paraId="7FCCF564" w14:textId="03B64D86"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19" w:history="1">
        <w:r w:rsidRPr="00DE27D9">
          <w:rPr>
            <w:rStyle w:val="Hyperlink"/>
            <w:rFonts w:ascii="GHEA Grapalat" w:hAnsi="GHEA Grapalat" w:cs="Arial"/>
            <w:color w:val="1155CC"/>
            <w:lang w:val="hy-AM"/>
          </w:rPr>
          <w:t>http://kzk.gov.mk/wp-content/uploads/2019/09/LPC-145-2010.doc</w:t>
        </w:r>
      </w:hyperlink>
      <w:r w:rsidRPr="00DE27D9">
        <w:rPr>
          <w:rStyle w:val="Hyperlink"/>
          <w:rFonts w:ascii="GHEA Grapalat" w:hAnsi="GHEA Grapalat" w:cs="Arial"/>
          <w:color w:val="1155CC"/>
          <w:lang w:val="hy-AM"/>
        </w:rPr>
        <w:t>։</w:t>
      </w:r>
    </w:p>
  </w:footnote>
  <w:footnote w:id="20">
    <w:p w14:paraId="415C2155" w14:textId="39416A09"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20" w:history="1">
        <w:r w:rsidRPr="00DE27D9">
          <w:rPr>
            <w:rStyle w:val="Hyperlink"/>
            <w:rFonts w:ascii="GHEA Grapalat" w:hAnsi="GHEA Grapalat" w:cs="Arial"/>
            <w:color w:val="1155CC"/>
            <w:lang w:val="hy-AM"/>
          </w:rPr>
          <w:t>http://bihkonk.gov.ba/en/competition-act-unofficial-consolidated-text.html</w:t>
        </w:r>
      </w:hyperlink>
      <w:r w:rsidRPr="00DE27D9">
        <w:rPr>
          <w:rStyle w:val="Hyperlink"/>
          <w:rFonts w:ascii="GHEA Grapalat" w:hAnsi="GHEA Grapalat" w:cs="Arial"/>
          <w:color w:val="1155CC"/>
          <w:lang w:val="hy-AM"/>
        </w:rPr>
        <w:t>։</w:t>
      </w:r>
    </w:p>
  </w:footnote>
  <w:footnote w:id="21">
    <w:p w14:paraId="60C677F4" w14:textId="4CB3F54F"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w:t>
      </w:r>
      <w:hyperlink r:id="rId21" w:history="1">
        <w:r w:rsidRPr="00DE27D9">
          <w:rPr>
            <w:rStyle w:val="Hyperlink"/>
            <w:rFonts w:ascii="GHEA Grapalat" w:hAnsi="GHEA Grapalat" w:cs="Arial"/>
            <w:color w:val="1155CC"/>
            <w:lang w:val="hy-AM"/>
          </w:rPr>
          <w:t>http://www.compcom.co.za/wp-content/uploads/2017/11/pocket-act-august-20141.pdf</w:t>
        </w:r>
      </w:hyperlink>
      <w:r w:rsidRPr="00DE27D9">
        <w:rPr>
          <w:rStyle w:val="Hyperlink"/>
          <w:rFonts w:ascii="GHEA Grapalat" w:hAnsi="GHEA Grapalat" w:cs="Arial"/>
          <w:color w:val="1155CC"/>
          <w:lang w:val="hy-AM"/>
        </w:rPr>
        <w:t>։</w:t>
      </w:r>
    </w:p>
  </w:footnote>
  <w:footnote w:id="22">
    <w:p w14:paraId="7F542BF4" w14:textId="6D61A53C" w:rsidR="009447F6" w:rsidRPr="00DE27D9" w:rsidRDefault="009447F6" w:rsidP="001F708C">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rPr>
        <w:t xml:space="preserve"> </w:t>
      </w:r>
      <w:r w:rsidRPr="00DE27D9">
        <w:rPr>
          <w:rFonts w:ascii="GHEA Grapalat" w:hAnsi="GHEA Grapalat"/>
          <w:lang w:val="hy-AM"/>
        </w:rPr>
        <w:t xml:space="preserve">Տե՛ս </w:t>
      </w:r>
      <w:r w:rsidRPr="00DE27D9">
        <w:rPr>
          <w:rFonts w:ascii="GHEA Grapalat" w:hAnsi="GHEA Grapalat"/>
        </w:rPr>
        <w:t>An Increasing Role For Competition In The Regulation Of Banks, Antitrust Enforcement In Regulated Sectors, International Competition Network, Bonn, June 2005</w:t>
      </w:r>
      <w:r w:rsidRPr="00DE27D9">
        <w:rPr>
          <w:rFonts w:ascii="GHEA Grapalat" w:hAnsi="GHEA Grapalat"/>
          <w:lang w:val="hy-AM"/>
        </w:rPr>
        <w:t>,</w:t>
      </w:r>
      <w:r w:rsidRPr="00DE27D9">
        <w:rPr>
          <w:rFonts w:ascii="GHEA Grapalat" w:hAnsi="GHEA Grapalat"/>
        </w:rPr>
        <w:t xml:space="preserve"> </w:t>
      </w:r>
      <w:r w:rsidRPr="00DE27D9">
        <w:rPr>
          <w:rFonts w:ascii="GHEA Grapalat" w:hAnsi="GHEA Grapalat"/>
          <w:lang w:val="hy-AM"/>
        </w:rPr>
        <w:t xml:space="preserve">էջ 18-22 </w:t>
      </w:r>
      <w:r w:rsidRPr="00DE27D9">
        <w:rPr>
          <w:rFonts w:ascii="GHEA Grapalat" w:hAnsi="GHEA Grapalat"/>
        </w:rPr>
        <w:t>(</w:t>
      </w:r>
      <w:hyperlink r:id="rId22" w:history="1">
        <w:r w:rsidRPr="00DE27D9">
          <w:rPr>
            <w:rStyle w:val="Hyperlink"/>
            <w:rFonts w:ascii="GHEA Grapalat" w:hAnsi="GHEA Grapalat"/>
          </w:rPr>
          <w:t>https://www.internationalcompetitionnetwork.org/wp-content/uploads/2019/11/AERSBankingReport2005.pdf</w:t>
        </w:r>
      </w:hyperlink>
      <w:r w:rsidRPr="00DE27D9">
        <w:rPr>
          <w:rFonts w:ascii="GHEA Grapalat" w:hAnsi="GHEA Grapalat"/>
        </w:rPr>
        <w:t>)</w:t>
      </w:r>
      <w:r w:rsidRPr="00DE27D9">
        <w:rPr>
          <w:rFonts w:ascii="GHEA Grapalat" w:hAnsi="GHEA Grapalat"/>
          <w:lang w:val="hy-AM"/>
        </w:rPr>
        <w:t>։</w:t>
      </w:r>
    </w:p>
  </w:footnote>
  <w:footnote w:id="23">
    <w:p w14:paraId="61440CCC" w14:textId="68F05301" w:rsidR="009447F6" w:rsidRPr="00DE27D9" w:rsidRDefault="009447F6" w:rsidP="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rPr>
        <w:t xml:space="preserve"> Working Party No. 2 on Competition and Regulation, Directorate For Financial And Enterprise Affairs, Competition Committee, OECD, 22 October 2019, </w:t>
      </w:r>
      <w:r w:rsidRPr="00DE27D9">
        <w:rPr>
          <w:rFonts w:ascii="GHEA Grapalat" w:hAnsi="GHEA Grapalat"/>
          <w:lang w:val="hy-AM"/>
        </w:rPr>
        <w:t xml:space="preserve">էջ 7, </w:t>
      </w:r>
      <w:r w:rsidRPr="00DE27D9">
        <w:rPr>
          <w:rFonts w:ascii="GHEA Grapalat" w:hAnsi="GHEA Grapalat"/>
        </w:rPr>
        <w:t>(</w:t>
      </w:r>
      <w:hyperlink r:id="rId23" w:history="1">
        <w:r w:rsidRPr="00DE27D9">
          <w:rPr>
            <w:rStyle w:val="Hyperlink"/>
            <w:rFonts w:ascii="GHEA Grapalat" w:hAnsi="GHEA Grapalat"/>
          </w:rPr>
          <w:t>https://one.oecd.org/document/DAF/COMP/WP2(2019)3/en/pdf</w:t>
        </w:r>
      </w:hyperlink>
      <w:r w:rsidRPr="00DE27D9">
        <w:rPr>
          <w:rFonts w:ascii="GHEA Grapalat" w:hAnsi="GHEA Grapalat"/>
        </w:rPr>
        <w:t>)</w:t>
      </w:r>
      <w:r w:rsidRPr="00DE27D9">
        <w:rPr>
          <w:rFonts w:ascii="GHEA Grapalat" w:hAnsi="GHEA Grapalat"/>
          <w:lang w:val="hy-AM"/>
        </w:rPr>
        <w:t>։</w:t>
      </w:r>
    </w:p>
  </w:footnote>
  <w:footnote w:id="24">
    <w:p w14:paraId="68DF9CF7" w14:textId="565B3409" w:rsidR="00E16F34" w:rsidRPr="00DE27D9" w:rsidRDefault="00E16F34">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rPr>
        <w:t xml:space="preserve"> </w:t>
      </w:r>
      <w:r w:rsidRPr="00DE27D9">
        <w:rPr>
          <w:rFonts w:ascii="GHEA Grapalat" w:hAnsi="GHEA Grapalat"/>
          <w:lang w:val="hy-AM"/>
        </w:rPr>
        <w:t>Նույն տեղում էջ 26։</w:t>
      </w:r>
    </w:p>
  </w:footnote>
  <w:footnote w:id="25">
    <w:p w14:paraId="3942FEFB" w14:textId="0B4A2767" w:rsidR="009447F6" w:rsidRPr="00DE27D9" w:rsidRDefault="009447F6" w:rsidP="005D609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Competition, Competitiveness And Development:</w:t>
      </w:r>
      <w:r w:rsidRPr="00DE27D9">
        <w:rPr>
          <w:rFonts w:ascii="GHEA Grapalat" w:hAnsi="GHEA Grapalat"/>
        </w:rPr>
        <w:t xml:space="preserve"> </w:t>
      </w:r>
      <w:r w:rsidRPr="00DE27D9">
        <w:rPr>
          <w:rFonts w:ascii="GHEA Grapalat" w:hAnsi="GHEA Grapalat"/>
          <w:lang w:val="hy-AM"/>
        </w:rPr>
        <w:t>Lessons From Developing Countries</w:t>
      </w:r>
      <w:r w:rsidRPr="00DE27D9">
        <w:rPr>
          <w:rFonts w:ascii="GHEA Grapalat" w:hAnsi="GHEA Grapalat"/>
        </w:rPr>
        <w:t>, United Nations Conference on Trade and Development, United Nations, New York and Geneva, 2004</w:t>
      </w:r>
      <w:r w:rsidRPr="00DE27D9">
        <w:rPr>
          <w:rFonts w:ascii="GHEA Grapalat" w:hAnsi="GHEA Grapalat"/>
          <w:lang w:val="hy-AM"/>
        </w:rPr>
        <w:t xml:space="preserve"> էջ 8-10 </w:t>
      </w:r>
      <w:r w:rsidRPr="00DE27D9">
        <w:rPr>
          <w:rFonts w:ascii="GHEA Grapalat" w:hAnsi="GHEA Grapalat"/>
        </w:rPr>
        <w:t>(</w:t>
      </w:r>
      <w:hyperlink r:id="rId24" w:history="1">
        <w:r w:rsidRPr="00DE27D9">
          <w:rPr>
            <w:rStyle w:val="Hyperlink"/>
            <w:rFonts w:ascii="GHEA Grapalat" w:hAnsi="GHEA Grapalat"/>
            <w:lang w:val="hy-AM"/>
          </w:rPr>
          <w:t>http://unctad.org/en/Docs/ditcclp20041_en.pdf</w:t>
        </w:r>
      </w:hyperlink>
      <w:r w:rsidRPr="00DE27D9">
        <w:rPr>
          <w:rFonts w:ascii="GHEA Grapalat" w:hAnsi="GHEA Grapalat"/>
        </w:rPr>
        <w:t>)</w:t>
      </w:r>
      <w:r w:rsidRPr="00DE27D9">
        <w:rPr>
          <w:rFonts w:ascii="GHEA Grapalat" w:hAnsi="GHEA Grapalat"/>
          <w:lang w:val="hy-AM"/>
        </w:rPr>
        <w:t>,  The Benefit of Competition Policy for Consumers</w:t>
      </w:r>
      <w:r w:rsidRPr="00DE27D9">
        <w:rPr>
          <w:rFonts w:ascii="GHEA Grapalat" w:hAnsi="GHEA Grapalat"/>
        </w:rPr>
        <w:t>, Intergovernmental Group of Experts on Competition Law and</w:t>
      </w:r>
      <w:r w:rsidRPr="00DE27D9">
        <w:rPr>
          <w:rFonts w:ascii="GHEA Grapalat" w:hAnsi="GHEA Grapalat"/>
          <w:lang w:val="hy-AM"/>
        </w:rPr>
        <w:t xml:space="preserve"> </w:t>
      </w:r>
      <w:r w:rsidRPr="00DE27D9">
        <w:rPr>
          <w:rFonts w:ascii="GHEA Grapalat" w:hAnsi="GHEA Grapalat"/>
        </w:rPr>
        <w:t xml:space="preserve">Policy, Fourteenth Session, Geneva, 8-10 July 2014, </w:t>
      </w:r>
      <w:r w:rsidRPr="00DE27D9">
        <w:rPr>
          <w:rFonts w:ascii="GHEA Grapalat" w:hAnsi="GHEA Grapalat"/>
          <w:lang w:val="hy-AM"/>
        </w:rPr>
        <w:t xml:space="preserve">էջ 8-9, </w:t>
      </w:r>
      <w:r w:rsidRPr="00DE27D9">
        <w:rPr>
          <w:rFonts w:ascii="GHEA Grapalat" w:hAnsi="GHEA Grapalat"/>
        </w:rPr>
        <w:t>(</w:t>
      </w:r>
      <w:hyperlink r:id="rId25" w:history="1">
        <w:r w:rsidRPr="00DE27D9">
          <w:rPr>
            <w:rStyle w:val="Hyperlink"/>
            <w:rFonts w:ascii="GHEA Grapalat" w:hAnsi="GHEA Grapalat"/>
            <w:lang w:val="hy-AM"/>
          </w:rPr>
          <w:t>http://unctad.org/en/Docs/tdrbpconf7d3_en.pdf</w:t>
        </w:r>
      </w:hyperlink>
      <w:r w:rsidRPr="00DE27D9">
        <w:rPr>
          <w:rFonts w:ascii="GHEA Grapalat" w:hAnsi="GHEA Grapalat"/>
        </w:rPr>
        <w:t xml:space="preserve">), The role of competition policy in promoting economic development: The appropriate design and effectiveness of competition law and policy, Sixth United Nations Conference to Review All Aspects of the Set of Multilaterally Agreed Equitable Principles and Rules for the Control of Restrictive Business Practices, Geneva, 8–12 November 2010, </w:t>
      </w:r>
      <w:r w:rsidRPr="00DE27D9">
        <w:rPr>
          <w:rFonts w:ascii="GHEA Grapalat" w:hAnsi="GHEA Grapalat"/>
          <w:lang w:val="hy-AM"/>
        </w:rPr>
        <w:t>էջ 8</w:t>
      </w:r>
      <w:r w:rsidRPr="00DE27D9">
        <w:rPr>
          <w:rFonts w:ascii="GHEA Grapalat" w:hAnsi="GHEA Grapalat"/>
        </w:rPr>
        <w:t xml:space="preserve"> (</w:t>
      </w:r>
      <w:hyperlink r:id="rId26" w:history="1">
        <w:r w:rsidRPr="00DE27D9">
          <w:rPr>
            <w:rStyle w:val="Hyperlink"/>
            <w:rFonts w:ascii="GHEA Grapalat" w:hAnsi="GHEA Grapalat"/>
          </w:rPr>
          <w:t>https://unctad.org/system/files/official-document/tdrbpconf7d3_en.pdf</w:t>
        </w:r>
      </w:hyperlink>
      <w:r w:rsidRPr="00DE27D9">
        <w:rPr>
          <w:rFonts w:ascii="GHEA Grapalat" w:hAnsi="GHEA Grapalat"/>
        </w:rPr>
        <w:t>)</w:t>
      </w:r>
      <w:r w:rsidRPr="00DE27D9">
        <w:rPr>
          <w:rFonts w:ascii="GHEA Grapalat" w:hAnsi="GHEA Grapalat"/>
          <w:lang w:val="hy-AM"/>
        </w:rPr>
        <w:t>։</w:t>
      </w:r>
    </w:p>
  </w:footnote>
  <w:footnote w:id="26">
    <w:p w14:paraId="592C1C36" w14:textId="59C6D3AE" w:rsidR="009447F6" w:rsidRPr="00DE27D9" w:rsidRDefault="009447F6">
      <w:pPr>
        <w:pStyle w:val="FootnoteText"/>
        <w:rPr>
          <w:rFonts w:ascii="GHEA Grapalat" w:hAnsi="GHEA Grapalat"/>
          <w:lang w:val="hy-AM"/>
        </w:rPr>
      </w:pPr>
      <w:r w:rsidRPr="00DE27D9">
        <w:rPr>
          <w:rStyle w:val="FootnoteReference"/>
          <w:rFonts w:ascii="GHEA Grapalat" w:hAnsi="GHEA Grapalat"/>
        </w:rPr>
        <w:footnoteRef/>
      </w:r>
      <w:r w:rsidRPr="00DE27D9">
        <w:rPr>
          <w:rFonts w:ascii="GHEA Grapalat" w:hAnsi="GHEA Grapalat"/>
          <w:lang w:val="hy-AM"/>
        </w:rPr>
        <w:t xml:space="preserve"> Տես https://unctad.org/en/PublicationsLibrary/diaepcb2019d3_en.pdf հղումով։</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58FA"/>
    <w:multiLevelType w:val="hybridMultilevel"/>
    <w:tmpl w:val="BC209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F2B42"/>
    <w:multiLevelType w:val="hybridMultilevel"/>
    <w:tmpl w:val="272403A8"/>
    <w:lvl w:ilvl="0" w:tplc="736A1A58">
      <w:start w:val="1"/>
      <w:numFmt w:val="decimal"/>
      <w:lvlText w:val="%1."/>
      <w:lvlJc w:val="left"/>
      <w:pPr>
        <w:ind w:left="720" w:hanging="360"/>
      </w:pPr>
      <w:rPr>
        <w:rFonts w:ascii="GHEA Grapalat" w:eastAsia="Times New Roman" w:hAnsi="GHEA Grapalat" w:cs="Times New Roman" w:hint="default"/>
        <w:color w:val="273845"/>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7346B"/>
    <w:multiLevelType w:val="hybridMultilevel"/>
    <w:tmpl w:val="4E464F94"/>
    <w:lvl w:ilvl="0" w:tplc="580890CA">
      <w:start w:val="1"/>
      <w:numFmt w:val="decimal"/>
      <w:lvlText w:val="%1."/>
      <w:lvlJc w:val="left"/>
      <w:pPr>
        <w:ind w:left="900" w:hanging="360"/>
      </w:pPr>
      <w:rPr>
        <w:rFonts w:cs="Arial"/>
        <w:i w:val="0"/>
        <w:color w:val="auto"/>
      </w:rPr>
    </w:lvl>
    <w:lvl w:ilvl="1" w:tplc="04090019">
      <w:start w:val="1"/>
      <w:numFmt w:val="lowerLetter"/>
      <w:lvlText w:val="%2."/>
      <w:lvlJc w:val="left"/>
      <w:pPr>
        <w:ind w:left="1791" w:hanging="360"/>
      </w:pPr>
    </w:lvl>
    <w:lvl w:ilvl="2" w:tplc="0409001B">
      <w:start w:val="1"/>
      <w:numFmt w:val="lowerRoman"/>
      <w:lvlText w:val="%3."/>
      <w:lvlJc w:val="right"/>
      <w:pPr>
        <w:ind w:left="2511" w:hanging="180"/>
      </w:pPr>
    </w:lvl>
    <w:lvl w:ilvl="3" w:tplc="0409000F">
      <w:start w:val="1"/>
      <w:numFmt w:val="decimal"/>
      <w:lvlText w:val="%4."/>
      <w:lvlJc w:val="left"/>
      <w:pPr>
        <w:ind w:left="3231" w:hanging="360"/>
      </w:pPr>
    </w:lvl>
    <w:lvl w:ilvl="4" w:tplc="04090019">
      <w:start w:val="1"/>
      <w:numFmt w:val="lowerLetter"/>
      <w:lvlText w:val="%5."/>
      <w:lvlJc w:val="left"/>
      <w:pPr>
        <w:ind w:left="3951" w:hanging="360"/>
      </w:pPr>
    </w:lvl>
    <w:lvl w:ilvl="5" w:tplc="0409001B">
      <w:start w:val="1"/>
      <w:numFmt w:val="lowerRoman"/>
      <w:lvlText w:val="%6."/>
      <w:lvlJc w:val="right"/>
      <w:pPr>
        <w:ind w:left="4671" w:hanging="180"/>
      </w:pPr>
    </w:lvl>
    <w:lvl w:ilvl="6" w:tplc="0409000F">
      <w:start w:val="1"/>
      <w:numFmt w:val="decimal"/>
      <w:lvlText w:val="%7."/>
      <w:lvlJc w:val="left"/>
      <w:pPr>
        <w:ind w:left="5391" w:hanging="360"/>
      </w:pPr>
    </w:lvl>
    <w:lvl w:ilvl="7" w:tplc="04090019">
      <w:start w:val="1"/>
      <w:numFmt w:val="lowerLetter"/>
      <w:lvlText w:val="%8."/>
      <w:lvlJc w:val="left"/>
      <w:pPr>
        <w:ind w:left="6111" w:hanging="360"/>
      </w:pPr>
    </w:lvl>
    <w:lvl w:ilvl="8" w:tplc="0409001B">
      <w:start w:val="1"/>
      <w:numFmt w:val="lowerRoman"/>
      <w:lvlText w:val="%9."/>
      <w:lvlJc w:val="right"/>
      <w:pPr>
        <w:ind w:left="6831" w:hanging="180"/>
      </w:pPr>
    </w:lvl>
  </w:abstractNum>
  <w:abstractNum w:abstractNumId="3" w15:restartNumberingAfterBreak="0">
    <w:nsid w:val="11326C47"/>
    <w:multiLevelType w:val="hybridMultilevel"/>
    <w:tmpl w:val="F1247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047D8"/>
    <w:multiLevelType w:val="hybridMultilevel"/>
    <w:tmpl w:val="AC0E3AB8"/>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A1025C"/>
    <w:multiLevelType w:val="hybridMultilevel"/>
    <w:tmpl w:val="C21099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591813"/>
    <w:multiLevelType w:val="hybridMultilevel"/>
    <w:tmpl w:val="C0DA1A10"/>
    <w:lvl w:ilvl="0" w:tplc="D2603D36">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27979CD"/>
    <w:multiLevelType w:val="multilevel"/>
    <w:tmpl w:val="766A1BD0"/>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D12FAE"/>
    <w:multiLevelType w:val="hybridMultilevel"/>
    <w:tmpl w:val="54BE5E66"/>
    <w:lvl w:ilvl="0" w:tplc="553AFCBC">
      <w:start w:val="1"/>
      <w:numFmt w:val="decimal"/>
      <w:lvlText w:val="%1."/>
      <w:lvlJc w:val="left"/>
      <w:pPr>
        <w:ind w:left="389" w:hanging="360"/>
      </w:pPr>
      <w:rPr>
        <w:rFonts w:ascii="GHEA Grapalat" w:eastAsia="Times New Roman" w:hAnsi="GHEA Grapalat" w:cs="Times New Roman" w:hint="default"/>
        <w:color w:val="273845"/>
        <w:sz w:val="20"/>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9" w15:restartNumberingAfterBreak="0">
    <w:nsid w:val="36F92583"/>
    <w:multiLevelType w:val="hybridMultilevel"/>
    <w:tmpl w:val="1F568A66"/>
    <w:lvl w:ilvl="0" w:tplc="7EAC0AA0">
      <w:start w:val="21"/>
      <w:numFmt w:val="decimal"/>
      <w:lvlText w:val="%1."/>
      <w:lvlJc w:val="left"/>
      <w:pPr>
        <w:ind w:left="1260" w:hanging="360"/>
      </w:pPr>
      <w:rPr>
        <w:rFonts w:cs="Sylfae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39E42FA6"/>
    <w:multiLevelType w:val="hybridMultilevel"/>
    <w:tmpl w:val="17E61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FE07EA"/>
    <w:multiLevelType w:val="hybridMultilevel"/>
    <w:tmpl w:val="3EC47762"/>
    <w:lvl w:ilvl="0" w:tplc="4C4EB10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1C60B5C"/>
    <w:multiLevelType w:val="hybridMultilevel"/>
    <w:tmpl w:val="4C40C206"/>
    <w:lvl w:ilvl="0" w:tplc="FEB632B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44227C78"/>
    <w:multiLevelType w:val="hybridMultilevel"/>
    <w:tmpl w:val="D1125D14"/>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556E9"/>
    <w:multiLevelType w:val="hybridMultilevel"/>
    <w:tmpl w:val="AC84F0C2"/>
    <w:lvl w:ilvl="0" w:tplc="BF4A070C">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487404"/>
    <w:multiLevelType w:val="hybridMultilevel"/>
    <w:tmpl w:val="EDA2F8C0"/>
    <w:lvl w:ilvl="0" w:tplc="A1EEDA80">
      <w:start w:val="1"/>
      <w:numFmt w:val="decimal"/>
      <w:lvlText w:val="%1."/>
      <w:lvlJc w:val="left"/>
      <w:pPr>
        <w:ind w:left="720" w:hanging="360"/>
      </w:pPr>
      <w:rPr>
        <w:rFonts w:ascii="GHEA Grapalat" w:eastAsia="Times New Roman" w:hAnsi="GHEA Grapalat"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BF0C6B"/>
    <w:multiLevelType w:val="hybridMultilevel"/>
    <w:tmpl w:val="D4567D6E"/>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6"/>
  </w:num>
  <w:num w:numId="4">
    <w:abstractNumId w:val="11"/>
  </w:num>
  <w:num w:numId="5">
    <w:abstractNumId w:val="0"/>
  </w:num>
  <w:num w:numId="6">
    <w:abstractNumId w:val="1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7"/>
  </w:num>
  <w:num w:numId="11">
    <w:abstractNumId w:val="9"/>
  </w:num>
  <w:num w:numId="12">
    <w:abstractNumId w:val="5"/>
  </w:num>
  <w:num w:numId="13">
    <w:abstractNumId w:val="4"/>
  </w:num>
  <w:num w:numId="14">
    <w:abstractNumId w:val="1"/>
  </w:num>
  <w:num w:numId="15">
    <w:abstractNumId w:val="15"/>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B4E"/>
    <w:rsid w:val="00002EDE"/>
    <w:rsid w:val="00005984"/>
    <w:rsid w:val="00006307"/>
    <w:rsid w:val="000064F7"/>
    <w:rsid w:val="00006B24"/>
    <w:rsid w:val="0000741F"/>
    <w:rsid w:val="000074A3"/>
    <w:rsid w:val="00007A2F"/>
    <w:rsid w:val="000113C4"/>
    <w:rsid w:val="00012A27"/>
    <w:rsid w:val="000140EE"/>
    <w:rsid w:val="00015473"/>
    <w:rsid w:val="0002463D"/>
    <w:rsid w:val="00024899"/>
    <w:rsid w:val="000266BF"/>
    <w:rsid w:val="00030DBB"/>
    <w:rsid w:val="000313BC"/>
    <w:rsid w:val="00033473"/>
    <w:rsid w:val="00035BA3"/>
    <w:rsid w:val="000366D0"/>
    <w:rsid w:val="00036B70"/>
    <w:rsid w:val="00037013"/>
    <w:rsid w:val="00041347"/>
    <w:rsid w:val="00042B8B"/>
    <w:rsid w:val="0004338D"/>
    <w:rsid w:val="0004731B"/>
    <w:rsid w:val="00052A14"/>
    <w:rsid w:val="00053624"/>
    <w:rsid w:val="000603FF"/>
    <w:rsid w:val="0006095F"/>
    <w:rsid w:val="00063C97"/>
    <w:rsid w:val="00072AEB"/>
    <w:rsid w:val="00080C55"/>
    <w:rsid w:val="00083804"/>
    <w:rsid w:val="00084EC7"/>
    <w:rsid w:val="00085AC7"/>
    <w:rsid w:val="0008688D"/>
    <w:rsid w:val="000A32D7"/>
    <w:rsid w:val="000A3C49"/>
    <w:rsid w:val="000A703A"/>
    <w:rsid w:val="000B25CE"/>
    <w:rsid w:val="000B3F28"/>
    <w:rsid w:val="000B5F35"/>
    <w:rsid w:val="000B6F3B"/>
    <w:rsid w:val="000C17B1"/>
    <w:rsid w:val="000C5C50"/>
    <w:rsid w:val="000D0FC3"/>
    <w:rsid w:val="000E2966"/>
    <w:rsid w:val="000E4690"/>
    <w:rsid w:val="000E545A"/>
    <w:rsid w:val="000E6AE1"/>
    <w:rsid w:val="000F0085"/>
    <w:rsid w:val="000F188C"/>
    <w:rsid w:val="000F2637"/>
    <w:rsid w:val="000F3C61"/>
    <w:rsid w:val="0010413D"/>
    <w:rsid w:val="001054EB"/>
    <w:rsid w:val="00110AC0"/>
    <w:rsid w:val="00110DC5"/>
    <w:rsid w:val="0011153E"/>
    <w:rsid w:val="00113F27"/>
    <w:rsid w:val="001171E2"/>
    <w:rsid w:val="00120400"/>
    <w:rsid w:val="001259A1"/>
    <w:rsid w:val="00126715"/>
    <w:rsid w:val="00126771"/>
    <w:rsid w:val="001272FD"/>
    <w:rsid w:val="001301E1"/>
    <w:rsid w:val="0015127E"/>
    <w:rsid w:val="00151F20"/>
    <w:rsid w:val="00152DB7"/>
    <w:rsid w:val="0015497E"/>
    <w:rsid w:val="00156F69"/>
    <w:rsid w:val="00157921"/>
    <w:rsid w:val="0016064A"/>
    <w:rsid w:val="00166954"/>
    <w:rsid w:val="00175623"/>
    <w:rsid w:val="0018045B"/>
    <w:rsid w:val="00181ADC"/>
    <w:rsid w:val="00184EC0"/>
    <w:rsid w:val="00185676"/>
    <w:rsid w:val="0018726C"/>
    <w:rsid w:val="001909BF"/>
    <w:rsid w:val="00192E76"/>
    <w:rsid w:val="001934AE"/>
    <w:rsid w:val="00195AA8"/>
    <w:rsid w:val="001A201A"/>
    <w:rsid w:val="001B5A41"/>
    <w:rsid w:val="001B7609"/>
    <w:rsid w:val="001C003D"/>
    <w:rsid w:val="001C1AF9"/>
    <w:rsid w:val="001C243F"/>
    <w:rsid w:val="001D1353"/>
    <w:rsid w:val="001D3AC6"/>
    <w:rsid w:val="001D561A"/>
    <w:rsid w:val="001D7E69"/>
    <w:rsid w:val="001E596D"/>
    <w:rsid w:val="001E757B"/>
    <w:rsid w:val="001E7A42"/>
    <w:rsid w:val="001F6FDC"/>
    <w:rsid w:val="001F708C"/>
    <w:rsid w:val="00206FF2"/>
    <w:rsid w:val="002100CF"/>
    <w:rsid w:val="00213030"/>
    <w:rsid w:val="00230AE2"/>
    <w:rsid w:val="00231A51"/>
    <w:rsid w:val="00232695"/>
    <w:rsid w:val="00240EE7"/>
    <w:rsid w:val="00241A8C"/>
    <w:rsid w:val="00241E09"/>
    <w:rsid w:val="00242ABA"/>
    <w:rsid w:val="002528EC"/>
    <w:rsid w:val="00260C94"/>
    <w:rsid w:val="00261DF8"/>
    <w:rsid w:val="00262B47"/>
    <w:rsid w:val="00263867"/>
    <w:rsid w:val="00266747"/>
    <w:rsid w:val="002742C0"/>
    <w:rsid w:val="00286C27"/>
    <w:rsid w:val="00290520"/>
    <w:rsid w:val="002914F6"/>
    <w:rsid w:val="00291A23"/>
    <w:rsid w:val="00292288"/>
    <w:rsid w:val="00295BB0"/>
    <w:rsid w:val="002B15E3"/>
    <w:rsid w:val="002B3C04"/>
    <w:rsid w:val="002B6802"/>
    <w:rsid w:val="002C0DC2"/>
    <w:rsid w:val="002C3338"/>
    <w:rsid w:val="002C4D80"/>
    <w:rsid w:val="002D0F8C"/>
    <w:rsid w:val="002D4605"/>
    <w:rsid w:val="002E1A1C"/>
    <w:rsid w:val="002E6CB4"/>
    <w:rsid w:val="002F5034"/>
    <w:rsid w:val="00304DE9"/>
    <w:rsid w:val="003061FC"/>
    <w:rsid w:val="0030753D"/>
    <w:rsid w:val="00314197"/>
    <w:rsid w:val="0031430C"/>
    <w:rsid w:val="00316F66"/>
    <w:rsid w:val="0031766C"/>
    <w:rsid w:val="0032048F"/>
    <w:rsid w:val="003212E7"/>
    <w:rsid w:val="00323E7D"/>
    <w:rsid w:val="00327E3C"/>
    <w:rsid w:val="00330537"/>
    <w:rsid w:val="003318DE"/>
    <w:rsid w:val="00340640"/>
    <w:rsid w:val="00340A38"/>
    <w:rsid w:val="00345D65"/>
    <w:rsid w:val="00347725"/>
    <w:rsid w:val="00351AF5"/>
    <w:rsid w:val="00354E0A"/>
    <w:rsid w:val="0036086F"/>
    <w:rsid w:val="00365227"/>
    <w:rsid w:val="00370612"/>
    <w:rsid w:val="003734CA"/>
    <w:rsid w:val="00373D3E"/>
    <w:rsid w:val="00377215"/>
    <w:rsid w:val="003817E2"/>
    <w:rsid w:val="003819C6"/>
    <w:rsid w:val="0038225F"/>
    <w:rsid w:val="00385137"/>
    <w:rsid w:val="00394287"/>
    <w:rsid w:val="0039434B"/>
    <w:rsid w:val="003978B6"/>
    <w:rsid w:val="003A2DF9"/>
    <w:rsid w:val="003B2753"/>
    <w:rsid w:val="003B38C1"/>
    <w:rsid w:val="003B6D75"/>
    <w:rsid w:val="003B7B1F"/>
    <w:rsid w:val="003C03C4"/>
    <w:rsid w:val="003C5664"/>
    <w:rsid w:val="003C5FB5"/>
    <w:rsid w:val="003D1CB8"/>
    <w:rsid w:val="003D3AC3"/>
    <w:rsid w:val="003D6582"/>
    <w:rsid w:val="003D6CE2"/>
    <w:rsid w:val="003E0F18"/>
    <w:rsid w:val="003E0F7F"/>
    <w:rsid w:val="003E1F13"/>
    <w:rsid w:val="003E752F"/>
    <w:rsid w:val="003F2655"/>
    <w:rsid w:val="003F34AC"/>
    <w:rsid w:val="003F5BC0"/>
    <w:rsid w:val="004014D3"/>
    <w:rsid w:val="004029FC"/>
    <w:rsid w:val="00406F67"/>
    <w:rsid w:val="0041157D"/>
    <w:rsid w:val="00417A2E"/>
    <w:rsid w:val="004216BE"/>
    <w:rsid w:val="00426781"/>
    <w:rsid w:val="00432922"/>
    <w:rsid w:val="00433809"/>
    <w:rsid w:val="004374BA"/>
    <w:rsid w:val="004443E2"/>
    <w:rsid w:val="004464C7"/>
    <w:rsid w:val="00460D04"/>
    <w:rsid w:val="0046235B"/>
    <w:rsid w:val="004637D0"/>
    <w:rsid w:val="004708E5"/>
    <w:rsid w:val="004727E4"/>
    <w:rsid w:val="00472A37"/>
    <w:rsid w:val="00474FF3"/>
    <w:rsid w:val="00476798"/>
    <w:rsid w:val="00484CA9"/>
    <w:rsid w:val="00485E95"/>
    <w:rsid w:val="00490362"/>
    <w:rsid w:val="004A3DCB"/>
    <w:rsid w:val="004B0514"/>
    <w:rsid w:val="004B350F"/>
    <w:rsid w:val="004B5F9A"/>
    <w:rsid w:val="004B773F"/>
    <w:rsid w:val="004C07F4"/>
    <w:rsid w:val="004C0967"/>
    <w:rsid w:val="004C0B9C"/>
    <w:rsid w:val="004C78C1"/>
    <w:rsid w:val="004D17C1"/>
    <w:rsid w:val="004D5B59"/>
    <w:rsid w:val="004D6601"/>
    <w:rsid w:val="004E0C10"/>
    <w:rsid w:val="004E2652"/>
    <w:rsid w:val="004E5FF7"/>
    <w:rsid w:val="004E6126"/>
    <w:rsid w:val="004E71E7"/>
    <w:rsid w:val="004E7285"/>
    <w:rsid w:val="004F0365"/>
    <w:rsid w:val="004F0A4A"/>
    <w:rsid w:val="004F2B14"/>
    <w:rsid w:val="004F3C9A"/>
    <w:rsid w:val="004F56A8"/>
    <w:rsid w:val="004F75A7"/>
    <w:rsid w:val="00501C90"/>
    <w:rsid w:val="005032A9"/>
    <w:rsid w:val="0050376E"/>
    <w:rsid w:val="00503F13"/>
    <w:rsid w:val="00507A60"/>
    <w:rsid w:val="00510D1B"/>
    <w:rsid w:val="00512BF3"/>
    <w:rsid w:val="00514FE9"/>
    <w:rsid w:val="005213E1"/>
    <w:rsid w:val="005325E1"/>
    <w:rsid w:val="00535997"/>
    <w:rsid w:val="00536527"/>
    <w:rsid w:val="005522EA"/>
    <w:rsid w:val="005550D3"/>
    <w:rsid w:val="00556119"/>
    <w:rsid w:val="00561CEA"/>
    <w:rsid w:val="005644DA"/>
    <w:rsid w:val="00564D62"/>
    <w:rsid w:val="005671ED"/>
    <w:rsid w:val="005679BD"/>
    <w:rsid w:val="00577EEB"/>
    <w:rsid w:val="00580496"/>
    <w:rsid w:val="00581581"/>
    <w:rsid w:val="005841A3"/>
    <w:rsid w:val="00591441"/>
    <w:rsid w:val="00594D95"/>
    <w:rsid w:val="00596C88"/>
    <w:rsid w:val="005A12BC"/>
    <w:rsid w:val="005A3E26"/>
    <w:rsid w:val="005A7633"/>
    <w:rsid w:val="005B121F"/>
    <w:rsid w:val="005B4009"/>
    <w:rsid w:val="005B66A1"/>
    <w:rsid w:val="005C0702"/>
    <w:rsid w:val="005D08F7"/>
    <w:rsid w:val="005D1AE0"/>
    <w:rsid w:val="005D2B84"/>
    <w:rsid w:val="005D588D"/>
    <w:rsid w:val="005D6096"/>
    <w:rsid w:val="005E0466"/>
    <w:rsid w:val="005E259C"/>
    <w:rsid w:val="005E5426"/>
    <w:rsid w:val="005E6CA0"/>
    <w:rsid w:val="005F06A7"/>
    <w:rsid w:val="005F1C7B"/>
    <w:rsid w:val="005F24AF"/>
    <w:rsid w:val="005F33FC"/>
    <w:rsid w:val="005F5C65"/>
    <w:rsid w:val="006107CE"/>
    <w:rsid w:val="006117EB"/>
    <w:rsid w:val="00616C02"/>
    <w:rsid w:val="00617BC8"/>
    <w:rsid w:val="0063118B"/>
    <w:rsid w:val="00632584"/>
    <w:rsid w:val="006412D7"/>
    <w:rsid w:val="00641F0C"/>
    <w:rsid w:val="006468B6"/>
    <w:rsid w:val="00650D80"/>
    <w:rsid w:val="00651A44"/>
    <w:rsid w:val="00652381"/>
    <w:rsid w:val="006530A8"/>
    <w:rsid w:val="00653A18"/>
    <w:rsid w:val="00655CDC"/>
    <w:rsid w:val="00656FCE"/>
    <w:rsid w:val="00657F8E"/>
    <w:rsid w:val="00666D73"/>
    <w:rsid w:val="00670DBE"/>
    <w:rsid w:val="0067208A"/>
    <w:rsid w:val="00673D6C"/>
    <w:rsid w:val="006827D6"/>
    <w:rsid w:val="006838E0"/>
    <w:rsid w:val="00694BD0"/>
    <w:rsid w:val="006968F2"/>
    <w:rsid w:val="006A0649"/>
    <w:rsid w:val="006A0C59"/>
    <w:rsid w:val="006A19E0"/>
    <w:rsid w:val="006C1B62"/>
    <w:rsid w:val="006C1C5B"/>
    <w:rsid w:val="006C5FB3"/>
    <w:rsid w:val="006D090E"/>
    <w:rsid w:val="006D1760"/>
    <w:rsid w:val="006D2AFB"/>
    <w:rsid w:val="006D32D6"/>
    <w:rsid w:val="006D3324"/>
    <w:rsid w:val="006D6682"/>
    <w:rsid w:val="006E10F4"/>
    <w:rsid w:val="006E29D1"/>
    <w:rsid w:val="006F0DE1"/>
    <w:rsid w:val="006F16A0"/>
    <w:rsid w:val="006F285D"/>
    <w:rsid w:val="006F3213"/>
    <w:rsid w:val="006F34A1"/>
    <w:rsid w:val="00712B4E"/>
    <w:rsid w:val="0071787C"/>
    <w:rsid w:val="00721808"/>
    <w:rsid w:val="0072511A"/>
    <w:rsid w:val="007378A8"/>
    <w:rsid w:val="007400D9"/>
    <w:rsid w:val="00740A70"/>
    <w:rsid w:val="007424CB"/>
    <w:rsid w:val="007455D7"/>
    <w:rsid w:val="00747D3F"/>
    <w:rsid w:val="00767425"/>
    <w:rsid w:val="0076793D"/>
    <w:rsid w:val="00770C57"/>
    <w:rsid w:val="00772D56"/>
    <w:rsid w:val="00773AE2"/>
    <w:rsid w:val="00774FAE"/>
    <w:rsid w:val="00775B9C"/>
    <w:rsid w:val="0078014F"/>
    <w:rsid w:val="00780428"/>
    <w:rsid w:val="00782747"/>
    <w:rsid w:val="00786E39"/>
    <w:rsid w:val="00793C1C"/>
    <w:rsid w:val="0079758A"/>
    <w:rsid w:val="007A23E4"/>
    <w:rsid w:val="007B1EC5"/>
    <w:rsid w:val="007C12BF"/>
    <w:rsid w:val="007C7A48"/>
    <w:rsid w:val="007D3067"/>
    <w:rsid w:val="007D3A60"/>
    <w:rsid w:val="007D5963"/>
    <w:rsid w:val="007D692C"/>
    <w:rsid w:val="007D6CD3"/>
    <w:rsid w:val="007E0617"/>
    <w:rsid w:val="007E265D"/>
    <w:rsid w:val="007E3EDB"/>
    <w:rsid w:val="007F2566"/>
    <w:rsid w:val="007F6BB7"/>
    <w:rsid w:val="0080095F"/>
    <w:rsid w:val="008026E7"/>
    <w:rsid w:val="0080748F"/>
    <w:rsid w:val="00813893"/>
    <w:rsid w:val="00817614"/>
    <w:rsid w:val="0082192C"/>
    <w:rsid w:val="0082308D"/>
    <w:rsid w:val="00823A23"/>
    <w:rsid w:val="00823BD5"/>
    <w:rsid w:val="00825198"/>
    <w:rsid w:val="008328D8"/>
    <w:rsid w:val="00832E6D"/>
    <w:rsid w:val="0083695D"/>
    <w:rsid w:val="00837CE1"/>
    <w:rsid w:val="00837E7E"/>
    <w:rsid w:val="00850C7F"/>
    <w:rsid w:val="00850DB0"/>
    <w:rsid w:val="00851513"/>
    <w:rsid w:val="00855798"/>
    <w:rsid w:val="00855EC8"/>
    <w:rsid w:val="00860124"/>
    <w:rsid w:val="008611A3"/>
    <w:rsid w:val="008629FE"/>
    <w:rsid w:val="00863CFE"/>
    <w:rsid w:val="0086641F"/>
    <w:rsid w:val="00867E6C"/>
    <w:rsid w:val="00870FD0"/>
    <w:rsid w:val="00871B1A"/>
    <w:rsid w:val="008835B4"/>
    <w:rsid w:val="008854D3"/>
    <w:rsid w:val="00887549"/>
    <w:rsid w:val="00890FD8"/>
    <w:rsid w:val="00891F2A"/>
    <w:rsid w:val="00893B73"/>
    <w:rsid w:val="008A08A0"/>
    <w:rsid w:val="008A0E7E"/>
    <w:rsid w:val="008A20D7"/>
    <w:rsid w:val="008A285B"/>
    <w:rsid w:val="008A6F9C"/>
    <w:rsid w:val="008A7B43"/>
    <w:rsid w:val="008C703E"/>
    <w:rsid w:val="008D21BD"/>
    <w:rsid w:val="008D3457"/>
    <w:rsid w:val="008E3015"/>
    <w:rsid w:val="008E334A"/>
    <w:rsid w:val="008E64AF"/>
    <w:rsid w:val="008F392F"/>
    <w:rsid w:val="0090133C"/>
    <w:rsid w:val="009033BE"/>
    <w:rsid w:val="00906E43"/>
    <w:rsid w:val="0091242B"/>
    <w:rsid w:val="0091329D"/>
    <w:rsid w:val="009133D7"/>
    <w:rsid w:val="009158D9"/>
    <w:rsid w:val="00925308"/>
    <w:rsid w:val="0093021E"/>
    <w:rsid w:val="009345B4"/>
    <w:rsid w:val="00936ADF"/>
    <w:rsid w:val="009447F6"/>
    <w:rsid w:val="00950CDB"/>
    <w:rsid w:val="00953C4B"/>
    <w:rsid w:val="00957FBB"/>
    <w:rsid w:val="0096458F"/>
    <w:rsid w:val="00966C5C"/>
    <w:rsid w:val="00971031"/>
    <w:rsid w:val="0097151E"/>
    <w:rsid w:val="0097348E"/>
    <w:rsid w:val="009738D8"/>
    <w:rsid w:val="00974CA6"/>
    <w:rsid w:val="00985435"/>
    <w:rsid w:val="00992645"/>
    <w:rsid w:val="00992E7E"/>
    <w:rsid w:val="00995354"/>
    <w:rsid w:val="0099698F"/>
    <w:rsid w:val="00997433"/>
    <w:rsid w:val="00997849"/>
    <w:rsid w:val="009A182B"/>
    <w:rsid w:val="009A3DD6"/>
    <w:rsid w:val="009A44FA"/>
    <w:rsid w:val="009A6F69"/>
    <w:rsid w:val="009B4868"/>
    <w:rsid w:val="009C104E"/>
    <w:rsid w:val="009C111E"/>
    <w:rsid w:val="009C3396"/>
    <w:rsid w:val="009C5D79"/>
    <w:rsid w:val="009D2BD7"/>
    <w:rsid w:val="009D3023"/>
    <w:rsid w:val="009D3427"/>
    <w:rsid w:val="009E69D1"/>
    <w:rsid w:val="009F01C7"/>
    <w:rsid w:val="009F1174"/>
    <w:rsid w:val="009F3151"/>
    <w:rsid w:val="009F5068"/>
    <w:rsid w:val="009F6A8C"/>
    <w:rsid w:val="009F6D51"/>
    <w:rsid w:val="00A00F4C"/>
    <w:rsid w:val="00A01A4B"/>
    <w:rsid w:val="00A02E96"/>
    <w:rsid w:val="00A0474B"/>
    <w:rsid w:val="00A04876"/>
    <w:rsid w:val="00A12011"/>
    <w:rsid w:val="00A1315E"/>
    <w:rsid w:val="00A37846"/>
    <w:rsid w:val="00A4242A"/>
    <w:rsid w:val="00A43E87"/>
    <w:rsid w:val="00A44B83"/>
    <w:rsid w:val="00A45FF9"/>
    <w:rsid w:val="00A47414"/>
    <w:rsid w:val="00A50C8C"/>
    <w:rsid w:val="00A51AD2"/>
    <w:rsid w:val="00A608D0"/>
    <w:rsid w:val="00A60AF7"/>
    <w:rsid w:val="00A66EFA"/>
    <w:rsid w:val="00A700A7"/>
    <w:rsid w:val="00A762CF"/>
    <w:rsid w:val="00A82761"/>
    <w:rsid w:val="00A90C85"/>
    <w:rsid w:val="00A93052"/>
    <w:rsid w:val="00A9499C"/>
    <w:rsid w:val="00AA04CB"/>
    <w:rsid w:val="00AA0EE0"/>
    <w:rsid w:val="00AA1164"/>
    <w:rsid w:val="00AA1569"/>
    <w:rsid w:val="00AA2332"/>
    <w:rsid w:val="00AA37B4"/>
    <w:rsid w:val="00AB1F40"/>
    <w:rsid w:val="00AB621C"/>
    <w:rsid w:val="00AC2AEA"/>
    <w:rsid w:val="00AC3197"/>
    <w:rsid w:val="00AC3BC2"/>
    <w:rsid w:val="00AC7CD5"/>
    <w:rsid w:val="00AD315D"/>
    <w:rsid w:val="00AD5004"/>
    <w:rsid w:val="00AD6ACC"/>
    <w:rsid w:val="00AF5F59"/>
    <w:rsid w:val="00AF667E"/>
    <w:rsid w:val="00B13538"/>
    <w:rsid w:val="00B15BBF"/>
    <w:rsid w:val="00B16A87"/>
    <w:rsid w:val="00B16CF9"/>
    <w:rsid w:val="00B22B5D"/>
    <w:rsid w:val="00B25A6A"/>
    <w:rsid w:val="00B2741F"/>
    <w:rsid w:val="00B275F5"/>
    <w:rsid w:val="00B35AC9"/>
    <w:rsid w:val="00B364FC"/>
    <w:rsid w:val="00B366FA"/>
    <w:rsid w:val="00B4001A"/>
    <w:rsid w:val="00B407D1"/>
    <w:rsid w:val="00B43700"/>
    <w:rsid w:val="00B439D2"/>
    <w:rsid w:val="00B453B9"/>
    <w:rsid w:val="00B4705D"/>
    <w:rsid w:val="00B4744C"/>
    <w:rsid w:val="00B5164C"/>
    <w:rsid w:val="00B52B69"/>
    <w:rsid w:val="00B52D83"/>
    <w:rsid w:val="00B5385F"/>
    <w:rsid w:val="00B620CB"/>
    <w:rsid w:val="00B66433"/>
    <w:rsid w:val="00B678E2"/>
    <w:rsid w:val="00B7087B"/>
    <w:rsid w:val="00B71900"/>
    <w:rsid w:val="00B72068"/>
    <w:rsid w:val="00B7253D"/>
    <w:rsid w:val="00B76615"/>
    <w:rsid w:val="00B82AC3"/>
    <w:rsid w:val="00B847C8"/>
    <w:rsid w:val="00B857D3"/>
    <w:rsid w:val="00B87DB6"/>
    <w:rsid w:val="00B931AD"/>
    <w:rsid w:val="00B97E08"/>
    <w:rsid w:val="00BA008B"/>
    <w:rsid w:val="00BA6878"/>
    <w:rsid w:val="00BA7C33"/>
    <w:rsid w:val="00BB0A91"/>
    <w:rsid w:val="00BB6F66"/>
    <w:rsid w:val="00BB7EAC"/>
    <w:rsid w:val="00BC0A84"/>
    <w:rsid w:val="00BC18E8"/>
    <w:rsid w:val="00BC2885"/>
    <w:rsid w:val="00BC6541"/>
    <w:rsid w:val="00BD2DC8"/>
    <w:rsid w:val="00BD5F09"/>
    <w:rsid w:val="00BD777F"/>
    <w:rsid w:val="00BD7A85"/>
    <w:rsid w:val="00BE2CE1"/>
    <w:rsid w:val="00BE75CE"/>
    <w:rsid w:val="00BE7877"/>
    <w:rsid w:val="00BF2D90"/>
    <w:rsid w:val="00C05892"/>
    <w:rsid w:val="00C10A58"/>
    <w:rsid w:val="00C12AFD"/>
    <w:rsid w:val="00C17939"/>
    <w:rsid w:val="00C31148"/>
    <w:rsid w:val="00C32492"/>
    <w:rsid w:val="00C406C3"/>
    <w:rsid w:val="00C44EFF"/>
    <w:rsid w:val="00C47D12"/>
    <w:rsid w:val="00C52174"/>
    <w:rsid w:val="00C54801"/>
    <w:rsid w:val="00C5527D"/>
    <w:rsid w:val="00C56D31"/>
    <w:rsid w:val="00C57CE8"/>
    <w:rsid w:val="00C63650"/>
    <w:rsid w:val="00C72C06"/>
    <w:rsid w:val="00C73307"/>
    <w:rsid w:val="00C73444"/>
    <w:rsid w:val="00C740B4"/>
    <w:rsid w:val="00C80CB9"/>
    <w:rsid w:val="00C93FE0"/>
    <w:rsid w:val="00C949E0"/>
    <w:rsid w:val="00C97169"/>
    <w:rsid w:val="00CA155B"/>
    <w:rsid w:val="00CA1804"/>
    <w:rsid w:val="00CA24C9"/>
    <w:rsid w:val="00CA459B"/>
    <w:rsid w:val="00CA4A9C"/>
    <w:rsid w:val="00CB2E0C"/>
    <w:rsid w:val="00CB5354"/>
    <w:rsid w:val="00CB5B55"/>
    <w:rsid w:val="00CB61B8"/>
    <w:rsid w:val="00CC0A2C"/>
    <w:rsid w:val="00CC210D"/>
    <w:rsid w:val="00CC2CD0"/>
    <w:rsid w:val="00CC7EC3"/>
    <w:rsid w:val="00CD0674"/>
    <w:rsid w:val="00CD10F8"/>
    <w:rsid w:val="00CE0557"/>
    <w:rsid w:val="00CF2139"/>
    <w:rsid w:val="00CF55B6"/>
    <w:rsid w:val="00D15FA6"/>
    <w:rsid w:val="00D201C6"/>
    <w:rsid w:val="00D2365B"/>
    <w:rsid w:val="00D24E40"/>
    <w:rsid w:val="00D30658"/>
    <w:rsid w:val="00D30F27"/>
    <w:rsid w:val="00D349A4"/>
    <w:rsid w:val="00D464FD"/>
    <w:rsid w:val="00D5403F"/>
    <w:rsid w:val="00D56942"/>
    <w:rsid w:val="00D575B4"/>
    <w:rsid w:val="00D62463"/>
    <w:rsid w:val="00D656E8"/>
    <w:rsid w:val="00D81D23"/>
    <w:rsid w:val="00D823A8"/>
    <w:rsid w:val="00D83CF0"/>
    <w:rsid w:val="00D86494"/>
    <w:rsid w:val="00D941C1"/>
    <w:rsid w:val="00DA051A"/>
    <w:rsid w:val="00DA2B9C"/>
    <w:rsid w:val="00DA4783"/>
    <w:rsid w:val="00DB75FB"/>
    <w:rsid w:val="00DB7BE6"/>
    <w:rsid w:val="00DD0823"/>
    <w:rsid w:val="00DD3501"/>
    <w:rsid w:val="00DD350E"/>
    <w:rsid w:val="00DE27D9"/>
    <w:rsid w:val="00DE7549"/>
    <w:rsid w:val="00DF3A56"/>
    <w:rsid w:val="00DF68F3"/>
    <w:rsid w:val="00E0395B"/>
    <w:rsid w:val="00E16F34"/>
    <w:rsid w:val="00E178D4"/>
    <w:rsid w:val="00E20059"/>
    <w:rsid w:val="00E23641"/>
    <w:rsid w:val="00E3013B"/>
    <w:rsid w:val="00E34516"/>
    <w:rsid w:val="00E34B8B"/>
    <w:rsid w:val="00E507D9"/>
    <w:rsid w:val="00E5124F"/>
    <w:rsid w:val="00E744C5"/>
    <w:rsid w:val="00E84055"/>
    <w:rsid w:val="00E930F6"/>
    <w:rsid w:val="00E97AB0"/>
    <w:rsid w:val="00EA14B8"/>
    <w:rsid w:val="00EA1AA0"/>
    <w:rsid w:val="00EA3DA8"/>
    <w:rsid w:val="00EA4660"/>
    <w:rsid w:val="00EA4EC7"/>
    <w:rsid w:val="00EA504D"/>
    <w:rsid w:val="00EA6925"/>
    <w:rsid w:val="00EB0163"/>
    <w:rsid w:val="00EB026B"/>
    <w:rsid w:val="00EB2669"/>
    <w:rsid w:val="00EB417F"/>
    <w:rsid w:val="00EB5029"/>
    <w:rsid w:val="00EC1737"/>
    <w:rsid w:val="00EC2121"/>
    <w:rsid w:val="00EE629A"/>
    <w:rsid w:val="00EE6478"/>
    <w:rsid w:val="00EE666E"/>
    <w:rsid w:val="00EF2E00"/>
    <w:rsid w:val="00F147BD"/>
    <w:rsid w:val="00F172FF"/>
    <w:rsid w:val="00F266B5"/>
    <w:rsid w:val="00F3135D"/>
    <w:rsid w:val="00F321F6"/>
    <w:rsid w:val="00F3578A"/>
    <w:rsid w:val="00F37324"/>
    <w:rsid w:val="00F50EA8"/>
    <w:rsid w:val="00F52AE7"/>
    <w:rsid w:val="00F53425"/>
    <w:rsid w:val="00F54F67"/>
    <w:rsid w:val="00F559A8"/>
    <w:rsid w:val="00F576BB"/>
    <w:rsid w:val="00F60D7E"/>
    <w:rsid w:val="00F62B37"/>
    <w:rsid w:val="00F64289"/>
    <w:rsid w:val="00F8287F"/>
    <w:rsid w:val="00F82CCA"/>
    <w:rsid w:val="00F97938"/>
    <w:rsid w:val="00FA0524"/>
    <w:rsid w:val="00FA2072"/>
    <w:rsid w:val="00FA4100"/>
    <w:rsid w:val="00FB0592"/>
    <w:rsid w:val="00FB2745"/>
    <w:rsid w:val="00FB37D8"/>
    <w:rsid w:val="00FC2035"/>
    <w:rsid w:val="00FC330E"/>
    <w:rsid w:val="00FC410F"/>
    <w:rsid w:val="00FD1D58"/>
    <w:rsid w:val="00FD26D7"/>
    <w:rsid w:val="00FD7233"/>
    <w:rsid w:val="00FF1387"/>
    <w:rsid w:val="00FF48D7"/>
    <w:rsid w:val="00FF5762"/>
    <w:rsid w:val="00FF7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89AA6"/>
  <w15:docId w15:val="{542634CD-109B-45C0-A22A-B8AD553A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62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362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3624"/>
    <w:pPr>
      <w:ind w:left="720"/>
      <w:contextualSpacing/>
    </w:pPr>
  </w:style>
  <w:style w:type="paragraph" w:styleId="BalloonText">
    <w:name w:val="Balloon Text"/>
    <w:basedOn w:val="Normal"/>
    <w:link w:val="BalloonTextChar"/>
    <w:uiPriority w:val="99"/>
    <w:semiHidden/>
    <w:unhideWhenUsed/>
    <w:rsid w:val="00053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624"/>
    <w:rPr>
      <w:rFonts w:ascii="Segoe UI" w:hAnsi="Segoe UI" w:cs="Segoe UI"/>
      <w:sz w:val="18"/>
      <w:szCs w:val="18"/>
      <w:lang w:val="en-US"/>
    </w:rPr>
  </w:style>
  <w:style w:type="paragraph" w:customStyle="1" w:styleId="Default">
    <w:name w:val="Default"/>
    <w:rsid w:val="00053624"/>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Strong">
    <w:name w:val="Strong"/>
    <w:basedOn w:val="DefaultParagraphFont"/>
    <w:uiPriority w:val="22"/>
    <w:qFormat/>
    <w:rsid w:val="00175623"/>
    <w:rPr>
      <w:b/>
      <w:bCs/>
    </w:rPr>
  </w:style>
  <w:style w:type="paragraph" w:styleId="Header">
    <w:name w:val="header"/>
    <w:basedOn w:val="Normal"/>
    <w:link w:val="HeaderChar"/>
    <w:uiPriority w:val="99"/>
    <w:unhideWhenUsed/>
    <w:rsid w:val="00995354"/>
    <w:pPr>
      <w:tabs>
        <w:tab w:val="center" w:pos="4677"/>
        <w:tab w:val="right" w:pos="9355"/>
      </w:tabs>
      <w:spacing w:after="0" w:line="240" w:lineRule="auto"/>
    </w:pPr>
  </w:style>
  <w:style w:type="character" w:customStyle="1" w:styleId="HeaderChar">
    <w:name w:val="Header Char"/>
    <w:basedOn w:val="DefaultParagraphFont"/>
    <w:link w:val="Header"/>
    <w:uiPriority w:val="99"/>
    <w:rsid w:val="00995354"/>
    <w:rPr>
      <w:lang w:val="en-US"/>
    </w:rPr>
  </w:style>
  <w:style w:type="paragraph" w:styleId="Footer">
    <w:name w:val="footer"/>
    <w:basedOn w:val="Normal"/>
    <w:link w:val="FooterChar"/>
    <w:uiPriority w:val="99"/>
    <w:unhideWhenUsed/>
    <w:rsid w:val="00995354"/>
    <w:pPr>
      <w:tabs>
        <w:tab w:val="center" w:pos="4677"/>
        <w:tab w:val="right" w:pos="9355"/>
      </w:tabs>
      <w:spacing w:after="0" w:line="240" w:lineRule="auto"/>
    </w:pPr>
  </w:style>
  <w:style w:type="character" w:customStyle="1" w:styleId="FooterChar">
    <w:name w:val="Footer Char"/>
    <w:basedOn w:val="DefaultParagraphFont"/>
    <w:link w:val="Footer"/>
    <w:uiPriority w:val="99"/>
    <w:rsid w:val="00995354"/>
    <w:rPr>
      <w:lang w:val="en-US"/>
    </w:rPr>
  </w:style>
  <w:style w:type="paragraph" w:styleId="NormalWeb">
    <w:name w:val="Normal (Web)"/>
    <w:basedOn w:val="Normal"/>
    <w:uiPriority w:val="99"/>
    <w:unhideWhenUsed/>
    <w:rsid w:val="001D13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9D2BD7"/>
  </w:style>
  <w:style w:type="character" w:styleId="SubtleReference">
    <w:name w:val="Subtle Reference"/>
    <w:basedOn w:val="DefaultParagraphFont"/>
    <w:uiPriority w:val="31"/>
    <w:qFormat/>
    <w:rsid w:val="00C63650"/>
    <w:rPr>
      <w:smallCaps/>
      <w:color w:val="5A5A5A" w:themeColor="text1" w:themeTint="A5"/>
    </w:rPr>
  </w:style>
  <w:style w:type="character" w:styleId="CommentReference">
    <w:name w:val="annotation reference"/>
    <w:basedOn w:val="DefaultParagraphFont"/>
    <w:uiPriority w:val="99"/>
    <w:semiHidden/>
    <w:unhideWhenUsed/>
    <w:rsid w:val="006C1C5B"/>
    <w:rPr>
      <w:sz w:val="16"/>
      <w:szCs w:val="16"/>
    </w:rPr>
  </w:style>
  <w:style w:type="paragraph" w:styleId="CommentText">
    <w:name w:val="annotation text"/>
    <w:basedOn w:val="Normal"/>
    <w:link w:val="CommentTextChar"/>
    <w:uiPriority w:val="99"/>
    <w:semiHidden/>
    <w:unhideWhenUsed/>
    <w:rsid w:val="006C1C5B"/>
    <w:pPr>
      <w:spacing w:line="240" w:lineRule="auto"/>
    </w:pPr>
    <w:rPr>
      <w:sz w:val="20"/>
      <w:szCs w:val="20"/>
    </w:rPr>
  </w:style>
  <w:style w:type="character" w:customStyle="1" w:styleId="CommentTextChar">
    <w:name w:val="Comment Text Char"/>
    <w:basedOn w:val="DefaultParagraphFont"/>
    <w:link w:val="CommentText"/>
    <w:uiPriority w:val="99"/>
    <w:semiHidden/>
    <w:rsid w:val="006C1C5B"/>
    <w:rPr>
      <w:sz w:val="20"/>
      <w:szCs w:val="20"/>
      <w:lang w:val="en-US"/>
    </w:rPr>
  </w:style>
  <w:style w:type="paragraph" w:styleId="CommentSubject">
    <w:name w:val="annotation subject"/>
    <w:basedOn w:val="CommentText"/>
    <w:next w:val="CommentText"/>
    <w:link w:val="CommentSubjectChar"/>
    <w:uiPriority w:val="99"/>
    <w:semiHidden/>
    <w:unhideWhenUsed/>
    <w:rsid w:val="006C1C5B"/>
    <w:rPr>
      <w:b/>
      <w:bCs/>
    </w:rPr>
  </w:style>
  <w:style w:type="character" w:customStyle="1" w:styleId="CommentSubjectChar">
    <w:name w:val="Comment Subject Char"/>
    <w:basedOn w:val="CommentTextChar"/>
    <w:link w:val="CommentSubject"/>
    <w:uiPriority w:val="99"/>
    <w:semiHidden/>
    <w:rsid w:val="006C1C5B"/>
    <w:rPr>
      <w:b/>
      <w:bCs/>
      <w:sz w:val="20"/>
      <w:szCs w:val="20"/>
      <w:lang w:val="en-US"/>
    </w:rPr>
  </w:style>
  <w:style w:type="paragraph" w:styleId="FootnoteText">
    <w:name w:val="footnote text"/>
    <w:basedOn w:val="Normal"/>
    <w:link w:val="FootnoteTextChar"/>
    <w:uiPriority w:val="99"/>
    <w:semiHidden/>
    <w:unhideWhenUsed/>
    <w:rsid w:val="00D864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6494"/>
    <w:rPr>
      <w:sz w:val="20"/>
      <w:szCs w:val="20"/>
      <w:lang w:val="en-US"/>
    </w:rPr>
  </w:style>
  <w:style w:type="character" w:styleId="FootnoteReference">
    <w:name w:val="footnote reference"/>
    <w:basedOn w:val="DefaultParagraphFont"/>
    <w:uiPriority w:val="99"/>
    <w:semiHidden/>
    <w:unhideWhenUsed/>
    <w:rsid w:val="00D86494"/>
    <w:rPr>
      <w:vertAlign w:val="superscript"/>
    </w:rPr>
  </w:style>
  <w:style w:type="character" w:styleId="Hyperlink">
    <w:name w:val="Hyperlink"/>
    <w:basedOn w:val="DefaultParagraphFont"/>
    <w:uiPriority w:val="99"/>
    <w:unhideWhenUsed/>
    <w:rsid w:val="00D864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823901">
      <w:bodyDiv w:val="1"/>
      <w:marLeft w:val="0"/>
      <w:marRight w:val="0"/>
      <w:marTop w:val="0"/>
      <w:marBottom w:val="0"/>
      <w:divBdr>
        <w:top w:val="none" w:sz="0" w:space="0" w:color="auto"/>
        <w:left w:val="none" w:sz="0" w:space="0" w:color="auto"/>
        <w:bottom w:val="none" w:sz="0" w:space="0" w:color="auto"/>
        <w:right w:val="none" w:sz="0" w:space="0" w:color="auto"/>
      </w:divBdr>
    </w:div>
    <w:div w:id="929965283">
      <w:bodyDiv w:val="1"/>
      <w:marLeft w:val="0"/>
      <w:marRight w:val="0"/>
      <w:marTop w:val="0"/>
      <w:marBottom w:val="0"/>
      <w:divBdr>
        <w:top w:val="none" w:sz="0" w:space="0" w:color="auto"/>
        <w:left w:val="none" w:sz="0" w:space="0" w:color="auto"/>
        <w:bottom w:val="none" w:sz="0" w:space="0" w:color="auto"/>
        <w:right w:val="none" w:sz="0" w:space="0" w:color="auto"/>
      </w:divBdr>
    </w:div>
    <w:div w:id="1138642994">
      <w:bodyDiv w:val="1"/>
      <w:marLeft w:val="0"/>
      <w:marRight w:val="0"/>
      <w:marTop w:val="0"/>
      <w:marBottom w:val="0"/>
      <w:divBdr>
        <w:top w:val="none" w:sz="0" w:space="0" w:color="auto"/>
        <w:left w:val="none" w:sz="0" w:space="0" w:color="auto"/>
        <w:bottom w:val="none" w:sz="0" w:space="0" w:color="auto"/>
        <w:right w:val="none" w:sz="0" w:space="0" w:color="auto"/>
      </w:divBdr>
    </w:div>
    <w:div w:id="156961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consiliulconcurentei.ro/uploads/docs/concurenta/LEGEA_CONCURENTEI_Nr_21_eng_rev_1.pdf" TargetMode="External"/><Relationship Id="rId13" Type="http://schemas.openxmlformats.org/officeDocument/2006/relationships/hyperlink" Target="https://www.cofece.mx/cofece/images/Documentos_Micrositios/Federal_Economic_Competition_Law.pdf" TargetMode="External"/><Relationship Id="rId18" Type="http://schemas.openxmlformats.org/officeDocument/2006/relationships/hyperlink" Target="http://www.caa.gov.al/uploads/laws/Law_nr_9121_date_09.05.2012.pdf" TargetMode="External"/><Relationship Id="rId26" Type="http://schemas.openxmlformats.org/officeDocument/2006/relationships/hyperlink" Target="https://unctad.org/system/files/official-document/tdrbpconf7d3_en.pdf" TargetMode="External"/><Relationship Id="rId3" Type="http://schemas.openxmlformats.org/officeDocument/2006/relationships/hyperlink" Target="https://en.agcm.it/en/scope-of-activity/competition/detail?id=3b426468-e51f-4bc1-b1ee-b1f4bd65d9e7&amp;parent=Legislation&amp;parentUrl=/en/scope-of-activity/competition/legislation" TargetMode="External"/><Relationship Id="rId21" Type="http://schemas.openxmlformats.org/officeDocument/2006/relationships/hyperlink" Target="http://www.compcom.co.za/wp-content/uploads/2017/11/pocket-act-august-20141.pdf" TargetMode="External"/><Relationship Id="rId7" Type="http://schemas.openxmlformats.org/officeDocument/2006/relationships/hyperlink" Target="http://www.varstvo-konkurence.si/fileadmin/varstvo-konkurence.si/pageuploads/angleska_stran/ZPOMK-1-AN_REV-za_objavo_na_spletu.pdf" TargetMode="External"/><Relationship Id="rId12" Type="http://schemas.openxmlformats.org/officeDocument/2006/relationships/hyperlink" Target="https://laws.justice.gc.ca/eng/acts/C-34/FullText.html" TargetMode="External"/><Relationship Id="rId17" Type="http://schemas.openxmlformats.org/officeDocument/2006/relationships/hyperlink" Target="https://competition.md/public/files/Competition-Law-nr-183-from-11072012b4a7c8896b.pdf" TargetMode="External"/><Relationship Id="rId25" Type="http://schemas.openxmlformats.org/officeDocument/2006/relationships/hyperlink" Target="http://unctad.org/en/Docs/tdrbpconf7d3_en.pdf" TargetMode="External"/><Relationship Id="rId2" Type="http://schemas.openxmlformats.org/officeDocument/2006/relationships/hyperlink" Target="https://www.cnmc.es/en/sobre-la-cnmc/que-es-la-cnmc" TargetMode="External"/><Relationship Id="rId16" Type="http://schemas.openxmlformats.org/officeDocument/2006/relationships/hyperlink" Target="https://admin.competition.ge/uploads/c75d805e69be45a2be8ef28be02aa85b.pdf" TargetMode="External"/><Relationship Id="rId20" Type="http://schemas.openxmlformats.org/officeDocument/2006/relationships/hyperlink" Target="http://bihkonk.gov.ba/en/competition-act-unofficial-consolidated-text.html" TargetMode="External"/><Relationship Id="rId1" Type="http://schemas.openxmlformats.org/officeDocument/2006/relationships/hyperlink" Target="http://www.cpc.bg/storage/file/Protection_of_Competition_Act.pdf" TargetMode="External"/><Relationship Id="rId6" Type="http://schemas.openxmlformats.org/officeDocument/2006/relationships/hyperlink" Target="https://www.antimon.gov.sk/data/files/403_act-no-136_2001-valid-from-172014.pdf" TargetMode="External"/><Relationship Id="rId11" Type="http://schemas.openxmlformats.org/officeDocument/2006/relationships/hyperlink" Target="https://www.legislation.gov.au/Details/C2017C00375" TargetMode="External"/><Relationship Id="rId24" Type="http://schemas.openxmlformats.org/officeDocument/2006/relationships/hyperlink" Target="http://unctad.org/en/Docs/ditcclp20041_en.pdf" TargetMode="External"/><Relationship Id="rId5" Type="http://schemas.openxmlformats.org/officeDocument/2006/relationships/hyperlink" Target="https://www.gvh.hu/pfile/file?path=/en/legal_background/jogihatter_tpvt_hataly_20190101_a.pdf1&amp;inline=true" TargetMode="External"/><Relationship Id="rId15" Type="http://schemas.openxmlformats.org/officeDocument/2006/relationships/hyperlink" Target="http://pravoved.in.ua/section-law/200-zuoaku.html" TargetMode="External"/><Relationship Id="rId23" Type="http://schemas.openxmlformats.org/officeDocument/2006/relationships/hyperlink" Target="https://one.oecd.org/document/DAF/COMP/WP2(2019)3/en/pdf" TargetMode="External"/><Relationship Id="rId10" Type="http://schemas.openxmlformats.org/officeDocument/2006/relationships/hyperlink" Target="http://www.kzk.gov.rs/kzk/wp-content/uploads/2011/07/Law-on-Protection-of-Competition2.pdf" TargetMode="External"/><Relationship Id="rId19" Type="http://schemas.openxmlformats.org/officeDocument/2006/relationships/hyperlink" Target="http://kzk.gov.mk/wp-content/uploads/2019/09/LPC-145-2010.doc" TargetMode="External"/><Relationship Id="rId4" Type="http://schemas.openxmlformats.org/officeDocument/2006/relationships/hyperlink" Target="http://www.uohs.cz/download/Legislativa/HS/CR/143_2001_Sb_2017.pdf" TargetMode="External"/><Relationship Id="rId9" Type="http://schemas.openxmlformats.org/officeDocument/2006/relationships/hyperlink" Target="http://www.aztn.hr/ea/wp-content/uploads/2015/06/COMPETITION-ACT-2009.pdf" TargetMode="External"/><Relationship Id="rId14" Type="http://schemas.openxmlformats.org/officeDocument/2006/relationships/hyperlink" Target="http://www.legislation.govt.nz/act/public/1986/0005/86.0/whole.html" TargetMode="External"/><Relationship Id="rId22" Type="http://schemas.openxmlformats.org/officeDocument/2006/relationships/hyperlink" Target="https://www.internationalcompetitionnetwork.org/wp-content/uploads/2019/11/AERSBankingReport20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89574-E018-43D0-861F-042869C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5690</Words>
  <Characters>32437</Characters>
  <Application>Microsoft Office Word</Application>
  <DocSecurity>0</DocSecurity>
  <Lines>270</Lines>
  <Paragraphs>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https:/mul2.gov.am/tasks/368255/oneclick/ampopatert_poxvarchapeti_grasenyak.docx?token=bb8d6584fcfaf67c7e69bcf95db4499c</cp:keywords>
  <dc:description/>
  <cp:lastModifiedBy>Anjela Aslanyan</cp:lastModifiedBy>
  <cp:revision>2</cp:revision>
  <cp:lastPrinted>2020-09-10T12:32:00Z</cp:lastPrinted>
  <dcterms:created xsi:type="dcterms:W3CDTF">2020-12-16T10:48:00Z</dcterms:created>
  <dcterms:modified xsi:type="dcterms:W3CDTF">2020-12-16T10:48:00Z</dcterms:modified>
</cp:coreProperties>
</file>