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C7" w:rsidRPr="00F836CE" w:rsidRDefault="00EA6544" w:rsidP="00C54802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24"/>
          <w:lang w:val="hy-AM"/>
        </w:rPr>
      </w:pPr>
      <w:r w:rsidRPr="00F836CE">
        <w:rPr>
          <w:rFonts w:ascii="GHEA Grapalat" w:hAnsi="GHEA Grapalat" w:cs="Sylfaen"/>
          <w:sz w:val="24"/>
          <w:lang w:val="hy-AM"/>
        </w:rPr>
        <w:t>ԱՄՓՈՓԱԹԵՐԹ</w:t>
      </w:r>
    </w:p>
    <w:p w:rsidR="007B38F7" w:rsidRPr="00F836CE" w:rsidRDefault="007B38F7" w:rsidP="008C7A4C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24"/>
          <w:lang w:val="hy-AM"/>
        </w:rPr>
      </w:pPr>
    </w:p>
    <w:p w:rsidR="00564DC7" w:rsidRPr="00B97EFB" w:rsidRDefault="00825947" w:rsidP="00B97EFB">
      <w:pPr>
        <w:pStyle w:val="BodyText"/>
        <w:spacing w:after="0" w:line="360" w:lineRule="auto"/>
        <w:jc w:val="center"/>
        <w:rPr>
          <w:rFonts w:ascii="GHEA Grapalat" w:hAnsi="GHEA Grapalat"/>
          <w:lang w:val="hy-AM"/>
        </w:rPr>
      </w:pPr>
      <w:r w:rsidRPr="00F836CE">
        <w:rPr>
          <w:rFonts w:ascii="GHEA Grapalat" w:hAnsi="GHEA Grapalat" w:cs="Sylfaen"/>
          <w:bCs/>
          <w:lang w:val="hy-AM"/>
        </w:rPr>
        <w:t>«</w:t>
      </w:r>
      <w:r w:rsidR="00B97EFB" w:rsidRPr="00541DEF">
        <w:rPr>
          <w:rFonts w:ascii="GHEA Grapalat" w:hAnsi="GHEA Grapalat"/>
          <w:lang w:val="hy-AM"/>
        </w:rPr>
        <w:t xml:space="preserve">ՀԱՅԱՍՏԱՆԻ ՀԱՆՐԱՊԵՏՈՒԹՅԱՆ </w:t>
      </w:r>
      <w:r w:rsidR="00B97EFB">
        <w:rPr>
          <w:rFonts w:ascii="GHEA Grapalat" w:hAnsi="GHEA Grapalat"/>
          <w:lang w:val="hy-AM"/>
        </w:rPr>
        <w:t>ԿԱՌԱՎԱՐՈՒԹՅԱՆ 20</w:t>
      </w:r>
      <w:r w:rsidR="00B97EFB" w:rsidRPr="00FA378D">
        <w:rPr>
          <w:rFonts w:ascii="GHEA Grapalat" w:hAnsi="GHEA Grapalat"/>
          <w:lang w:val="hy-AM"/>
        </w:rPr>
        <w:t>17</w:t>
      </w:r>
      <w:r w:rsidR="00B97EFB">
        <w:rPr>
          <w:rFonts w:ascii="GHEA Grapalat" w:hAnsi="GHEA Grapalat"/>
          <w:lang w:val="hy-AM"/>
        </w:rPr>
        <w:t xml:space="preserve"> ԹՎԱԿԱՆԻ </w:t>
      </w:r>
      <w:r w:rsidR="00B97EFB" w:rsidRPr="00FA378D">
        <w:rPr>
          <w:rFonts w:ascii="GHEA Grapalat" w:hAnsi="GHEA Grapalat"/>
          <w:lang w:val="hy-AM"/>
        </w:rPr>
        <w:t>ՀՈԿՏԵՄԲԵՐԻ</w:t>
      </w:r>
      <w:r w:rsidR="00B97EFB">
        <w:rPr>
          <w:rFonts w:ascii="GHEA Grapalat" w:hAnsi="GHEA Grapalat"/>
          <w:lang w:val="hy-AM"/>
        </w:rPr>
        <w:t xml:space="preserve"> </w:t>
      </w:r>
      <w:r w:rsidR="00B97EFB" w:rsidRPr="00FA378D">
        <w:rPr>
          <w:rFonts w:ascii="GHEA Grapalat" w:hAnsi="GHEA Grapalat"/>
          <w:lang w:val="hy-AM"/>
        </w:rPr>
        <w:t>5</w:t>
      </w:r>
      <w:r w:rsidR="00B97EFB">
        <w:rPr>
          <w:rFonts w:ascii="GHEA Grapalat" w:hAnsi="GHEA Grapalat"/>
          <w:lang w:val="hy-AM"/>
        </w:rPr>
        <w:t xml:space="preserve">-Ի ԹԻՎ </w:t>
      </w:r>
      <w:r w:rsidR="00B97EFB" w:rsidRPr="00FA378D">
        <w:rPr>
          <w:rFonts w:ascii="GHEA Grapalat" w:hAnsi="GHEA Grapalat"/>
          <w:lang w:val="hy-AM"/>
        </w:rPr>
        <w:t>1288</w:t>
      </w:r>
      <w:r w:rsidR="00B97EFB" w:rsidRPr="00541DEF">
        <w:rPr>
          <w:rFonts w:ascii="GHEA Grapalat" w:hAnsi="GHEA Grapalat"/>
          <w:lang w:val="hy-AM"/>
        </w:rPr>
        <w:t>-Ն ՈՐՈՇՄԱՆ ՄԵՋ ՓՈՓՈԽՈՒԹՅՈՒՆ</w:t>
      </w:r>
      <w:r w:rsidR="00B97EFB" w:rsidRPr="00FA378D">
        <w:rPr>
          <w:rFonts w:ascii="GHEA Grapalat" w:hAnsi="GHEA Grapalat"/>
          <w:lang w:val="hy-AM"/>
        </w:rPr>
        <w:t>ՆԵՐ</w:t>
      </w:r>
      <w:r w:rsidR="00721756">
        <w:rPr>
          <w:rFonts w:ascii="GHEA Grapalat" w:hAnsi="GHEA Grapalat"/>
          <w:lang w:val="hy-AM"/>
        </w:rPr>
        <w:t xml:space="preserve"> ԵՎ ԼՐԱՑՈՒՄ</w:t>
      </w:r>
      <w:bookmarkStart w:id="0" w:name="_GoBack"/>
      <w:bookmarkEnd w:id="0"/>
      <w:r w:rsidR="00B97EFB" w:rsidRPr="00541DEF">
        <w:rPr>
          <w:rFonts w:ascii="GHEA Grapalat" w:hAnsi="GHEA Grapalat"/>
          <w:lang w:val="hy-AM"/>
        </w:rPr>
        <w:t xml:space="preserve"> ԿԱՏԱՐԵԼՈՒ</w:t>
      </w:r>
      <w:r w:rsidR="00B97EFB">
        <w:rPr>
          <w:rFonts w:ascii="GHEA Grapalat" w:hAnsi="GHEA Grapalat"/>
          <w:lang w:val="hy-AM"/>
        </w:rPr>
        <w:t xml:space="preserve"> ՄԱՍԻՆ</w:t>
      </w:r>
      <w:r w:rsidRPr="00F836CE">
        <w:rPr>
          <w:rFonts w:ascii="GHEA Grapalat" w:hAnsi="GHEA Grapalat" w:cs="Sylfaen"/>
          <w:bCs/>
          <w:lang w:val="hy-AM"/>
        </w:rPr>
        <w:t xml:space="preserve">» ՀՀ ԿԱՌԱՎԱՐՈՒԹՅԱՆ ՈՐՈՇՄԱՆ ՆԱԽԱԳԾԻ </w:t>
      </w:r>
      <w:r w:rsidR="00EA6544" w:rsidRPr="00F836CE">
        <w:rPr>
          <w:rFonts w:ascii="GHEA Grapalat" w:hAnsi="GHEA Grapalat" w:cs="Sylfaen"/>
          <w:lang w:val="hy-AM"/>
        </w:rPr>
        <w:t>ՎԵՐԱԲԵՐՅԱԼ ՍՏԱՑՎԱԾ ԴԻՏՈՂՈՒԹՅՈՒՆՆԵՐԻ ԵՎ ԱՌԱՋԱՐԿՈՒԹՅՈՒՆՆԵՐԻ</w:t>
      </w:r>
    </w:p>
    <w:tbl>
      <w:tblPr>
        <w:tblStyle w:val="TableGrid"/>
        <w:tblW w:w="15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835"/>
        <w:gridCol w:w="6120"/>
        <w:gridCol w:w="2610"/>
        <w:gridCol w:w="3685"/>
      </w:tblGrid>
      <w:tr w:rsidR="00EA6544" w:rsidRPr="00D8178A" w:rsidTr="00F23FC6">
        <w:tc>
          <w:tcPr>
            <w:tcW w:w="630" w:type="dxa"/>
          </w:tcPr>
          <w:p w:rsidR="008C7A4C" w:rsidRPr="00D8178A" w:rsidRDefault="008C7A4C" w:rsidP="008C7A4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835" w:type="dxa"/>
          </w:tcPr>
          <w:p w:rsidR="008C7A4C" w:rsidRPr="00D8178A" w:rsidRDefault="008C7A4C" w:rsidP="008C7A4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Առաջարկության հեղինակը, գրության ամսաթիվը, գրության համարը</w:t>
            </w:r>
          </w:p>
        </w:tc>
        <w:tc>
          <w:tcPr>
            <w:tcW w:w="6120" w:type="dxa"/>
          </w:tcPr>
          <w:p w:rsidR="008C7A4C" w:rsidRPr="00D8178A" w:rsidRDefault="008C7A4C" w:rsidP="00514E7B">
            <w:pPr>
              <w:tabs>
                <w:tab w:val="left" w:pos="-3261"/>
              </w:tabs>
              <w:ind w:left="34" w:firstLine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Առաջարկության բովանդակությունը</w:t>
            </w:r>
          </w:p>
        </w:tc>
        <w:tc>
          <w:tcPr>
            <w:tcW w:w="2610" w:type="dxa"/>
          </w:tcPr>
          <w:p w:rsidR="008C7A4C" w:rsidRPr="00D8178A" w:rsidRDefault="008C7A4C" w:rsidP="008C7A4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3685" w:type="dxa"/>
          </w:tcPr>
          <w:p w:rsidR="008C7A4C" w:rsidRPr="00D8178A" w:rsidRDefault="008C7A4C" w:rsidP="008C7A4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EA6544" w:rsidRPr="00D8178A" w:rsidTr="00F23FC6">
        <w:tc>
          <w:tcPr>
            <w:tcW w:w="630" w:type="dxa"/>
          </w:tcPr>
          <w:p w:rsidR="008C7A4C" w:rsidRPr="00D8178A" w:rsidRDefault="008C7A4C" w:rsidP="008C7A4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835" w:type="dxa"/>
          </w:tcPr>
          <w:p w:rsidR="008C7A4C" w:rsidRPr="00D8178A" w:rsidRDefault="008C7A4C" w:rsidP="008C7A4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6120" w:type="dxa"/>
          </w:tcPr>
          <w:p w:rsidR="008C7A4C" w:rsidRPr="00D8178A" w:rsidRDefault="008C7A4C" w:rsidP="003A34CF">
            <w:pPr>
              <w:tabs>
                <w:tab w:val="left" w:pos="-3261"/>
              </w:tabs>
              <w:ind w:left="34" w:firstLine="28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2610" w:type="dxa"/>
          </w:tcPr>
          <w:p w:rsidR="008C7A4C" w:rsidRPr="00D8178A" w:rsidRDefault="008C7A4C" w:rsidP="008C7A4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3685" w:type="dxa"/>
          </w:tcPr>
          <w:p w:rsidR="008C7A4C" w:rsidRPr="00D8178A" w:rsidRDefault="008C7A4C" w:rsidP="008C7A4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</w:p>
        </w:tc>
      </w:tr>
      <w:tr w:rsidR="00896E05" w:rsidRPr="00F23FC6" w:rsidTr="00F23FC6">
        <w:trPr>
          <w:trHeight w:val="1550"/>
        </w:trPr>
        <w:tc>
          <w:tcPr>
            <w:tcW w:w="630" w:type="dxa"/>
          </w:tcPr>
          <w:p w:rsidR="00896E05" w:rsidRPr="00D8178A" w:rsidRDefault="00896E05" w:rsidP="00425938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</w:tcPr>
          <w:p w:rsidR="001360EF" w:rsidRPr="00B97EFB" w:rsidRDefault="001360EF" w:rsidP="001360EF">
            <w:pPr>
              <w:tabs>
                <w:tab w:val="left" w:pos="-3261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97E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«Էլեկտրոնային կառավարման,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ենթակառուցվածքների </w:t>
            </w:r>
            <w:r w:rsidRPr="00B97E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ներդրման գրասենյակ» ՓԲԸ</w:t>
            </w:r>
            <w:r w:rsidRPr="00B97E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22.10.2020թ.</w:t>
            </w:r>
          </w:p>
          <w:p w:rsidR="00896E05" w:rsidRPr="00681D0B" w:rsidRDefault="001360EF" w:rsidP="001360EF">
            <w:pPr>
              <w:tabs>
                <w:tab w:val="left" w:pos="-3261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97EFB">
              <w:rPr>
                <w:rFonts w:ascii="GHEA Grapalat" w:hAnsi="GHEA Grapalat" w:cs="Sylfaen"/>
                <w:sz w:val="24"/>
                <w:szCs w:val="24"/>
                <w:lang w:val="hy-AM"/>
              </w:rPr>
              <w:t>N</w:t>
            </w:r>
            <w:r w:rsidRPr="00B97E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1548</w:t>
            </w:r>
          </w:p>
        </w:tc>
        <w:tc>
          <w:tcPr>
            <w:tcW w:w="6120" w:type="dxa"/>
          </w:tcPr>
          <w:p w:rsidR="00CF7C2A" w:rsidRPr="00CF7C2A" w:rsidRDefault="00F23FC6" w:rsidP="00CF7C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ՀՀ ՊԵԿ 14</w:t>
            </w:r>
            <w:r w:rsidRPr="00F23FC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.10.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2020</w:t>
            </w:r>
            <w:r w:rsidR="00E15B72" w:rsidRPr="00034FB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թ</w:t>
            </w:r>
            <w:r w:rsidRPr="00F23FC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 N</w:t>
            </w:r>
            <w:r w:rsidR="00E15B72" w:rsidRPr="00034FB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01/3-3/66069-2020 </w:t>
            </w:r>
            <w:r w:rsidR="00E15B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գրո</w:t>
            </w:r>
            <w:r w:rsidR="003A34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ւթյամբ </w:t>
            </w:r>
            <w:r w:rsidR="00E15B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բարձրացված հարցերը խիստ կարևոր են նաև «ԷԿԵՆԳ» ՓԲԸ-ի համար, քանի որ դրանց  լուծումները հանդիսանում են այն բանաձևերը և մեխանիզմները, որոնք ներդրվում են անշարժ գույքի հարկի և փոխադրամիջոցների հաշվառման էլեկտրոնային համակարգի գործողության հիմքում</w:t>
            </w:r>
            <w:r w:rsidR="004D55B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։</w:t>
            </w:r>
          </w:p>
          <w:p w:rsidR="00896E05" w:rsidRPr="00CF7C2A" w:rsidRDefault="00896E05" w:rsidP="00CF7C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:rsidR="00896E05" w:rsidRPr="00D8178A" w:rsidRDefault="00991A91" w:rsidP="00935F5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E2666"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t>նդունվել է ի գիտություն</w:t>
            </w:r>
            <w:r w:rsidR="00A16959"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685" w:type="dxa"/>
          </w:tcPr>
          <w:p w:rsidR="00896E05" w:rsidRPr="00D8178A" w:rsidRDefault="00896E05" w:rsidP="00B97EF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896E05" w:rsidRPr="00D8178A" w:rsidTr="00F23FC6">
        <w:trPr>
          <w:trHeight w:val="1695"/>
        </w:trPr>
        <w:tc>
          <w:tcPr>
            <w:tcW w:w="630" w:type="dxa"/>
          </w:tcPr>
          <w:p w:rsidR="00896E05" w:rsidRPr="00D8178A" w:rsidRDefault="00896E05" w:rsidP="00425938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</w:tcPr>
          <w:p w:rsidR="00B97EFB" w:rsidRDefault="00896E05" w:rsidP="00B97EFB">
            <w:pPr>
              <w:tabs>
                <w:tab w:val="left" w:pos="-3261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="00B97E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Կադաստրի </w:t>
            </w:r>
            <w:r w:rsidR="00B97EFB" w:rsidRPr="00B97EFB">
              <w:rPr>
                <w:rFonts w:ascii="GHEA Grapalat" w:hAnsi="GHEA Grapalat" w:cs="Sylfaen"/>
                <w:sz w:val="24"/>
                <w:szCs w:val="24"/>
                <w:lang w:val="hy-AM"/>
              </w:rPr>
              <w:t>կոմիտե</w:t>
            </w:r>
            <w:r w:rsidRPr="00B97E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96E05" w:rsidRPr="00B97EFB" w:rsidRDefault="00896E05" w:rsidP="00B97EFB">
            <w:pPr>
              <w:tabs>
                <w:tab w:val="left" w:pos="-3261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97EFB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="00CC3A71" w:rsidRPr="00B97EFB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Pr="00B97EF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B97EFB" w:rsidRPr="00B97EFB">
              <w:rPr>
                <w:rFonts w:ascii="GHEA Grapalat" w:hAnsi="GHEA Grapalat" w:cs="Sylfaen"/>
                <w:sz w:val="24"/>
                <w:szCs w:val="24"/>
                <w:lang w:val="hy-AM"/>
              </w:rPr>
              <w:t>11</w:t>
            </w:r>
            <w:r w:rsidR="00CC3A71" w:rsidRPr="00B97EFB">
              <w:rPr>
                <w:rFonts w:ascii="GHEA Grapalat" w:hAnsi="GHEA Grapalat" w:cs="Sylfaen"/>
                <w:sz w:val="24"/>
                <w:szCs w:val="24"/>
                <w:lang w:val="hy-AM"/>
              </w:rPr>
              <w:t>.2020</w:t>
            </w:r>
            <w:r w:rsidRPr="00B97EFB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:rsidR="00B97EFB" w:rsidRPr="00F23FC6" w:rsidRDefault="00896E05" w:rsidP="00B97EFB">
            <w:p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</w:pPr>
            <w:r w:rsidRPr="00B97EFB">
              <w:rPr>
                <w:rFonts w:ascii="GHEA Grapalat" w:hAnsi="GHEA Grapalat" w:cs="Sylfaen"/>
                <w:sz w:val="24"/>
                <w:szCs w:val="24"/>
                <w:lang w:val="hy-AM"/>
              </w:rPr>
              <w:t>N</w:t>
            </w:r>
            <w:r w:rsidR="00B97EFB" w:rsidRPr="00F23FC6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ՍԹ/6519-2020</w:t>
            </w:r>
          </w:p>
          <w:p w:rsidR="00896E05" w:rsidRPr="00D8178A" w:rsidRDefault="00896E05" w:rsidP="00CC3A7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120" w:type="dxa"/>
          </w:tcPr>
          <w:p w:rsidR="00AC56C6" w:rsidRDefault="00935F5E" w:rsidP="00AC56C6">
            <w:pPr>
              <w:autoSpaceDE w:val="0"/>
              <w:autoSpaceDN w:val="0"/>
              <w:adjustRightInd w:val="0"/>
              <w:ind w:firstLine="29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23FC6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</w:t>
            </w:r>
            <w:r w:rsidRPr="00F23FC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րապետության կառավարության 2017 թվականի հոկ</w:t>
            </w:r>
            <w:r w:rsidRPr="00F23FC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տեմբերի 5-ի թիվ 1288-Ն որոշման մեջ փոփոխություններ կատարելու մասին» ՀՀ կա</w:t>
            </w:r>
            <w:r w:rsidRPr="00F23FC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ռավարության որոշման նախագծի վերաբերյալ </w:t>
            </w:r>
            <w:r w:rsidR="00E15B72" w:rsidRPr="00E15B7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դիտողություններ և առաջարկություններ չունենք։</w:t>
            </w:r>
          </w:p>
          <w:p w:rsidR="00AC56C6" w:rsidRDefault="00AC56C6" w:rsidP="00AC56C6">
            <w:pPr>
              <w:autoSpaceDE w:val="0"/>
              <w:autoSpaceDN w:val="0"/>
              <w:adjustRightInd w:val="0"/>
              <w:ind w:firstLine="29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C56C6">
              <w:rPr>
                <w:rFonts w:ascii="GHEA Grapalat" w:hAnsi="GHEA Grapalat"/>
                <w:bCs/>
                <w:sz w:val="24"/>
                <w:szCs w:val="22"/>
                <w:lang w:val="hy-AM"/>
              </w:rPr>
              <w:t xml:space="preserve">Միաժամանակ հայտնում ենք, որ անշարժ գույքի նկատմամբ իրավունքների պետական գրանցման ժամանակ, երբ հողամասի վրա առկա են 1-ից ավելի նպատակային նշանակություն ունեցող շենքեր, շինություններ, ապա այդ բոլոր շենքերը, շինությունները գրանցվում են մեկ նպատակային նշանակությամբ, որոնց դասակարգման ցանկը </w:t>
            </w:r>
            <w:r w:rsidRPr="00AC56C6">
              <w:rPr>
                <w:rFonts w:ascii="GHEA Grapalat" w:hAnsi="GHEA Grapalat"/>
                <w:bCs/>
                <w:sz w:val="24"/>
                <w:szCs w:val="22"/>
                <w:lang w:val="hy-AM"/>
              </w:rPr>
              <w:lastRenderedPageBreak/>
              <w:t>սահմանված է ՀՀ կառավարության 2017 թվականի հունիսի 29-ի N 757-Ն որոշմամբ: Հաշվի առնելով «Անշարժ գույքի հարկով հարկման նպատակով անշարժ գույքի շուկայական արժեքին մոտարկված կադաստրային գնահատման կարգը սահմանելու մասին» ՀՀ օրենքի 4-րդ և 5-րդ հոդվածների 3-րդ մասերի պահանջները՝ անշարժ գույքի շուկայական արժեքին մոտարկված կադաստրային արժեքը ձևավորվում է միայն ամբողջ գույքային միավորի համար, հետևաբար հողամասում մեկից ավելի նպատակային նշանակության շինությունների առկայության պարագայում արդեն իսկ հստակեցված է անշարժ գույքի հարկով հարկման օբյեկտը։</w:t>
            </w:r>
          </w:p>
          <w:p w:rsidR="00AC56C6" w:rsidRDefault="00AC56C6" w:rsidP="00AC56C6">
            <w:pPr>
              <w:autoSpaceDE w:val="0"/>
              <w:autoSpaceDN w:val="0"/>
              <w:adjustRightInd w:val="0"/>
              <w:ind w:firstLine="29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C56C6">
              <w:rPr>
                <w:rFonts w:ascii="GHEA Grapalat" w:hAnsi="GHEA Grapalat"/>
                <w:bCs/>
                <w:sz w:val="24"/>
                <w:szCs w:val="22"/>
                <w:lang w:val="hy-AM"/>
              </w:rPr>
              <w:t>Տեղեկացնում ենք նաև, որ ներկայումս գործող «Գույքահարկի մասին» ՀՀ օրենքով գույքահարկով հարկվող օբյեկտների համար սահմանված են հարկման տարբեր դրույքաչափեր, և այդ հարկվող օբյեկտների կադաստրային գնահատությունը (անկախ շինությունների տարբեր նպատակային նշանակության) իրականացվում է նշված օրենքով սահմանված համապատասխան գնահատման կարգով, իսկ կադաստրային արժեքը ձևավորվում է ամբողջ գույքային միավորի համար, որի նկատմամբ կիրառվում է հարկման համապատասխան դրույքաչափը։</w:t>
            </w:r>
          </w:p>
          <w:p w:rsidR="00AC56C6" w:rsidRDefault="00AC56C6" w:rsidP="00AC56C6">
            <w:pPr>
              <w:autoSpaceDE w:val="0"/>
              <w:autoSpaceDN w:val="0"/>
              <w:adjustRightInd w:val="0"/>
              <w:ind w:firstLine="29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C56C6">
              <w:rPr>
                <w:rFonts w:ascii="GHEA Grapalat" w:hAnsi="GHEA Grapalat"/>
                <w:bCs/>
                <w:sz w:val="24"/>
                <w:szCs w:val="22"/>
                <w:lang w:val="hy-AM"/>
              </w:rPr>
              <w:t>Ելնելով վերոգրյալից՝ հայտնում ենք, որ անշարժ գույքի հարկով հարկման օբյեկտները լրացուցիչ հստակեցման անհրաժեշտություն չունեն:</w:t>
            </w:r>
          </w:p>
          <w:p w:rsidR="003A34CF" w:rsidRPr="00AC56C6" w:rsidRDefault="00AC56C6" w:rsidP="00AC56C6">
            <w:pPr>
              <w:autoSpaceDE w:val="0"/>
              <w:autoSpaceDN w:val="0"/>
              <w:adjustRightInd w:val="0"/>
              <w:ind w:firstLine="29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C56C6">
              <w:rPr>
                <w:rFonts w:ascii="GHEA Grapalat" w:hAnsi="GHEA Grapalat"/>
                <w:bCs/>
                <w:sz w:val="24"/>
                <w:szCs w:val="22"/>
                <w:lang w:val="hy-AM"/>
              </w:rPr>
              <w:t>Միաժամանակ տեղեկացնում ենք, որ ձևավորվել են անշարժ գույքի հարկման 2021-2023 թվականների հարկման բազաները, որոնք սահմանված կարգով և ժամկետներում տրամադրվել են ՀՀ տեղական ինքնակառավարման մարմիններին</w:t>
            </w:r>
            <w:r>
              <w:rPr>
                <w:rFonts w:ascii="GHEA Grapalat" w:hAnsi="GHEA Grapalat"/>
                <w:bCs/>
                <w:sz w:val="24"/>
                <w:szCs w:val="22"/>
                <w:lang w:val="hy-AM"/>
              </w:rPr>
              <w:t>։</w:t>
            </w:r>
            <w:r w:rsidRPr="00AC56C6">
              <w:rPr>
                <w:rFonts w:ascii="GHEA Grapalat" w:hAnsi="GHEA Grapalat" w:cs="Sylfaen"/>
                <w:sz w:val="32"/>
                <w:szCs w:val="24"/>
                <w:lang w:val="hy-AM"/>
              </w:rPr>
              <w:t xml:space="preserve"> </w:t>
            </w:r>
          </w:p>
        </w:tc>
        <w:tc>
          <w:tcPr>
            <w:tcW w:w="2610" w:type="dxa"/>
          </w:tcPr>
          <w:p w:rsidR="00896E05" w:rsidRPr="00D8178A" w:rsidRDefault="00664DFC" w:rsidP="00935F5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Ընդունվել է </w:t>
            </w:r>
            <w:r w:rsidR="0057142A"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t>ի գիտություն</w:t>
            </w:r>
            <w:r w:rsidR="00A16959" w:rsidRPr="00D8178A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685" w:type="dxa"/>
          </w:tcPr>
          <w:p w:rsidR="00896E05" w:rsidRPr="00D8178A" w:rsidRDefault="00896E05" w:rsidP="00664DF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B97EFB" w:rsidRPr="009021CA" w:rsidTr="00F23FC6">
        <w:trPr>
          <w:trHeight w:val="1695"/>
        </w:trPr>
        <w:tc>
          <w:tcPr>
            <w:tcW w:w="630" w:type="dxa"/>
          </w:tcPr>
          <w:p w:rsidR="00B97EFB" w:rsidRPr="00D8178A" w:rsidRDefault="00B97EFB" w:rsidP="00425938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</w:tcPr>
          <w:p w:rsidR="00B97EFB" w:rsidRPr="00B97EFB" w:rsidRDefault="00B97EFB" w:rsidP="00B97EFB">
            <w:pPr>
              <w:tabs>
                <w:tab w:val="left" w:pos="-3261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97EFB">
              <w:rPr>
                <w:rFonts w:ascii="GHEA Grapalat" w:hAnsi="GHEA Grapalat" w:cs="Sylfaen"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  <w:p w:rsidR="00B97EFB" w:rsidRPr="00B97EFB" w:rsidRDefault="00B97EFB" w:rsidP="00B97EFB">
            <w:pPr>
              <w:tabs>
                <w:tab w:val="left" w:pos="-3261"/>
              </w:tabs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B97EFB">
              <w:rPr>
                <w:rFonts w:ascii="GHEA Grapalat" w:hAnsi="GHEA Grapalat" w:cs="Sylfaen"/>
                <w:sz w:val="24"/>
                <w:szCs w:val="24"/>
              </w:rPr>
              <w:t>02</w:t>
            </w:r>
            <w:r w:rsidRPr="00B97EFB">
              <w:rPr>
                <w:rFonts w:ascii="GHEA Grapalat" w:hAnsi="GHEA Grapalat" w:cs="Sylfaen"/>
                <w:sz w:val="24"/>
                <w:szCs w:val="24"/>
                <w:lang w:val="ru-RU"/>
              </w:rPr>
              <w:t>.11.2020</w:t>
            </w:r>
            <w:r w:rsidRPr="00B97EFB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B97EFB">
              <w:rPr>
                <w:rFonts w:ascii="GHEA Grapalat" w:hAnsi="GHEA Grapalat" w:cs="Sylfaen"/>
                <w:sz w:val="24"/>
                <w:szCs w:val="24"/>
                <w:lang w:val="ru-RU"/>
              </w:rPr>
              <w:t>.</w:t>
            </w:r>
          </w:p>
          <w:p w:rsidR="00B97EFB" w:rsidRPr="00B97EFB" w:rsidRDefault="00B97EFB" w:rsidP="00B97EFB">
            <w:p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B97EFB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>NՍՊ/23.3/30504-2020</w:t>
            </w:r>
          </w:p>
          <w:p w:rsidR="00B97EFB" w:rsidRPr="00D8178A" w:rsidRDefault="00B97EFB" w:rsidP="00B97EFB">
            <w:pPr>
              <w:tabs>
                <w:tab w:val="left" w:pos="-3261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120" w:type="dxa"/>
          </w:tcPr>
          <w:p w:rsidR="00F23FC6" w:rsidRPr="00F23FC6" w:rsidRDefault="004D55BE" w:rsidP="00935F5E">
            <w:pPr>
              <w:autoSpaceDE w:val="0"/>
              <w:autoSpaceDN w:val="0"/>
              <w:adjustRightInd w:val="0"/>
              <w:ind w:firstLine="29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23FC6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</w:t>
            </w:r>
            <w:r w:rsidRPr="00F23FC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րապետության կառավարության 2017 թվականի հոկ</w:t>
            </w:r>
            <w:r w:rsidRPr="00F23FC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տեմբերի 5-ի թիվ 1288-Ն որոշման մեջ փոփոխություններ կատարելու մասին» ՀՀ կա</w:t>
            </w:r>
            <w:r w:rsidRPr="00F23FC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ռավարության որոշման նախագծի վերաբերյալ </w:t>
            </w:r>
            <w:r w:rsidRPr="00F23FC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դիտողություններ և առաջարկություններ չկան։ </w:t>
            </w:r>
          </w:p>
          <w:p w:rsidR="00F23FC6" w:rsidRDefault="00F23FC6" w:rsidP="004D55B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:rsidR="00B97EFB" w:rsidRPr="004D55BE" w:rsidRDefault="004D55BE" w:rsidP="00935F5E">
            <w:pPr>
              <w:autoSpaceDE w:val="0"/>
              <w:autoSpaceDN w:val="0"/>
              <w:adjustRightInd w:val="0"/>
              <w:ind w:firstLine="297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Միաժամանակ, Երևանի քաղաքապետարանի կողմից առաջարկվել է</w:t>
            </w:r>
            <w:r w:rsidR="00935F5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 որ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միևնույն գույքային միավորի կազմում ներառված </w:t>
            </w:r>
            <w:r w:rsidRPr="004D55B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նույն հողամասում կառուցված</w:t>
            </w:r>
            <w:r w:rsidRPr="004D55B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տարբեր նշանակության շինությունների մասով անշարժ գույքի հարկի հաշվարկման նպատակով անշարժ գույքի հարկի շուկայական արժեքին մոտարկված կադաստրային ար</w:t>
            </w:r>
            <w:r w:rsidR="00F23FC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ժեքները ՀՀ կադաստրի կոմիտեի կողմից տրամադրվելուց առաջ, կախված շինությունների գործառնական նշանակությունից և զբաղեցրած տարածքից, կատարվի հողամասի համամասնորեն տարանջատում։</w:t>
            </w:r>
          </w:p>
        </w:tc>
        <w:tc>
          <w:tcPr>
            <w:tcW w:w="2610" w:type="dxa"/>
          </w:tcPr>
          <w:p w:rsidR="00F23FC6" w:rsidRDefault="00F23FC6" w:rsidP="00935F5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 ի գիտություն։</w:t>
            </w:r>
          </w:p>
          <w:p w:rsidR="00F23FC6" w:rsidRPr="00F23FC6" w:rsidRDefault="00F23FC6" w:rsidP="00F23FC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F23FC6" w:rsidRPr="00F23FC6" w:rsidRDefault="00F23FC6" w:rsidP="00F23FC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F23FC6" w:rsidRDefault="00F23FC6" w:rsidP="00F23FC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F23FC6" w:rsidRDefault="00F23FC6" w:rsidP="00F23FC6">
            <w:pPr>
              <w:tabs>
                <w:tab w:val="left" w:pos="142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F23FC6" w:rsidRDefault="00F23FC6" w:rsidP="00F23FC6">
            <w:pPr>
              <w:tabs>
                <w:tab w:val="left" w:pos="142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B97EFB" w:rsidRPr="00F23FC6" w:rsidRDefault="003A34CF" w:rsidP="00935F5E">
            <w:pPr>
              <w:tabs>
                <w:tab w:val="left" w:pos="142"/>
              </w:tabs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 առաջարկության մասով կարևորվել է ՀՀ Կադաստրի կոմիտեի դիրքորոշումը։</w:t>
            </w:r>
          </w:p>
        </w:tc>
        <w:tc>
          <w:tcPr>
            <w:tcW w:w="3685" w:type="dxa"/>
          </w:tcPr>
          <w:p w:rsidR="00B97EFB" w:rsidRPr="00D8178A" w:rsidRDefault="00B97EFB" w:rsidP="00664DF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B97EFB" w:rsidRPr="002E0D7E" w:rsidTr="00F23FC6">
        <w:trPr>
          <w:trHeight w:val="1695"/>
        </w:trPr>
        <w:tc>
          <w:tcPr>
            <w:tcW w:w="630" w:type="dxa"/>
          </w:tcPr>
          <w:p w:rsidR="00B97EFB" w:rsidRPr="00D8178A" w:rsidRDefault="00B97EFB" w:rsidP="00425938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</w:tcPr>
          <w:p w:rsidR="00B97EFB" w:rsidRDefault="00B97EFB" w:rsidP="00081541">
            <w:pPr>
              <w:tabs>
                <w:tab w:val="left" w:pos="-3261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 ֆինանսների նախարարություն</w:t>
            </w:r>
          </w:p>
          <w:p w:rsidR="002E0D7E" w:rsidRPr="00F40891" w:rsidRDefault="002E0D7E" w:rsidP="002E0D7E">
            <w:p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hy-AM" w:eastAsia="en-US"/>
              </w:rPr>
            </w:pPr>
            <w:r w:rsidRPr="00F40891">
              <w:rPr>
                <w:rFonts w:ascii="GHEA Grapalat" w:hAnsi="GHEA Grapalat" w:cs="Sylfaen"/>
                <w:sz w:val="24"/>
                <w:szCs w:val="24"/>
                <w:lang w:val="hy-AM"/>
              </w:rPr>
              <w:t>08.11.2020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թ․ </w:t>
            </w:r>
            <w:r w:rsidRPr="00F40891">
              <w:rPr>
                <w:rFonts w:ascii="GHEA Grapalat" w:hAnsi="GHEA Grapalat" w:cs="Sylfaen"/>
                <w:sz w:val="24"/>
                <w:szCs w:val="24"/>
                <w:lang w:val="hy-AM"/>
              </w:rPr>
              <w:t>N</w:t>
            </w:r>
            <w:r w:rsidRPr="00F40891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01/2-3/16478-2020</w:t>
            </w:r>
          </w:p>
          <w:p w:rsidR="002E0D7E" w:rsidRPr="00F40891" w:rsidRDefault="002E0D7E" w:rsidP="00081541">
            <w:pPr>
              <w:tabs>
                <w:tab w:val="left" w:pos="-3261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120" w:type="dxa"/>
          </w:tcPr>
          <w:p w:rsidR="002E0D7E" w:rsidRPr="00170F69" w:rsidRDefault="002E0D7E" w:rsidP="002E0D7E">
            <w:pPr>
              <w:spacing w:before="120"/>
              <w:ind w:firstLine="5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0F69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«Հայաս</w:t>
            </w:r>
            <w:r w:rsidRPr="00170F69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տանի Հանրապետության կառավարության 2017 թվականի հոկտեմբերի 5-ի թիվ 1288-Ն որոշ</w:t>
            </w:r>
            <w:r w:rsidRPr="00170F69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170F69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Pr="00170F69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ման մեջ փոփոխություններ կատարելու մասին» ՀՀ կառավարության որոշման նախա</w:t>
            </w:r>
            <w:r w:rsidRPr="00170F69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 xml:space="preserve">գծի 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վերա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բե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րյալ </w:t>
            </w:r>
            <w:r w:rsidRPr="00170F69">
              <w:rPr>
                <w:rFonts w:ascii="GHEA Grapalat" w:hAnsi="GHEA Grapalat"/>
                <w:sz w:val="24"/>
                <w:szCs w:val="24"/>
                <w:lang w:val="af-ZA"/>
              </w:rPr>
              <w:t>հայտ</w:t>
            </w:r>
            <w:r w:rsidRPr="00170F6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170F6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170F69">
              <w:rPr>
                <w:rFonts w:ascii="GHEA Grapalat" w:hAnsi="GHEA Grapalat"/>
                <w:sz w:val="24"/>
                <w:szCs w:val="24"/>
                <w:lang w:val="af-ZA"/>
              </w:rPr>
              <w:softHyphen/>
              <w:t>նում ենք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, որ դիտողություններ և առաջարկություններ չկան։</w:t>
            </w:r>
          </w:p>
          <w:p w:rsidR="002E0D7E" w:rsidRDefault="002E0D7E" w:rsidP="002E0D7E">
            <w:pPr>
              <w:ind w:firstLine="5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Միաժամանակ, հաշվի առնելով այն հանգամանքը, որ </w:t>
            </w:r>
            <w:r w:rsidRPr="00132393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միևնույն 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գույքային միավորի կազ</w:t>
            </w:r>
            <w:r w:rsidRPr="00132393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մում ներառ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ված (նույն հողամասի վրա կառուց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ված)</w:t>
            </w:r>
            <w:r w:rsidRPr="00132393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տարբեր նշանակության շինու</w:t>
            </w:r>
            <w:r w:rsidRPr="00132393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թյուն</w:t>
            </w:r>
            <w:r w:rsidRPr="00132393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ների մասով անշարժ գույքի հարկի հաշ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վարկ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ման </w:t>
            </w:r>
            <w:r w:rsidRPr="0013239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 կապված 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հարց</w:t>
            </w:r>
            <w:r w:rsidRPr="00132393">
              <w:rPr>
                <w:rFonts w:ascii="GHEA Grapalat" w:hAnsi="GHEA Grapalat"/>
                <w:sz w:val="24"/>
                <w:szCs w:val="24"/>
                <w:lang w:val="hy-AM"/>
              </w:rPr>
              <w:t xml:space="preserve">ը պայմանավորված է 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հողա</w:t>
            </w:r>
            <w:r w:rsidRPr="00132393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մասի և դրա բարելավումների</w:t>
            </w:r>
            <w:r w:rsidRPr="001323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անշարժ գույքի հարկով հարկման 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նպատակով գնա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հատ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սկզբունքներ</w:t>
            </w:r>
            <w:r w:rsidRPr="00132393">
              <w:rPr>
                <w:rFonts w:ascii="GHEA Grapalat" w:hAnsi="GHEA Grapalat"/>
                <w:sz w:val="24"/>
                <w:szCs w:val="24"/>
                <w:lang w:val="hy-AM"/>
              </w:rPr>
              <w:t>ով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՝ հարցի կապակցությամբ կարևորում ենք ՀՀ կադաստրի կո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մի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տեի դիրքորոշումը:</w:t>
            </w:r>
          </w:p>
          <w:p w:rsidR="00B97EFB" w:rsidRPr="002E0D7E" w:rsidRDefault="002E0D7E" w:rsidP="002E0D7E">
            <w:pPr>
              <w:ind w:firstLine="5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Ինչ վերաբերում է անշարժ գույքի հարկի և փոխադրամիջոցների գույ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քահարկի հաշ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վառ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էլեկտրոնային տեղեկատվական համակարգում պարտավորութ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յունների հաշ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վառ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</w:t>
            </w:r>
            <w:r w:rsidRPr="00170F6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կանոն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պարզեցման նպատակով անշարժ գույքի հարկի և (կամ) փոխադ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մի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ջոց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գույքահարկի պարտավորությունների</w:t>
            </w:r>
            <w:r w:rsidRPr="00170F6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մարման</w:t>
            </w:r>
            <w:r w:rsidRPr="00170F6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նպատակով</w:t>
            </w:r>
            <w:r w:rsidRPr="00170F6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կատարված</w:t>
            </w:r>
            <w:r w:rsidRPr="00170F6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վճարումների</w:t>
            </w:r>
            <w:r w:rsidRPr="00170F6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հաշ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վին ան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շարժ գույքի հարկի և (կամ) փոխադրամիջոցների գույքահարկի պարտա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</w:t>
            </w:r>
            <w:r w:rsidRPr="00170F69">
              <w:rPr>
                <w:rFonts w:ascii="GHEA Grapalat" w:hAnsi="GHEA Grapalat"/>
                <w:sz w:val="24"/>
                <w:szCs w:val="24"/>
                <w:lang w:val="fr-FR"/>
              </w:rPr>
              <w:t xml:space="preserve"> մարման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>, կատարված վճարումները որպես գերավճար հաշվառելու</w:t>
            </w:r>
            <w:r w:rsidRPr="00170F69">
              <w:rPr>
                <w:rFonts w:ascii="GHEA Grapalat" w:hAnsi="GHEA Grapalat"/>
                <w:sz w:val="24"/>
                <w:szCs w:val="24"/>
                <w:lang w:val="fr-FR"/>
              </w:rPr>
              <w:t xml:space="preserve"> կանոնների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հնա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վոր փոփոխությունների վերաբերյալ առա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ջարկություններ ներկայացնելուն, ապա հայտ</w:t>
            </w:r>
            <w:r w:rsidRPr="00170F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 ենք, որ մեր իրավասությունների շրջանակում առաջարկություններ չկան</w:t>
            </w:r>
            <w:r w:rsidRPr="002E0D7E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2610" w:type="dxa"/>
          </w:tcPr>
          <w:p w:rsidR="002E0D7E" w:rsidRDefault="002E0D7E" w:rsidP="002E0D7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Ընդունվել է ի գիտություն։</w:t>
            </w:r>
          </w:p>
          <w:p w:rsidR="002E0D7E" w:rsidRDefault="002E0D7E" w:rsidP="00C51D5B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0D7E" w:rsidRPr="002E0D7E" w:rsidRDefault="002E0D7E" w:rsidP="002E0D7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0D7E" w:rsidRPr="002E0D7E" w:rsidRDefault="002E0D7E" w:rsidP="002E0D7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0D7E" w:rsidRPr="002E0D7E" w:rsidRDefault="002E0D7E" w:rsidP="002E0D7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0D7E" w:rsidRPr="002E0D7E" w:rsidRDefault="002E0D7E" w:rsidP="002E0D7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0D7E" w:rsidRDefault="002E0D7E" w:rsidP="002E0D7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B97EFB" w:rsidRPr="002E0D7E" w:rsidRDefault="00B97EFB" w:rsidP="002E0D7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685" w:type="dxa"/>
          </w:tcPr>
          <w:p w:rsidR="00B97EFB" w:rsidRPr="00D8178A" w:rsidRDefault="00B97EFB" w:rsidP="00664DF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D1021D" w:rsidRPr="00D1021D" w:rsidTr="00F23FC6">
        <w:trPr>
          <w:trHeight w:val="1695"/>
        </w:trPr>
        <w:tc>
          <w:tcPr>
            <w:tcW w:w="630" w:type="dxa"/>
          </w:tcPr>
          <w:p w:rsidR="00D1021D" w:rsidRPr="00D8178A" w:rsidRDefault="00D1021D" w:rsidP="00425938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</w:tcPr>
          <w:p w:rsidR="00D1021D" w:rsidRPr="009021CA" w:rsidRDefault="00D1021D" w:rsidP="00D1021D">
            <w:pPr>
              <w:tabs>
                <w:tab w:val="left" w:pos="-3261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 արդարադատության նախարար</w:t>
            </w:r>
            <w:r w:rsidRPr="009021CA">
              <w:rPr>
                <w:rFonts w:ascii="GHEA Grapalat" w:hAnsi="GHEA Grapalat" w:cs="Sylfaen"/>
                <w:sz w:val="24"/>
                <w:szCs w:val="24"/>
                <w:lang w:val="hy-AM"/>
              </w:rPr>
              <w:t>ություն</w:t>
            </w:r>
          </w:p>
          <w:p w:rsidR="00D1021D" w:rsidRPr="009021CA" w:rsidRDefault="00D1021D" w:rsidP="00D1021D">
            <w:pPr>
              <w:tabs>
                <w:tab w:val="left" w:pos="-3261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21CA">
              <w:rPr>
                <w:rFonts w:ascii="GHEA Grapalat" w:hAnsi="GHEA Grapalat" w:cs="Sylfaen"/>
                <w:sz w:val="24"/>
                <w:szCs w:val="24"/>
                <w:lang w:val="hy-AM"/>
              </w:rPr>
              <w:t>27.11.2020թ. N</w:t>
            </w:r>
            <w:r w:rsidRPr="009021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//26343-2020</w:t>
            </w:r>
          </w:p>
        </w:tc>
        <w:tc>
          <w:tcPr>
            <w:tcW w:w="6120" w:type="dxa"/>
          </w:tcPr>
          <w:p w:rsidR="00D1021D" w:rsidRPr="009021CA" w:rsidRDefault="00D1021D" w:rsidP="0029270F">
            <w:pPr>
              <w:tabs>
                <w:tab w:val="left" w:pos="396"/>
              </w:tabs>
              <w:ind w:firstLine="5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9021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կառավարության 2017 թվականի հոկտեմբերի 5-ի թիվ 1288-Ն որոշման մեջ փոփոխություններ կատարելու մասին»</w:t>
            </w:r>
            <w:r w:rsidRPr="009021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կառավարության որոշման նախագծի</w:t>
            </w:r>
            <w:r w:rsidRPr="009021CA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t>այսուհետ՝ Նախագիծ</w:t>
            </w:r>
            <w:r w:rsidRPr="009021CA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վերնագրում «փոփոխություններ» բառից հետո անհրաժեշտ է լրացնել «և լրացում» բառ</w:t>
            </w:r>
            <w:r w:rsidRPr="009021CA">
              <w:rPr>
                <w:rFonts w:ascii="GHEA Grapalat" w:hAnsi="GHEA Grapalat"/>
                <w:sz w:val="24"/>
                <w:szCs w:val="24"/>
                <w:lang w:val="hy-AM"/>
              </w:rPr>
              <w:t>եր</w:t>
            </w: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t xml:space="preserve">ը՝ նկատի ունենալով, որ Նախագծի 1-ին կետի 3-րդ ենթակետում նախատեսվում է կատարել լրացում: Սույն դիտողությունը բխում է «Նորմատիվ իրավական ակտերի մասին» </w:t>
            </w:r>
            <w:r w:rsidRPr="009021C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օրենքի 12-րդ հոդվածի 1-ին </w:t>
            </w:r>
            <w:r w:rsidRPr="009021CA">
              <w:rPr>
                <w:rFonts w:ascii="GHEA Grapalat" w:hAnsi="GHEA Grapalat"/>
                <w:sz w:val="24"/>
                <w:szCs w:val="24"/>
                <w:lang w:val="hy-AM"/>
              </w:rPr>
              <w:t>մաս</w:t>
            </w: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t>ի կարգավորումից:</w:t>
            </w:r>
          </w:p>
          <w:p w:rsidR="00D1021D" w:rsidRPr="00FF73FD" w:rsidRDefault="00D1021D" w:rsidP="00FF73FD">
            <w:pPr>
              <w:ind w:firstLine="547"/>
              <w:jc w:val="both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t xml:space="preserve">2. Նախագծի </w:t>
            </w:r>
            <w:r w:rsidRPr="002927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նախաբանում </w:t>
            </w: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հղում է տրված միայն «Նորմատիվ իրավական ակտերի մասին» օրենքի 34-րդ հոդվածի 1-ին մասին, ինչը մեր </w:t>
            </w: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կարծիքով, բավարար չէ նախագծով առաջարկվող </w:t>
            </w:r>
            <w:r w:rsidRPr="009021CA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փոփոխությունների </w:t>
            </w: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անհրաժեշտությունը հիմնավորելու համար: </w:t>
            </w:r>
            <w:r w:rsidRPr="0029270F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Նախագծի հիմնավորման համաձայն՝ նախագծի ընդունումը բխում է</w:t>
            </w:r>
            <w:r w:rsidRPr="009021C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29270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Հայաստանի Հանրապետության հարկային օրենսգրքում փոփոխություններ և լրացումներ կատարելու մասին ՀՕ-332-Ն </w:t>
            </w:r>
            <w:r w:rsidRPr="009021C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</w:t>
            </w:r>
            <w:r w:rsidRPr="0029270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օրենքի և «Անշարժ գույքի հարկով հարկման նպատակով անշարժ գույքի շուկայական արժեքին մոտարկված կադաստրային գնահատման կարգը սահմանելու մասին» </w:t>
            </w:r>
            <w:r w:rsidRPr="009021C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</w:t>
            </w:r>
            <w:r w:rsidRPr="0029270F">
              <w:rPr>
                <w:rFonts w:ascii="GHEA Grapalat" w:hAnsi="GHEA Grapalat" w:cs="Arial"/>
                <w:sz w:val="24"/>
                <w:szCs w:val="24"/>
                <w:lang w:val="hy-AM"/>
              </w:rPr>
              <w:t>օրենքի դրույթներից:</w:t>
            </w:r>
            <w:r w:rsidRPr="009021C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t>Ուստի, նախագծի նախաբանում անհրաժեշտ է հղում կատարել նաև վերոնշյալ օրենքների</w:t>
            </w:r>
            <w:r w:rsidRPr="009021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հոդվածներին</w:t>
            </w: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t>: Հիշյալ դիտողությունը բխում է ՀՀ Սահմանադրության 6-րդ հոդվածի պահանջներից, որոնց համաձայն՝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Լիազորող նորմերը պետք է համապատասխանեն իրավական որոշակիության սկզբունքին: Նույն կարգավորումն է նախատեսված նաև «Նորմատիվ իրավական ակտերի մասին» Հայաստանի Հանրապետության օրենքի 13-րդ հոդվածի 1-ին մասով, որը սահմանում է. «</w:t>
            </w:r>
            <w:r w:rsidRPr="002927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Ենթաօրենսդրական նորմատիվ իրավական ակտը ունենում է նախաբան, որում նշվում է օրենսդրական իրավական ակտի հոդվածը կամ մասը, որը ներառում է Սահմանադրության</w:t>
            </w:r>
            <w:r w:rsidRPr="0029270F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bookmarkStart w:id="1" w:name="P846"/>
            <w:r w:rsidRPr="0029270F">
              <w:rPr>
                <w:rStyle w:val="Hyperlink"/>
                <w:rFonts w:ascii="GHEA Grapalat" w:hAnsi="GHEA Grapalat"/>
                <w:color w:val="000000"/>
                <w:sz w:val="24"/>
                <w:szCs w:val="24"/>
                <w:u w:val="none"/>
                <w:shd w:val="clear" w:color="auto" w:fill="FFFFFF"/>
                <w:lang w:val="hy-AM"/>
              </w:rPr>
              <w:fldChar w:fldCharType="begin"/>
            </w:r>
            <w:r w:rsidRPr="0029270F">
              <w:rPr>
                <w:rStyle w:val="Hyperlink"/>
                <w:rFonts w:ascii="GHEA Grapalat" w:hAnsi="GHEA Grapalat"/>
                <w:color w:val="000000"/>
                <w:sz w:val="24"/>
                <w:szCs w:val="24"/>
                <w:u w:val="none"/>
                <w:shd w:val="clear" w:color="auto" w:fill="FFFFFF"/>
                <w:lang w:val="hy-AM"/>
              </w:rPr>
              <w:instrText>HYPERLINK "http://www.irtek.am/views/act.aspx?aid=150549"</w:instrText>
            </w:r>
            <w:r w:rsidRPr="0029270F">
              <w:rPr>
                <w:rStyle w:val="Hyperlink"/>
                <w:rFonts w:ascii="GHEA Grapalat" w:hAnsi="GHEA Grapalat"/>
                <w:color w:val="000000"/>
                <w:sz w:val="24"/>
                <w:szCs w:val="24"/>
                <w:u w:val="none"/>
                <w:shd w:val="clear" w:color="auto" w:fill="FFFFFF"/>
                <w:lang w:val="hy-AM"/>
              </w:rPr>
              <w:fldChar w:fldCharType="separate"/>
            </w:r>
            <w:r w:rsidRPr="0029270F">
              <w:rPr>
                <w:rStyle w:val="Hyperlink"/>
                <w:rFonts w:ascii="GHEA Grapalat" w:hAnsi="GHEA Grapalat"/>
                <w:color w:val="000000"/>
                <w:sz w:val="24"/>
                <w:szCs w:val="24"/>
                <w:u w:val="none"/>
                <w:shd w:val="clear" w:color="auto" w:fill="FFFFFF"/>
                <w:lang w:val="hy-AM"/>
              </w:rPr>
              <w:t>6-րդ հոդվածի 2-րդ մասով</w:t>
            </w:r>
            <w:r w:rsidRPr="0029270F">
              <w:rPr>
                <w:rStyle w:val="Hyperlink"/>
                <w:rFonts w:ascii="GHEA Grapalat" w:hAnsi="GHEA Grapalat"/>
                <w:color w:val="000000"/>
                <w:sz w:val="24"/>
                <w:szCs w:val="24"/>
                <w:u w:val="none"/>
                <w:shd w:val="clear" w:color="auto" w:fill="FFFFFF"/>
                <w:lang w:val="hy-AM"/>
              </w:rPr>
              <w:fldChar w:fldCharType="end"/>
            </w:r>
            <w:bookmarkEnd w:id="1"/>
            <w:r w:rsidRPr="0029270F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29270F">
              <w:rPr>
                <w:rFonts w:ascii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սահմանված լիազորող </w:t>
            </w:r>
            <w:r w:rsidRPr="002927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նորմեր</w:t>
            </w: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2927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Հետևաբար, նախագծի նախաբանում համապատասխան օրենքի նորմի բացակայությունը </w:t>
            </w:r>
            <w:r w:rsidRPr="0029270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հնարավորություն չի տալիս գնահատել նման որոշման ընդունման լիազորության առկայությունը</w:t>
            </w:r>
            <w:r w:rsidR="00FF73FD" w:rsidRPr="00FF73F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2610" w:type="dxa"/>
          </w:tcPr>
          <w:p w:rsidR="00D1021D" w:rsidRDefault="00D1021D" w:rsidP="002E0D7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>Ընդունվել է:</w:t>
            </w:r>
          </w:p>
          <w:p w:rsidR="009021CA" w:rsidRDefault="009021CA" w:rsidP="002E0D7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  <w:p w:rsidR="009021CA" w:rsidRDefault="009021CA" w:rsidP="002E0D7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  <w:p w:rsidR="009021CA" w:rsidRDefault="009021CA" w:rsidP="002E0D7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  <w:p w:rsidR="009021CA" w:rsidRDefault="009021CA" w:rsidP="002E0D7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  <w:p w:rsidR="009021CA" w:rsidRDefault="009021CA" w:rsidP="002E0D7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  <w:p w:rsidR="009021CA" w:rsidRDefault="009021CA" w:rsidP="002E0D7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  <w:p w:rsidR="009021CA" w:rsidRDefault="009021CA" w:rsidP="002E0D7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  <w:p w:rsidR="009021CA" w:rsidRDefault="009021CA" w:rsidP="002E0D7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  <w:p w:rsidR="009021CA" w:rsidRDefault="009021CA" w:rsidP="002E0D7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  <w:p w:rsidR="009021CA" w:rsidRDefault="009021CA" w:rsidP="002E0D7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  <w:p w:rsidR="009021CA" w:rsidRDefault="009021CA" w:rsidP="002E0D7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  <w:p w:rsidR="009021CA" w:rsidRDefault="009021CA" w:rsidP="009021C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Ընդունվել է:</w:t>
            </w:r>
          </w:p>
          <w:p w:rsidR="009021CA" w:rsidRPr="00D1021D" w:rsidRDefault="009021CA" w:rsidP="002E0D7E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021D" w:rsidRDefault="001674FD" w:rsidP="000B5D4A">
            <w:pPr>
              <w:autoSpaceDE w:val="0"/>
              <w:autoSpaceDN w:val="0"/>
              <w:adjustRightInd w:val="0"/>
              <w:ind w:firstLine="317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Ն</w:t>
            </w:r>
            <w:r w:rsidR="00D1021D" w:rsidRPr="00474F32">
              <w:rPr>
                <w:rFonts w:ascii="GHEA Grapalat" w:hAnsi="GHEA Grapalat"/>
                <w:sz w:val="24"/>
                <w:lang w:val="hy-AM"/>
              </w:rPr>
              <w:t>ախագծի</w:t>
            </w:r>
            <w:r w:rsidR="00D1021D" w:rsidRPr="00D1021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D1021D">
              <w:rPr>
                <w:rFonts w:ascii="GHEA Grapalat" w:hAnsi="GHEA Grapalat"/>
                <w:sz w:val="24"/>
                <w:lang w:val="hy-AM"/>
              </w:rPr>
              <w:t>վերնագրում «փոփոխություններ» բառից հետո լրաց</w:t>
            </w:r>
            <w:r w:rsidR="00D1021D">
              <w:rPr>
                <w:rFonts w:ascii="GHEA Grapalat" w:hAnsi="GHEA Grapalat"/>
                <w:sz w:val="24"/>
              </w:rPr>
              <w:t>վ</w:t>
            </w:r>
            <w:r w:rsidR="00D1021D">
              <w:rPr>
                <w:rFonts w:ascii="GHEA Grapalat" w:hAnsi="GHEA Grapalat"/>
                <w:sz w:val="24"/>
                <w:lang w:val="hy-AM"/>
              </w:rPr>
              <w:t>ել</w:t>
            </w:r>
            <w:r>
              <w:rPr>
                <w:rFonts w:ascii="GHEA Grapalat" w:hAnsi="GHEA Grapalat"/>
                <w:sz w:val="24"/>
              </w:rPr>
              <w:t xml:space="preserve"> է</w:t>
            </w:r>
            <w:r w:rsidR="00D1021D">
              <w:rPr>
                <w:rFonts w:ascii="GHEA Grapalat" w:hAnsi="GHEA Grapalat"/>
                <w:sz w:val="24"/>
                <w:lang w:val="hy-AM"/>
              </w:rPr>
              <w:t xml:space="preserve"> «և լրացում» բառ</w:t>
            </w:r>
            <w:r w:rsidR="00D1021D" w:rsidRPr="00D1021D">
              <w:rPr>
                <w:rFonts w:ascii="GHEA Grapalat" w:hAnsi="GHEA Grapalat"/>
                <w:sz w:val="24"/>
                <w:lang w:val="hy-AM"/>
              </w:rPr>
              <w:t>եր</w:t>
            </w:r>
            <w:r w:rsidR="00D1021D">
              <w:rPr>
                <w:rFonts w:ascii="GHEA Grapalat" w:hAnsi="GHEA Grapalat"/>
                <w:sz w:val="24"/>
                <w:lang w:val="hy-AM"/>
              </w:rPr>
              <w:t>ը</w:t>
            </w:r>
            <w:r w:rsidR="00D1021D">
              <w:rPr>
                <w:rFonts w:ascii="GHEA Grapalat" w:hAnsi="GHEA Grapalat"/>
                <w:sz w:val="24"/>
              </w:rPr>
              <w:t>:</w:t>
            </w:r>
          </w:p>
          <w:p w:rsidR="009021CA" w:rsidRDefault="009021CA" w:rsidP="00D1021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/>
                <w:sz w:val="24"/>
              </w:rPr>
            </w:pPr>
          </w:p>
          <w:p w:rsidR="009021CA" w:rsidRDefault="009021CA" w:rsidP="00D1021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/>
                <w:sz w:val="24"/>
              </w:rPr>
            </w:pPr>
          </w:p>
          <w:p w:rsidR="009021CA" w:rsidRDefault="009021CA" w:rsidP="00D1021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/>
                <w:sz w:val="24"/>
              </w:rPr>
            </w:pPr>
          </w:p>
          <w:p w:rsidR="009021CA" w:rsidRDefault="009021CA" w:rsidP="00D1021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/>
                <w:sz w:val="24"/>
              </w:rPr>
            </w:pPr>
          </w:p>
          <w:p w:rsidR="009021CA" w:rsidRDefault="009021CA" w:rsidP="00D1021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/>
                <w:sz w:val="24"/>
              </w:rPr>
            </w:pPr>
          </w:p>
          <w:p w:rsidR="009021CA" w:rsidRDefault="009021CA" w:rsidP="00D1021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/>
                <w:sz w:val="24"/>
              </w:rPr>
            </w:pPr>
          </w:p>
          <w:p w:rsidR="009021CA" w:rsidRDefault="009021CA" w:rsidP="00D1021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/>
                <w:sz w:val="24"/>
              </w:rPr>
            </w:pPr>
          </w:p>
          <w:p w:rsidR="009021CA" w:rsidRDefault="009021CA" w:rsidP="00D1021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/>
                <w:sz w:val="24"/>
              </w:rPr>
            </w:pPr>
          </w:p>
          <w:p w:rsidR="009021CA" w:rsidRPr="00D1021D" w:rsidRDefault="009021CA" w:rsidP="000B5D4A">
            <w:pPr>
              <w:autoSpaceDE w:val="0"/>
              <w:autoSpaceDN w:val="0"/>
              <w:adjustRightInd w:val="0"/>
              <w:ind w:firstLine="317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</w:rPr>
              <w:t>Ն</w:t>
            </w:r>
            <w:r w:rsidRPr="00474F32">
              <w:rPr>
                <w:rFonts w:ascii="GHEA Grapalat" w:hAnsi="GHEA Grapalat"/>
                <w:sz w:val="24"/>
                <w:lang w:val="hy-AM"/>
              </w:rPr>
              <w:t>ախագծի</w:t>
            </w:r>
            <w:r w:rsidRPr="00D1021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նախաբանում կատարվել է համապատաս</w:t>
            </w:r>
            <w:r w:rsidR="000B5D4A">
              <w:rPr>
                <w:rFonts w:ascii="GHEA Grapalat" w:hAnsi="GHEA Grapalat"/>
                <w:sz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lang w:val="hy-AM"/>
              </w:rPr>
              <w:t>խան լրացում։</w:t>
            </w:r>
          </w:p>
        </w:tc>
      </w:tr>
    </w:tbl>
    <w:p w:rsidR="006A5843" w:rsidRPr="00D1021D" w:rsidRDefault="006A5843">
      <w:pPr>
        <w:rPr>
          <w:rFonts w:ascii="GHEA Grapalat" w:hAnsi="GHEA Grapalat"/>
          <w:lang w:val="hy-AM"/>
        </w:rPr>
      </w:pPr>
    </w:p>
    <w:sectPr w:rsidR="006A5843" w:rsidRPr="00D1021D" w:rsidSect="005B6124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17F"/>
    <w:multiLevelType w:val="hybridMultilevel"/>
    <w:tmpl w:val="0CFA47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6D7D"/>
    <w:multiLevelType w:val="hybridMultilevel"/>
    <w:tmpl w:val="A7F61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7D87"/>
    <w:multiLevelType w:val="hybridMultilevel"/>
    <w:tmpl w:val="4E1AD4DC"/>
    <w:lvl w:ilvl="0" w:tplc="15EE8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0BB69E0"/>
    <w:multiLevelType w:val="hybridMultilevel"/>
    <w:tmpl w:val="0834F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56D4E"/>
    <w:multiLevelType w:val="hybridMultilevel"/>
    <w:tmpl w:val="2E388F4C"/>
    <w:lvl w:ilvl="0" w:tplc="E1564F4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2A726B"/>
    <w:multiLevelType w:val="hybridMultilevel"/>
    <w:tmpl w:val="7FE288AC"/>
    <w:lvl w:ilvl="0" w:tplc="15EE8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6EB618D2"/>
    <w:multiLevelType w:val="hybridMultilevel"/>
    <w:tmpl w:val="DCBA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71EA5"/>
    <w:multiLevelType w:val="hybridMultilevel"/>
    <w:tmpl w:val="8F844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4F3665"/>
    <w:rsid w:val="0001695B"/>
    <w:rsid w:val="000657B3"/>
    <w:rsid w:val="00072BA0"/>
    <w:rsid w:val="000810D1"/>
    <w:rsid w:val="000912B0"/>
    <w:rsid w:val="000B5D4A"/>
    <w:rsid w:val="000B7AF5"/>
    <w:rsid w:val="000F3296"/>
    <w:rsid w:val="00111205"/>
    <w:rsid w:val="001166BB"/>
    <w:rsid w:val="001360EF"/>
    <w:rsid w:val="00144A41"/>
    <w:rsid w:val="00144ACF"/>
    <w:rsid w:val="00165CFB"/>
    <w:rsid w:val="001674FD"/>
    <w:rsid w:val="00194C6C"/>
    <w:rsid w:val="002767E0"/>
    <w:rsid w:val="0029270F"/>
    <w:rsid w:val="002A75A5"/>
    <w:rsid w:val="002C46E0"/>
    <w:rsid w:val="002D5878"/>
    <w:rsid w:val="002E0D7E"/>
    <w:rsid w:val="00352BFA"/>
    <w:rsid w:val="00390BC6"/>
    <w:rsid w:val="003A34CF"/>
    <w:rsid w:val="00425938"/>
    <w:rsid w:val="004648FE"/>
    <w:rsid w:val="004D55BE"/>
    <w:rsid w:val="004E2666"/>
    <w:rsid w:val="004E4C15"/>
    <w:rsid w:val="004F3665"/>
    <w:rsid w:val="00513A2F"/>
    <w:rsid w:val="00514E7B"/>
    <w:rsid w:val="00516981"/>
    <w:rsid w:val="00557A0E"/>
    <w:rsid w:val="00564DC7"/>
    <w:rsid w:val="0057142A"/>
    <w:rsid w:val="00595B65"/>
    <w:rsid w:val="005B6124"/>
    <w:rsid w:val="005E7EE8"/>
    <w:rsid w:val="00646B52"/>
    <w:rsid w:val="00664DFC"/>
    <w:rsid w:val="00681D0B"/>
    <w:rsid w:val="00696545"/>
    <w:rsid w:val="006A5843"/>
    <w:rsid w:val="00721756"/>
    <w:rsid w:val="00766F00"/>
    <w:rsid w:val="007B38F7"/>
    <w:rsid w:val="007E7D70"/>
    <w:rsid w:val="008013F1"/>
    <w:rsid w:val="008232A1"/>
    <w:rsid w:val="00825947"/>
    <w:rsid w:val="00847DF0"/>
    <w:rsid w:val="00896E05"/>
    <w:rsid w:val="008B6D33"/>
    <w:rsid w:val="008C7A4C"/>
    <w:rsid w:val="009021CA"/>
    <w:rsid w:val="00933957"/>
    <w:rsid w:val="00935F5E"/>
    <w:rsid w:val="0095651F"/>
    <w:rsid w:val="00991A91"/>
    <w:rsid w:val="00996239"/>
    <w:rsid w:val="009C6EE2"/>
    <w:rsid w:val="00A16959"/>
    <w:rsid w:val="00A735B1"/>
    <w:rsid w:val="00A84595"/>
    <w:rsid w:val="00AC56C6"/>
    <w:rsid w:val="00AE72D7"/>
    <w:rsid w:val="00B15BAF"/>
    <w:rsid w:val="00B35D1E"/>
    <w:rsid w:val="00B502F9"/>
    <w:rsid w:val="00B97EFB"/>
    <w:rsid w:val="00BF140E"/>
    <w:rsid w:val="00C00F2D"/>
    <w:rsid w:val="00C35DA6"/>
    <w:rsid w:val="00C47162"/>
    <w:rsid w:val="00C51D5B"/>
    <w:rsid w:val="00C54802"/>
    <w:rsid w:val="00CC2F94"/>
    <w:rsid w:val="00CC3A71"/>
    <w:rsid w:val="00CC52A7"/>
    <w:rsid w:val="00CE0F67"/>
    <w:rsid w:val="00CE4592"/>
    <w:rsid w:val="00CF7C2A"/>
    <w:rsid w:val="00D01031"/>
    <w:rsid w:val="00D1021D"/>
    <w:rsid w:val="00D8178A"/>
    <w:rsid w:val="00E03E0A"/>
    <w:rsid w:val="00E128D2"/>
    <w:rsid w:val="00E15B72"/>
    <w:rsid w:val="00E8150C"/>
    <w:rsid w:val="00E861E6"/>
    <w:rsid w:val="00EA63D5"/>
    <w:rsid w:val="00EA6544"/>
    <w:rsid w:val="00EA6FF9"/>
    <w:rsid w:val="00F11263"/>
    <w:rsid w:val="00F23FC6"/>
    <w:rsid w:val="00F32670"/>
    <w:rsid w:val="00F3358A"/>
    <w:rsid w:val="00F40891"/>
    <w:rsid w:val="00F40B72"/>
    <w:rsid w:val="00F432D7"/>
    <w:rsid w:val="00F51387"/>
    <w:rsid w:val="00F73A04"/>
    <w:rsid w:val="00F836CE"/>
    <w:rsid w:val="00FF177C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B7A08-4A05-4BBE-9C97-4842EBD1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A4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C6C"/>
    <w:pPr>
      <w:ind w:left="720"/>
      <w:contextualSpacing/>
    </w:pPr>
  </w:style>
  <w:style w:type="paragraph" w:styleId="NoSpacing">
    <w:name w:val="No Spacing"/>
    <w:link w:val="NoSpacingChar"/>
    <w:qFormat/>
    <w:rsid w:val="00514E7B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514E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04"/>
    <w:rPr>
      <w:rFonts w:ascii="Tahoma" w:eastAsia="Times New Roman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B97EFB"/>
    <w:pPr>
      <w:spacing w:after="12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97E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D10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2AC9-7509-4B96-ABD6-E31F5D9F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1072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Vardanyan</dc:creator>
  <cp:keywords>Mulberry 2.0</cp:keywords>
  <cp:lastModifiedBy>Mariam Yesayan</cp:lastModifiedBy>
  <cp:revision>9</cp:revision>
  <cp:lastPrinted>2019-07-09T11:12:00Z</cp:lastPrinted>
  <dcterms:created xsi:type="dcterms:W3CDTF">2020-11-27T19:30:00Z</dcterms:created>
  <dcterms:modified xsi:type="dcterms:W3CDTF">2020-11-30T05:47:00Z</dcterms:modified>
</cp:coreProperties>
</file>