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8AEF87"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center"/>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rPr>
        <w:t>ԱՄՓՈՓԱԹԵՐԹ</w:t>
      </w:r>
    </w:p>
    <w:p w14:paraId="0C13DD65"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center"/>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highlight w:val="white"/>
        </w:rPr>
        <w:t>«</w:t>
      </w:r>
      <w:r w:rsidRPr="009D69F1">
        <w:rPr>
          <w:rFonts w:ascii="GHEA Grapalat" w:eastAsia="GHEA Grapalat" w:hAnsi="GHEA Grapalat" w:cs="GHEA Grapalat"/>
          <w:sz w:val="24"/>
          <w:szCs w:val="24"/>
        </w:rPr>
        <w:t>ԱՊՕՐԻՆԻ ԾԱԳՈՒՄ ՈՒՆԵՑՈՂ ԳՈՒՅՔԻ ԲՌՆԱԳԱՆՁՄԱՆ ՎԱՐՈՒՅԹԻ ԸՆԹԱՑՔՈՒՄ ՆԵՐԿԱՅԱՑՎՈՂ ՀԱՅՏԱՐԱՐԱԳՐԵՐԻ ՆՄՈՒՇԱՅԻՆ ՁԵՎԸ ԵՎ ԼՐԱՑՄԱՆ ԿԱՐԳԸ ՀԱՍՏԱՏԵԼՈՒ ՄԱՍԻՆ</w:t>
      </w:r>
      <w:r w:rsidRPr="009D69F1">
        <w:rPr>
          <w:rFonts w:ascii="GHEA Grapalat" w:eastAsia="GHEA Grapalat" w:hAnsi="GHEA Grapalat" w:cs="GHEA Grapalat"/>
          <w:sz w:val="24"/>
          <w:szCs w:val="24"/>
          <w:highlight w:val="white"/>
        </w:rPr>
        <w:t>» ՀԱՅԱՍՏԱՆԻ ՀԱՆՐԱՊԵՏՈՒԹՅԱՆ ԿԱՌԱՎԱՐՈՒԹՅԱՆ ՈՐՈՇՄԱՆ ՆԱԽԱԳԾԻ ՎԵՐԱԲԵՐՅԱԼ</w:t>
      </w:r>
    </w:p>
    <w:p w14:paraId="71212CE0"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bl>
      <w:tblPr>
        <w:tblStyle w:val="aa"/>
        <w:tblW w:w="129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6"/>
        <w:gridCol w:w="2550"/>
        <w:gridCol w:w="4005"/>
        <w:gridCol w:w="2412"/>
        <w:gridCol w:w="3458"/>
      </w:tblGrid>
      <w:tr w:rsidR="00EC376A" w:rsidRPr="009D69F1" w14:paraId="19321707" w14:textId="77777777" w:rsidTr="009D69F1">
        <w:trPr>
          <w:trHeight w:val="1125"/>
        </w:trPr>
        <w:tc>
          <w:tcPr>
            <w:tcW w:w="536" w:type="dxa"/>
            <w:shd w:val="clear" w:color="auto" w:fill="auto"/>
            <w:tcMar>
              <w:top w:w="100" w:type="dxa"/>
              <w:left w:w="100" w:type="dxa"/>
              <w:bottom w:w="100" w:type="dxa"/>
              <w:right w:w="100" w:type="dxa"/>
            </w:tcMar>
          </w:tcPr>
          <w:p w14:paraId="20C38EA1"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094376B5"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Առաջարկության հեղինակը¸ Գրության ամսաթիվը, գրության համարը</w:t>
            </w:r>
          </w:p>
        </w:tc>
        <w:tc>
          <w:tcPr>
            <w:tcW w:w="4005" w:type="dxa"/>
            <w:shd w:val="clear" w:color="auto" w:fill="auto"/>
            <w:tcMar>
              <w:top w:w="100" w:type="dxa"/>
              <w:left w:w="100" w:type="dxa"/>
              <w:bottom w:w="100" w:type="dxa"/>
              <w:right w:w="100" w:type="dxa"/>
            </w:tcMar>
          </w:tcPr>
          <w:p w14:paraId="7C2DA46A"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Առաջարկության բովանդակությունը</w:t>
            </w:r>
          </w:p>
        </w:tc>
        <w:tc>
          <w:tcPr>
            <w:tcW w:w="2412" w:type="dxa"/>
            <w:shd w:val="clear" w:color="auto" w:fill="auto"/>
          </w:tcPr>
          <w:p w14:paraId="7E096C37"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Եզրակացություն</w:t>
            </w:r>
          </w:p>
        </w:tc>
        <w:tc>
          <w:tcPr>
            <w:tcW w:w="3458" w:type="dxa"/>
            <w:shd w:val="clear" w:color="auto" w:fill="auto"/>
            <w:tcMar>
              <w:top w:w="100" w:type="dxa"/>
              <w:left w:w="100" w:type="dxa"/>
              <w:bottom w:w="100" w:type="dxa"/>
              <w:right w:w="100" w:type="dxa"/>
            </w:tcMar>
          </w:tcPr>
          <w:p w14:paraId="4A8987F8"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Կատարված փոփոխությունը</w:t>
            </w:r>
          </w:p>
        </w:tc>
      </w:tr>
      <w:tr w:rsidR="00EC376A" w:rsidRPr="009D69F1" w14:paraId="70C4BE44" w14:textId="77777777" w:rsidTr="009D69F1">
        <w:trPr>
          <w:trHeight w:val="660"/>
        </w:trPr>
        <w:tc>
          <w:tcPr>
            <w:tcW w:w="536" w:type="dxa"/>
            <w:shd w:val="clear" w:color="auto" w:fill="auto"/>
            <w:tcMar>
              <w:top w:w="100" w:type="dxa"/>
              <w:left w:w="100" w:type="dxa"/>
              <w:bottom w:w="100" w:type="dxa"/>
              <w:right w:w="100" w:type="dxa"/>
            </w:tcMar>
          </w:tcPr>
          <w:p w14:paraId="31AA2A88"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1.</w:t>
            </w:r>
          </w:p>
        </w:tc>
        <w:tc>
          <w:tcPr>
            <w:tcW w:w="2550" w:type="dxa"/>
            <w:shd w:val="clear" w:color="auto" w:fill="auto"/>
            <w:tcMar>
              <w:top w:w="100" w:type="dxa"/>
              <w:left w:w="100" w:type="dxa"/>
              <w:bottom w:w="100" w:type="dxa"/>
              <w:right w:w="100" w:type="dxa"/>
            </w:tcMar>
          </w:tcPr>
          <w:p w14:paraId="682E65B7"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2. </w:t>
            </w:r>
          </w:p>
        </w:tc>
        <w:tc>
          <w:tcPr>
            <w:tcW w:w="4005" w:type="dxa"/>
            <w:shd w:val="clear" w:color="auto" w:fill="auto"/>
            <w:tcMar>
              <w:top w:w="100" w:type="dxa"/>
              <w:left w:w="100" w:type="dxa"/>
              <w:bottom w:w="100" w:type="dxa"/>
              <w:right w:w="100" w:type="dxa"/>
            </w:tcMar>
          </w:tcPr>
          <w:p w14:paraId="5701142A"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3.</w:t>
            </w:r>
          </w:p>
        </w:tc>
        <w:tc>
          <w:tcPr>
            <w:tcW w:w="2412" w:type="dxa"/>
            <w:shd w:val="clear" w:color="auto" w:fill="auto"/>
            <w:tcMar>
              <w:top w:w="100" w:type="dxa"/>
              <w:left w:w="100" w:type="dxa"/>
              <w:bottom w:w="100" w:type="dxa"/>
              <w:right w:w="100" w:type="dxa"/>
            </w:tcMar>
          </w:tcPr>
          <w:p w14:paraId="5F6F84AB"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4.</w:t>
            </w:r>
          </w:p>
        </w:tc>
        <w:tc>
          <w:tcPr>
            <w:tcW w:w="3458" w:type="dxa"/>
            <w:shd w:val="clear" w:color="auto" w:fill="auto"/>
            <w:tcMar>
              <w:top w:w="100" w:type="dxa"/>
              <w:left w:w="100" w:type="dxa"/>
              <w:bottom w:w="100" w:type="dxa"/>
              <w:right w:w="100" w:type="dxa"/>
            </w:tcMar>
          </w:tcPr>
          <w:p w14:paraId="54418629"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5.</w:t>
            </w:r>
          </w:p>
        </w:tc>
      </w:tr>
      <w:tr w:rsidR="00EC376A" w:rsidRPr="009D69F1" w14:paraId="66911EAD" w14:textId="77777777" w:rsidTr="009D69F1">
        <w:trPr>
          <w:trHeight w:val="1515"/>
        </w:trPr>
        <w:tc>
          <w:tcPr>
            <w:tcW w:w="536" w:type="dxa"/>
            <w:shd w:val="clear" w:color="auto" w:fill="auto"/>
            <w:tcMar>
              <w:top w:w="100" w:type="dxa"/>
              <w:left w:w="100" w:type="dxa"/>
              <w:bottom w:w="100" w:type="dxa"/>
              <w:right w:w="100" w:type="dxa"/>
            </w:tcMar>
          </w:tcPr>
          <w:p w14:paraId="46C41BB5"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1.</w:t>
            </w:r>
          </w:p>
        </w:tc>
        <w:tc>
          <w:tcPr>
            <w:tcW w:w="2550" w:type="dxa"/>
            <w:shd w:val="clear" w:color="auto" w:fill="auto"/>
            <w:tcMar>
              <w:top w:w="100" w:type="dxa"/>
              <w:left w:w="100" w:type="dxa"/>
              <w:bottom w:w="100" w:type="dxa"/>
              <w:right w:w="100" w:type="dxa"/>
            </w:tcMar>
          </w:tcPr>
          <w:p w14:paraId="6C67C2E5" w14:textId="77777777" w:rsidR="00EC376A" w:rsidRPr="009D69F1" w:rsidRDefault="00F43AF2" w:rsidP="00F43AF2">
            <w:pPr>
              <w:widowControl w:val="0"/>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ՀՀ էկոնոմիկայի նախարարություն, 27 Սեպտեմբեր 2020, թիվ 01/13496-2020 գրություն</w:t>
            </w:r>
          </w:p>
        </w:tc>
        <w:tc>
          <w:tcPr>
            <w:tcW w:w="4005" w:type="dxa"/>
            <w:shd w:val="clear" w:color="auto" w:fill="auto"/>
            <w:tcMar>
              <w:top w:w="100" w:type="dxa"/>
              <w:left w:w="100" w:type="dxa"/>
              <w:bottom w:w="100" w:type="dxa"/>
              <w:right w:w="100" w:type="dxa"/>
            </w:tcMar>
          </w:tcPr>
          <w:p w14:paraId="63ACCAB8" w14:textId="77777777" w:rsidR="00EC376A" w:rsidRPr="009D69F1" w:rsidRDefault="00F43AF2" w:rsidP="009D69F1">
            <w:pPr>
              <w:widowControl w:val="0"/>
              <w:spacing w:after="120" w:line="240" w:lineRule="auto"/>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rPr>
              <w:t>Առաջարկություններ և դիտողություններ չկան:</w:t>
            </w:r>
          </w:p>
        </w:tc>
        <w:tc>
          <w:tcPr>
            <w:tcW w:w="2412" w:type="dxa"/>
            <w:shd w:val="clear" w:color="auto" w:fill="auto"/>
            <w:tcMar>
              <w:top w:w="100" w:type="dxa"/>
              <w:left w:w="100" w:type="dxa"/>
              <w:bottom w:w="100" w:type="dxa"/>
              <w:right w:w="100" w:type="dxa"/>
            </w:tcMar>
          </w:tcPr>
          <w:p w14:paraId="76E9D4AD"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c>
          <w:tcPr>
            <w:tcW w:w="3458" w:type="dxa"/>
            <w:shd w:val="clear" w:color="auto" w:fill="auto"/>
            <w:tcMar>
              <w:top w:w="100" w:type="dxa"/>
              <w:left w:w="100" w:type="dxa"/>
              <w:bottom w:w="100" w:type="dxa"/>
              <w:right w:w="100" w:type="dxa"/>
            </w:tcMar>
          </w:tcPr>
          <w:p w14:paraId="0390D6E7"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r>
      <w:tr w:rsidR="00EC376A" w:rsidRPr="009D69F1" w14:paraId="1C81B89F" w14:textId="77777777" w:rsidTr="009D69F1">
        <w:trPr>
          <w:trHeight w:val="1635"/>
        </w:trPr>
        <w:tc>
          <w:tcPr>
            <w:tcW w:w="536" w:type="dxa"/>
            <w:shd w:val="clear" w:color="auto" w:fill="auto"/>
            <w:tcMar>
              <w:top w:w="100" w:type="dxa"/>
              <w:left w:w="100" w:type="dxa"/>
              <w:bottom w:w="100" w:type="dxa"/>
              <w:right w:w="100" w:type="dxa"/>
            </w:tcMar>
          </w:tcPr>
          <w:p w14:paraId="6852CCFB"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2.</w:t>
            </w:r>
          </w:p>
        </w:tc>
        <w:tc>
          <w:tcPr>
            <w:tcW w:w="2550" w:type="dxa"/>
            <w:shd w:val="clear" w:color="auto" w:fill="auto"/>
            <w:tcMar>
              <w:top w:w="100" w:type="dxa"/>
              <w:left w:w="100" w:type="dxa"/>
              <w:bottom w:w="100" w:type="dxa"/>
              <w:right w:w="100" w:type="dxa"/>
            </w:tcMar>
          </w:tcPr>
          <w:p w14:paraId="4B8E95DF" w14:textId="77777777" w:rsidR="00EC376A" w:rsidRPr="009D69F1" w:rsidRDefault="00F43AF2" w:rsidP="00F43AF2">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ՀՀ պետական գույքի կառավարման կոմիտե, 28 սեպտեմբերի 2020, թիվ 01/12.4/7058-2020 գրություն</w:t>
            </w:r>
          </w:p>
        </w:tc>
        <w:tc>
          <w:tcPr>
            <w:tcW w:w="4005" w:type="dxa"/>
            <w:shd w:val="clear" w:color="auto" w:fill="auto"/>
            <w:tcMar>
              <w:top w:w="100" w:type="dxa"/>
              <w:left w:w="100" w:type="dxa"/>
              <w:bottom w:w="100" w:type="dxa"/>
              <w:right w:w="100" w:type="dxa"/>
            </w:tcMar>
          </w:tcPr>
          <w:p w14:paraId="381859F0" w14:textId="77777777" w:rsidR="00EC376A" w:rsidRPr="009D69F1" w:rsidRDefault="00F43AF2" w:rsidP="009D69F1">
            <w:pPr>
              <w:widowControl w:val="0"/>
              <w:spacing w:after="120" w:line="240" w:lineRule="auto"/>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highlight w:val="white"/>
              </w:rPr>
              <w:t>Առաջարկություններ և դիտողություններ չկան:</w:t>
            </w:r>
          </w:p>
        </w:tc>
        <w:tc>
          <w:tcPr>
            <w:tcW w:w="2412" w:type="dxa"/>
            <w:shd w:val="clear" w:color="auto" w:fill="auto"/>
            <w:tcMar>
              <w:top w:w="100" w:type="dxa"/>
              <w:left w:w="100" w:type="dxa"/>
              <w:bottom w:w="100" w:type="dxa"/>
              <w:right w:w="100" w:type="dxa"/>
            </w:tcMar>
          </w:tcPr>
          <w:p w14:paraId="193F226F"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c>
          <w:tcPr>
            <w:tcW w:w="3458" w:type="dxa"/>
            <w:shd w:val="clear" w:color="auto" w:fill="auto"/>
            <w:tcMar>
              <w:top w:w="100" w:type="dxa"/>
              <w:left w:w="100" w:type="dxa"/>
              <w:bottom w:w="100" w:type="dxa"/>
              <w:right w:w="100" w:type="dxa"/>
            </w:tcMar>
          </w:tcPr>
          <w:p w14:paraId="2618B26D"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r>
      <w:tr w:rsidR="00EC376A" w:rsidRPr="009D69F1" w14:paraId="16DB8089" w14:textId="77777777" w:rsidTr="009D69F1">
        <w:trPr>
          <w:trHeight w:val="1635"/>
        </w:trPr>
        <w:tc>
          <w:tcPr>
            <w:tcW w:w="536" w:type="dxa"/>
            <w:shd w:val="clear" w:color="auto" w:fill="auto"/>
            <w:tcMar>
              <w:top w:w="100" w:type="dxa"/>
              <w:left w:w="100" w:type="dxa"/>
              <w:bottom w:w="100" w:type="dxa"/>
              <w:right w:w="100" w:type="dxa"/>
            </w:tcMar>
          </w:tcPr>
          <w:p w14:paraId="37946801"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3.</w:t>
            </w:r>
          </w:p>
        </w:tc>
        <w:tc>
          <w:tcPr>
            <w:tcW w:w="2550" w:type="dxa"/>
            <w:shd w:val="clear" w:color="auto" w:fill="auto"/>
            <w:tcMar>
              <w:top w:w="100" w:type="dxa"/>
              <w:left w:w="100" w:type="dxa"/>
              <w:bottom w:w="100" w:type="dxa"/>
              <w:right w:w="100" w:type="dxa"/>
            </w:tcMar>
          </w:tcPr>
          <w:p w14:paraId="5366C9B3" w14:textId="77777777" w:rsidR="00EC376A" w:rsidRPr="009D69F1" w:rsidRDefault="00F43AF2" w:rsidP="00F43AF2">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ՀՀ ֆինանսների նախարարություն, 28 Սեպտեմբեր 2020, թիվ 01/11-1/14540-2020 գրություն</w:t>
            </w:r>
          </w:p>
        </w:tc>
        <w:tc>
          <w:tcPr>
            <w:tcW w:w="4005" w:type="dxa"/>
            <w:shd w:val="clear" w:color="auto" w:fill="auto"/>
            <w:tcMar>
              <w:top w:w="100" w:type="dxa"/>
              <w:left w:w="100" w:type="dxa"/>
              <w:bottom w:w="100" w:type="dxa"/>
              <w:right w:w="100" w:type="dxa"/>
            </w:tcMar>
          </w:tcPr>
          <w:p w14:paraId="2954C1FA" w14:textId="77777777" w:rsidR="00EC376A" w:rsidRPr="009D69F1" w:rsidRDefault="00F43AF2" w:rsidP="009D69F1">
            <w:pPr>
              <w:widowControl w:val="0"/>
              <w:spacing w:after="120" w:line="240" w:lineRule="auto"/>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Առաջարկություններ և դիտողություններ չկան:</w:t>
            </w:r>
          </w:p>
        </w:tc>
        <w:tc>
          <w:tcPr>
            <w:tcW w:w="2412" w:type="dxa"/>
            <w:shd w:val="clear" w:color="auto" w:fill="auto"/>
            <w:tcMar>
              <w:top w:w="100" w:type="dxa"/>
              <w:left w:w="100" w:type="dxa"/>
              <w:bottom w:w="100" w:type="dxa"/>
              <w:right w:w="100" w:type="dxa"/>
            </w:tcMar>
          </w:tcPr>
          <w:p w14:paraId="33A26784"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c>
          <w:tcPr>
            <w:tcW w:w="3458" w:type="dxa"/>
            <w:shd w:val="clear" w:color="auto" w:fill="auto"/>
            <w:tcMar>
              <w:top w:w="100" w:type="dxa"/>
              <w:left w:w="100" w:type="dxa"/>
              <w:bottom w:w="100" w:type="dxa"/>
              <w:right w:w="100" w:type="dxa"/>
            </w:tcMar>
          </w:tcPr>
          <w:p w14:paraId="786A08AB"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r>
      <w:tr w:rsidR="00EC376A" w:rsidRPr="009D69F1" w14:paraId="5F64AA25" w14:textId="77777777" w:rsidTr="009D69F1">
        <w:trPr>
          <w:trHeight w:val="1725"/>
        </w:trPr>
        <w:tc>
          <w:tcPr>
            <w:tcW w:w="536" w:type="dxa"/>
            <w:shd w:val="clear" w:color="auto" w:fill="auto"/>
            <w:tcMar>
              <w:top w:w="100" w:type="dxa"/>
              <w:left w:w="100" w:type="dxa"/>
              <w:bottom w:w="100" w:type="dxa"/>
              <w:right w:w="100" w:type="dxa"/>
            </w:tcMar>
          </w:tcPr>
          <w:p w14:paraId="7DDEB758"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4. </w:t>
            </w:r>
          </w:p>
        </w:tc>
        <w:tc>
          <w:tcPr>
            <w:tcW w:w="2550" w:type="dxa"/>
            <w:shd w:val="clear" w:color="auto" w:fill="auto"/>
            <w:tcMar>
              <w:top w:w="100" w:type="dxa"/>
              <w:left w:w="100" w:type="dxa"/>
              <w:bottom w:w="100" w:type="dxa"/>
              <w:right w:w="100" w:type="dxa"/>
            </w:tcMar>
          </w:tcPr>
          <w:p w14:paraId="642CB848" w14:textId="77777777" w:rsidR="00EC376A" w:rsidRPr="009D69F1" w:rsidRDefault="00F43AF2" w:rsidP="00F43AF2">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ՀՀ գլխավոր դատախազություն, 30 Սեպտեմբեր 2020, թիվ 5/20/20956-2020 գրություն</w:t>
            </w:r>
          </w:p>
        </w:tc>
        <w:tc>
          <w:tcPr>
            <w:tcW w:w="4005" w:type="dxa"/>
            <w:shd w:val="clear" w:color="auto" w:fill="auto"/>
            <w:tcMar>
              <w:top w:w="100" w:type="dxa"/>
              <w:left w:w="100" w:type="dxa"/>
              <w:bottom w:w="100" w:type="dxa"/>
              <w:right w:w="100" w:type="dxa"/>
            </w:tcMar>
          </w:tcPr>
          <w:p w14:paraId="22A6922D"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Առաջարկվում է կատարել լրացումներ, մասնավորապես՝ Նախագծի առաջին հավելվածի </w:t>
            </w:r>
            <w:r w:rsidRPr="009D69F1">
              <w:rPr>
                <w:rFonts w:ascii="GHEA Grapalat" w:eastAsia="GHEA Grapalat" w:hAnsi="GHEA Grapalat" w:cs="GHEA Grapalat"/>
                <w:sz w:val="24"/>
                <w:szCs w:val="24"/>
                <w:highlight w:val="white"/>
              </w:rPr>
              <w:t xml:space="preserve">«Անշարժ գույքը», «Տրանսպորտային միջոցը» բաժինները լրացնել «Գույքի արժեքը» </w:t>
            </w:r>
            <w:proofErr w:type="spellStart"/>
            <w:r w:rsidRPr="009D69F1">
              <w:rPr>
                <w:rFonts w:ascii="GHEA Grapalat" w:eastAsia="GHEA Grapalat" w:hAnsi="GHEA Grapalat" w:cs="GHEA Grapalat"/>
                <w:sz w:val="24"/>
                <w:szCs w:val="24"/>
                <w:highlight w:val="white"/>
              </w:rPr>
              <w:t>ձևակերպմամբ</w:t>
            </w:r>
            <w:proofErr w:type="spellEnd"/>
            <w:r w:rsidRPr="009D69F1">
              <w:rPr>
                <w:rFonts w:ascii="GHEA Grapalat" w:eastAsia="GHEA Grapalat" w:hAnsi="GHEA Grapalat" w:cs="GHEA Grapalat"/>
                <w:sz w:val="24"/>
                <w:szCs w:val="24"/>
                <w:highlight w:val="white"/>
              </w:rPr>
              <w:t xml:space="preserve">, «Բաժնային արժեթղթեր և այլ ներդրումները» ենթաբաժինը՝ «Ձեռքբերման եղանակը» </w:t>
            </w:r>
            <w:proofErr w:type="spellStart"/>
            <w:r w:rsidRPr="009D69F1">
              <w:rPr>
                <w:rFonts w:ascii="GHEA Grapalat" w:eastAsia="GHEA Grapalat" w:hAnsi="GHEA Grapalat" w:cs="GHEA Grapalat"/>
                <w:sz w:val="24"/>
                <w:szCs w:val="24"/>
                <w:highlight w:val="white"/>
              </w:rPr>
              <w:t>ձևակերպմամբ</w:t>
            </w:r>
            <w:proofErr w:type="spellEnd"/>
            <w:r w:rsidRPr="009D69F1">
              <w:rPr>
                <w:rFonts w:ascii="GHEA Grapalat" w:eastAsia="GHEA Grapalat" w:hAnsi="GHEA Grapalat" w:cs="GHEA Grapalat"/>
                <w:sz w:val="24"/>
                <w:szCs w:val="24"/>
                <w:highlight w:val="white"/>
              </w:rPr>
              <w:t xml:space="preserve">, «Հանձնված փոխառությունները» և «Հանձնված ավանդները» բաժինները՝ «Տոկոսի չափը» </w:t>
            </w:r>
            <w:proofErr w:type="spellStart"/>
            <w:r w:rsidRPr="009D69F1">
              <w:rPr>
                <w:rFonts w:ascii="GHEA Grapalat" w:eastAsia="GHEA Grapalat" w:hAnsi="GHEA Grapalat" w:cs="GHEA Grapalat"/>
                <w:sz w:val="24"/>
                <w:szCs w:val="24"/>
                <w:highlight w:val="white"/>
              </w:rPr>
              <w:t>ձևակերպմամբ</w:t>
            </w:r>
            <w:proofErr w:type="spellEnd"/>
            <w:r w:rsidRPr="009D69F1">
              <w:rPr>
                <w:rFonts w:ascii="GHEA Grapalat" w:eastAsia="GHEA Grapalat" w:hAnsi="GHEA Grapalat" w:cs="GHEA Grapalat"/>
                <w:sz w:val="24"/>
                <w:szCs w:val="24"/>
                <w:highlight w:val="white"/>
              </w:rPr>
              <w:t xml:space="preserve">, «Թանկարժեք գույք» բաժինը՝ «Ձեռքբերման եղանակը» </w:t>
            </w:r>
            <w:proofErr w:type="spellStart"/>
            <w:r w:rsidRPr="009D69F1">
              <w:rPr>
                <w:rFonts w:ascii="GHEA Grapalat" w:eastAsia="GHEA Grapalat" w:hAnsi="GHEA Grapalat" w:cs="GHEA Grapalat"/>
                <w:sz w:val="24"/>
                <w:szCs w:val="24"/>
                <w:highlight w:val="white"/>
              </w:rPr>
              <w:t>ձևակերպմամբ</w:t>
            </w:r>
            <w:proofErr w:type="spellEnd"/>
            <w:r w:rsidRPr="009D69F1">
              <w:rPr>
                <w:rFonts w:ascii="GHEA Grapalat" w:eastAsia="GHEA Grapalat" w:hAnsi="GHEA Grapalat" w:cs="GHEA Grapalat"/>
                <w:sz w:val="24"/>
                <w:szCs w:val="24"/>
                <w:highlight w:val="white"/>
              </w:rPr>
              <w:t xml:space="preserve"> նոր </w:t>
            </w:r>
            <w:proofErr w:type="spellStart"/>
            <w:r w:rsidRPr="009D69F1">
              <w:rPr>
                <w:rFonts w:ascii="GHEA Grapalat" w:eastAsia="GHEA Grapalat" w:hAnsi="GHEA Grapalat" w:cs="GHEA Grapalat"/>
                <w:sz w:val="24"/>
                <w:szCs w:val="24"/>
                <w:highlight w:val="white"/>
              </w:rPr>
              <w:t>դաշտերով</w:t>
            </w:r>
            <w:proofErr w:type="spellEnd"/>
            <w:r w:rsidRPr="009D69F1">
              <w:rPr>
                <w:rFonts w:ascii="GHEA Grapalat" w:eastAsia="GHEA Grapalat" w:hAnsi="GHEA Grapalat" w:cs="GHEA Grapalat"/>
                <w:sz w:val="24"/>
                <w:szCs w:val="24"/>
                <w:highlight w:val="white"/>
              </w:rPr>
              <w:t>:</w:t>
            </w:r>
          </w:p>
        </w:tc>
        <w:tc>
          <w:tcPr>
            <w:tcW w:w="2412" w:type="dxa"/>
            <w:shd w:val="clear" w:color="auto" w:fill="auto"/>
            <w:tcMar>
              <w:top w:w="100" w:type="dxa"/>
              <w:left w:w="100" w:type="dxa"/>
              <w:bottom w:w="100" w:type="dxa"/>
              <w:right w:w="100" w:type="dxa"/>
            </w:tcMar>
          </w:tcPr>
          <w:p w14:paraId="6B429107"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Ընդունվել է մասնակի</w:t>
            </w:r>
          </w:p>
        </w:tc>
        <w:tc>
          <w:tcPr>
            <w:tcW w:w="3458" w:type="dxa"/>
            <w:shd w:val="clear" w:color="auto" w:fill="auto"/>
            <w:tcMar>
              <w:top w:w="100" w:type="dxa"/>
              <w:left w:w="100" w:type="dxa"/>
              <w:bottom w:w="100" w:type="dxa"/>
              <w:right w:w="100" w:type="dxa"/>
            </w:tcMar>
          </w:tcPr>
          <w:p w14:paraId="73C29AB9" w14:textId="77777777" w:rsidR="00EC376A" w:rsidRPr="009D69F1" w:rsidRDefault="00F43AF2" w:rsidP="009D69F1">
            <w:pPr>
              <w:widowControl w:val="0"/>
              <w:spacing w:after="120" w:line="240" w:lineRule="auto"/>
              <w:jc w:val="both"/>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highlight w:val="white"/>
              </w:rPr>
              <w:t xml:space="preserve">«Անշարժ գույքը», «Տրանսպորտային միջոցը» բաժինները «Գույքի արժեքը» </w:t>
            </w:r>
            <w:proofErr w:type="spellStart"/>
            <w:r w:rsidRPr="009D69F1">
              <w:rPr>
                <w:rFonts w:ascii="GHEA Grapalat" w:eastAsia="GHEA Grapalat" w:hAnsi="GHEA Grapalat" w:cs="GHEA Grapalat"/>
                <w:sz w:val="24"/>
                <w:szCs w:val="24"/>
                <w:highlight w:val="white"/>
              </w:rPr>
              <w:t>ձևակերպմամբ</w:t>
            </w:r>
            <w:proofErr w:type="spellEnd"/>
            <w:r w:rsidRPr="009D69F1">
              <w:rPr>
                <w:rFonts w:ascii="GHEA Grapalat" w:eastAsia="GHEA Grapalat" w:hAnsi="GHEA Grapalat" w:cs="GHEA Grapalat"/>
                <w:sz w:val="24"/>
                <w:szCs w:val="24"/>
                <w:highlight w:val="white"/>
              </w:rPr>
              <w:t xml:space="preserve"> լրացնելու առաջարկի առնչությամբ հարկ ենք համարում նշել, որ գույքի արժեքը իրավասու մարմինը կարող է պարզել «Ե» բաժնում </w:t>
            </w:r>
            <w:proofErr w:type="spellStart"/>
            <w:r w:rsidRPr="009D69F1">
              <w:rPr>
                <w:rFonts w:ascii="GHEA Grapalat" w:eastAsia="GHEA Grapalat" w:hAnsi="GHEA Grapalat" w:cs="GHEA Grapalat"/>
                <w:sz w:val="24"/>
                <w:szCs w:val="24"/>
                <w:highlight w:val="white"/>
              </w:rPr>
              <w:t>արտոցոլված</w:t>
            </w:r>
            <w:proofErr w:type="spellEnd"/>
            <w:r w:rsidRPr="009D69F1">
              <w:rPr>
                <w:rFonts w:ascii="GHEA Grapalat" w:eastAsia="GHEA Grapalat" w:hAnsi="GHEA Grapalat" w:cs="GHEA Grapalat"/>
                <w:sz w:val="24"/>
                <w:szCs w:val="24"/>
                <w:highlight w:val="white"/>
              </w:rPr>
              <w:t xml:space="preserve"> գործարքների արժեքի, իսկ անհրաժեշտության դեպքում անկախ փորձաքննության արդյունքների հիման վրա: </w:t>
            </w:r>
          </w:p>
          <w:p w14:paraId="0BB69BAE" w14:textId="77777777" w:rsidR="00EC376A" w:rsidRPr="009D69F1" w:rsidRDefault="00F43AF2" w:rsidP="009D69F1">
            <w:pPr>
              <w:widowControl w:val="0"/>
              <w:spacing w:after="120" w:line="240" w:lineRule="auto"/>
              <w:jc w:val="both"/>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highlight w:val="white"/>
              </w:rPr>
              <w:t>Ինչ վերաբերում է փոխառության կամ ավանդի</w:t>
            </w:r>
            <w:r w:rsidRPr="009D69F1">
              <w:rPr>
                <w:rFonts w:ascii="GHEA Grapalat" w:eastAsia="Cambria Math" w:hAnsi="GHEA Grapalat" w:cs="Cambria Math"/>
                <w:sz w:val="24"/>
                <w:szCs w:val="24"/>
                <w:highlight w:val="white"/>
              </w:rPr>
              <w:t xml:space="preserve"> </w:t>
            </w:r>
            <w:r w:rsidRPr="009D69F1">
              <w:rPr>
                <w:rFonts w:ascii="GHEA Grapalat" w:eastAsia="GHEA Grapalat" w:hAnsi="GHEA Grapalat" w:cs="GHEA Grapalat"/>
                <w:sz w:val="24"/>
                <w:szCs w:val="24"/>
                <w:highlight w:val="white"/>
              </w:rPr>
              <w:t xml:space="preserve">տոկոսի չափին, ապա հարկ ենք համարում նշել, որ առկայության դեպքում համապատասխան տեղեկատվությունը կարտացոլվի անձի </w:t>
            </w:r>
            <w:r w:rsidRPr="009D69F1">
              <w:rPr>
                <w:rFonts w:ascii="GHEA Grapalat" w:eastAsia="GHEA Grapalat" w:hAnsi="GHEA Grapalat" w:cs="GHEA Grapalat"/>
                <w:sz w:val="24"/>
                <w:szCs w:val="24"/>
                <w:highlight w:val="white"/>
              </w:rPr>
              <w:lastRenderedPageBreak/>
              <w:t xml:space="preserve">ստացված </w:t>
            </w:r>
            <w:proofErr w:type="spellStart"/>
            <w:r w:rsidRPr="009D69F1">
              <w:rPr>
                <w:rFonts w:ascii="GHEA Grapalat" w:eastAsia="GHEA Grapalat" w:hAnsi="GHEA Grapalat" w:cs="GHEA Grapalat"/>
                <w:sz w:val="24"/>
                <w:szCs w:val="24"/>
                <w:highlight w:val="white"/>
              </w:rPr>
              <w:t>եկամուտներում</w:t>
            </w:r>
            <w:proofErr w:type="spellEnd"/>
            <w:r w:rsidRPr="009D69F1">
              <w:rPr>
                <w:rFonts w:ascii="GHEA Grapalat" w:eastAsia="GHEA Grapalat" w:hAnsi="GHEA Grapalat" w:cs="GHEA Grapalat"/>
                <w:sz w:val="24"/>
                <w:szCs w:val="24"/>
                <w:highlight w:val="white"/>
              </w:rPr>
              <w:t xml:space="preserve">: </w:t>
            </w:r>
          </w:p>
          <w:p w14:paraId="777F080C"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r>
      <w:tr w:rsidR="00EC376A" w:rsidRPr="009D69F1" w14:paraId="09E954D8" w14:textId="77777777" w:rsidTr="009D69F1">
        <w:tc>
          <w:tcPr>
            <w:tcW w:w="536" w:type="dxa"/>
            <w:shd w:val="clear" w:color="auto" w:fill="auto"/>
            <w:tcMar>
              <w:top w:w="100" w:type="dxa"/>
              <w:left w:w="100" w:type="dxa"/>
              <w:bottom w:w="100" w:type="dxa"/>
              <w:right w:w="100" w:type="dxa"/>
            </w:tcMar>
          </w:tcPr>
          <w:p w14:paraId="33E03BF6"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5.</w:t>
            </w:r>
          </w:p>
        </w:tc>
        <w:tc>
          <w:tcPr>
            <w:tcW w:w="2550" w:type="dxa"/>
            <w:shd w:val="clear" w:color="auto" w:fill="auto"/>
            <w:tcMar>
              <w:top w:w="100" w:type="dxa"/>
              <w:left w:w="100" w:type="dxa"/>
              <w:bottom w:w="100" w:type="dxa"/>
              <w:right w:w="100" w:type="dxa"/>
            </w:tcMar>
          </w:tcPr>
          <w:p w14:paraId="3C692322" w14:textId="77777777" w:rsidR="00EC376A" w:rsidRPr="009D69F1" w:rsidRDefault="00F43AF2" w:rsidP="00F43AF2">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ՀՀ բարձրագույն դատական խորհուրդ, 30 Սեպտեմբեր 2020, թիվ Ե-6865 գրություն</w:t>
            </w:r>
          </w:p>
        </w:tc>
        <w:tc>
          <w:tcPr>
            <w:tcW w:w="4005" w:type="dxa"/>
            <w:shd w:val="clear" w:color="auto" w:fill="auto"/>
            <w:tcMar>
              <w:top w:w="100" w:type="dxa"/>
              <w:left w:w="100" w:type="dxa"/>
              <w:bottom w:w="100" w:type="dxa"/>
              <w:right w:w="100" w:type="dxa"/>
            </w:tcMar>
          </w:tcPr>
          <w:p w14:paraId="2875B63B"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Առաջարկություններ և դիտողություններ չկան:</w:t>
            </w:r>
          </w:p>
        </w:tc>
        <w:tc>
          <w:tcPr>
            <w:tcW w:w="2412" w:type="dxa"/>
            <w:shd w:val="clear" w:color="auto" w:fill="auto"/>
            <w:tcMar>
              <w:top w:w="100" w:type="dxa"/>
              <w:left w:w="100" w:type="dxa"/>
              <w:bottom w:w="100" w:type="dxa"/>
              <w:right w:w="100" w:type="dxa"/>
            </w:tcMar>
          </w:tcPr>
          <w:p w14:paraId="46DCB7F8"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c>
          <w:tcPr>
            <w:tcW w:w="3458" w:type="dxa"/>
            <w:shd w:val="clear" w:color="auto" w:fill="auto"/>
            <w:tcMar>
              <w:top w:w="100" w:type="dxa"/>
              <w:left w:w="100" w:type="dxa"/>
              <w:bottom w:w="100" w:type="dxa"/>
              <w:right w:w="100" w:type="dxa"/>
            </w:tcMar>
          </w:tcPr>
          <w:p w14:paraId="1C8A8A53"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r>
      <w:tr w:rsidR="00EC376A" w:rsidRPr="009D69F1" w14:paraId="3E470466" w14:textId="77777777" w:rsidTr="009D69F1">
        <w:tc>
          <w:tcPr>
            <w:tcW w:w="536" w:type="dxa"/>
            <w:shd w:val="clear" w:color="auto" w:fill="auto"/>
            <w:tcMar>
              <w:top w:w="100" w:type="dxa"/>
              <w:left w:w="100" w:type="dxa"/>
              <w:bottom w:w="100" w:type="dxa"/>
              <w:right w:w="100" w:type="dxa"/>
            </w:tcMar>
          </w:tcPr>
          <w:p w14:paraId="576888E8"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6.</w:t>
            </w:r>
          </w:p>
        </w:tc>
        <w:tc>
          <w:tcPr>
            <w:tcW w:w="2550" w:type="dxa"/>
            <w:shd w:val="clear" w:color="auto" w:fill="auto"/>
            <w:tcMar>
              <w:top w:w="100" w:type="dxa"/>
              <w:left w:w="100" w:type="dxa"/>
              <w:bottom w:w="100" w:type="dxa"/>
              <w:right w:w="100" w:type="dxa"/>
            </w:tcMar>
          </w:tcPr>
          <w:p w14:paraId="60590D16" w14:textId="77777777" w:rsidR="00EC376A" w:rsidRPr="009D69F1" w:rsidRDefault="00F43AF2" w:rsidP="00F43AF2">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ՀՀ կենտրոնական բանկ, 6 Հոկտեմբեր 2020, թիվ 15.1-06/000964-20 գրություն</w:t>
            </w:r>
          </w:p>
        </w:tc>
        <w:tc>
          <w:tcPr>
            <w:tcW w:w="4005" w:type="dxa"/>
            <w:shd w:val="clear" w:color="auto" w:fill="auto"/>
            <w:tcMar>
              <w:top w:w="100" w:type="dxa"/>
              <w:left w:w="100" w:type="dxa"/>
              <w:bottom w:w="100" w:type="dxa"/>
              <w:right w:w="100" w:type="dxa"/>
            </w:tcMar>
          </w:tcPr>
          <w:p w14:paraId="5357F8E8"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Առաջարկություններ և դիտողություններ չկան:</w:t>
            </w:r>
          </w:p>
        </w:tc>
        <w:tc>
          <w:tcPr>
            <w:tcW w:w="2412" w:type="dxa"/>
            <w:shd w:val="clear" w:color="auto" w:fill="auto"/>
            <w:tcMar>
              <w:top w:w="100" w:type="dxa"/>
              <w:left w:w="100" w:type="dxa"/>
              <w:bottom w:w="100" w:type="dxa"/>
              <w:right w:w="100" w:type="dxa"/>
            </w:tcMar>
          </w:tcPr>
          <w:p w14:paraId="70F4B60B"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c>
          <w:tcPr>
            <w:tcW w:w="3458" w:type="dxa"/>
            <w:shd w:val="clear" w:color="auto" w:fill="auto"/>
            <w:tcMar>
              <w:top w:w="100" w:type="dxa"/>
              <w:left w:w="100" w:type="dxa"/>
              <w:bottom w:w="100" w:type="dxa"/>
              <w:right w:w="100" w:type="dxa"/>
            </w:tcMar>
          </w:tcPr>
          <w:p w14:paraId="76F8B50F"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r>
      <w:tr w:rsidR="00EC376A" w:rsidRPr="009D69F1" w14:paraId="0B6FCBD7" w14:textId="77777777" w:rsidTr="009D69F1">
        <w:tc>
          <w:tcPr>
            <w:tcW w:w="536" w:type="dxa"/>
            <w:shd w:val="clear" w:color="auto" w:fill="auto"/>
            <w:tcMar>
              <w:top w:w="100" w:type="dxa"/>
              <w:left w:w="100" w:type="dxa"/>
              <w:bottom w:w="100" w:type="dxa"/>
              <w:right w:w="100" w:type="dxa"/>
            </w:tcMar>
          </w:tcPr>
          <w:p w14:paraId="458091F3"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7.</w:t>
            </w:r>
          </w:p>
        </w:tc>
        <w:tc>
          <w:tcPr>
            <w:tcW w:w="2550" w:type="dxa"/>
            <w:shd w:val="clear" w:color="auto" w:fill="auto"/>
            <w:tcMar>
              <w:top w:w="100" w:type="dxa"/>
              <w:left w:w="100" w:type="dxa"/>
              <w:bottom w:w="100" w:type="dxa"/>
              <w:right w:w="100" w:type="dxa"/>
            </w:tcMar>
          </w:tcPr>
          <w:p w14:paraId="706BE965" w14:textId="77777777" w:rsidR="00EC376A" w:rsidRPr="009D69F1" w:rsidRDefault="00F43AF2" w:rsidP="00F43AF2">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Կոռուպցիայի կանխարգելման հանձնաժողով, 8 Հոկտեմբեր 2020, թիվ 01/09.1/374-2020 գրություն</w:t>
            </w:r>
          </w:p>
        </w:tc>
        <w:tc>
          <w:tcPr>
            <w:tcW w:w="4005" w:type="dxa"/>
            <w:shd w:val="clear" w:color="auto" w:fill="auto"/>
            <w:tcMar>
              <w:top w:w="100" w:type="dxa"/>
              <w:left w:w="100" w:type="dxa"/>
              <w:bottom w:w="100" w:type="dxa"/>
              <w:right w:w="100" w:type="dxa"/>
            </w:tcMar>
          </w:tcPr>
          <w:p w14:paraId="76E5CAE3"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1. Ի տարբերություն պաշտոնատար անձանց կողմից ներկայացվող տարեկան և պաշտոնի դադարեցման հայտարարագրերի, ապօրինի ծագում ունեցող գույքի բռնագանձման (</w:t>
            </w:r>
            <w:proofErr w:type="spellStart"/>
            <w:r w:rsidRPr="009D69F1">
              <w:rPr>
                <w:rFonts w:ascii="GHEA Grapalat" w:eastAsia="GHEA Grapalat" w:hAnsi="GHEA Grapalat" w:cs="GHEA Grapalat"/>
                <w:sz w:val="24"/>
                <w:szCs w:val="24"/>
              </w:rPr>
              <w:t>այսուհետև</w:t>
            </w:r>
            <w:proofErr w:type="spellEnd"/>
            <w:r w:rsidRPr="009D69F1">
              <w:rPr>
                <w:rFonts w:ascii="GHEA Grapalat" w:eastAsia="GHEA Grapalat" w:hAnsi="GHEA Grapalat" w:cs="GHEA Grapalat"/>
                <w:sz w:val="24"/>
                <w:szCs w:val="24"/>
              </w:rPr>
              <w:t xml:space="preserve">՝ </w:t>
            </w:r>
            <w:proofErr w:type="spellStart"/>
            <w:r w:rsidRPr="009D69F1">
              <w:rPr>
                <w:rFonts w:ascii="GHEA Grapalat" w:eastAsia="GHEA Grapalat" w:hAnsi="GHEA Grapalat" w:cs="GHEA Grapalat"/>
                <w:sz w:val="24"/>
                <w:szCs w:val="24"/>
              </w:rPr>
              <w:t>ԱԾՈՒԳԲ</w:t>
            </w:r>
            <w:proofErr w:type="spellEnd"/>
            <w:r w:rsidRPr="009D69F1">
              <w:rPr>
                <w:rFonts w:ascii="GHEA Grapalat" w:eastAsia="GHEA Grapalat" w:hAnsi="GHEA Grapalat" w:cs="GHEA Grapalat"/>
                <w:sz w:val="24"/>
                <w:szCs w:val="24"/>
              </w:rPr>
              <w:t xml:space="preserve">) հայտարարագրերում </w:t>
            </w:r>
            <w:r w:rsidRPr="009D69F1">
              <w:rPr>
                <w:rFonts w:ascii="GHEA Grapalat" w:eastAsia="GHEA Grapalat" w:hAnsi="GHEA Grapalat" w:cs="GHEA Grapalat"/>
                <w:b/>
                <w:sz w:val="24"/>
                <w:szCs w:val="24"/>
              </w:rPr>
              <w:t xml:space="preserve">անշարժ գույքի, տրանսպորտի </w:t>
            </w:r>
            <w:r w:rsidRPr="009D69F1">
              <w:rPr>
                <w:rFonts w:ascii="GHEA Grapalat" w:eastAsia="GHEA Grapalat" w:hAnsi="GHEA Grapalat" w:cs="GHEA Grapalat"/>
                <w:b/>
                <w:sz w:val="24"/>
                <w:szCs w:val="24"/>
              </w:rPr>
              <w:lastRenderedPageBreak/>
              <w:t xml:space="preserve">միջոցների, արժեթղթերի և թանկարժեք գույքի </w:t>
            </w:r>
            <w:r w:rsidRPr="009D69F1">
              <w:rPr>
                <w:rFonts w:ascii="GHEA Grapalat" w:eastAsia="GHEA Grapalat" w:hAnsi="GHEA Grapalat" w:cs="GHEA Grapalat"/>
                <w:sz w:val="24"/>
                <w:szCs w:val="24"/>
              </w:rPr>
              <w:t xml:space="preserve">դեպքում հայտարարագրման ենթակա են տվյալ պահի դրությամբ առկա գույքը և տրված ժամանակահատվածում այդ գույքի փոփոխությունը (ձեռքբերումը և օտարումը), մինչդեռ պաշտոնատար անձանց տարեկան և պաշտոնի դադարեցման հայտարարագրերի դեպքում լիազոր մարմինը տիրապետում է նաև նշված գույքի՝ հաշվետու ժամանակաշրջանի սկզբի մնացորդի վերաբերյալ տվյալներին (պաշտոնի դադարեցման հայտարարագրի դեպքում՝ նախկինում ներկայացված </w:t>
            </w:r>
            <w:proofErr w:type="spellStart"/>
            <w:r w:rsidRPr="009D69F1">
              <w:rPr>
                <w:rFonts w:ascii="GHEA Grapalat" w:eastAsia="GHEA Grapalat" w:hAnsi="GHEA Grapalat" w:cs="GHEA Grapalat"/>
                <w:sz w:val="24"/>
                <w:szCs w:val="24"/>
              </w:rPr>
              <w:t>ներկայացված</w:t>
            </w:r>
            <w:proofErr w:type="spellEnd"/>
            <w:r w:rsidRPr="009D69F1">
              <w:rPr>
                <w:rFonts w:ascii="GHEA Grapalat" w:eastAsia="GHEA Grapalat" w:hAnsi="GHEA Grapalat" w:cs="GHEA Grapalat"/>
                <w:sz w:val="24"/>
                <w:szCs w:val="24"/>
              </w:rPr>
              <w:t xml:space="preserve"> տարեկան կամ պաշտոնի ստանձնման հայտարարագրերի միջոցով):</w:t>
            </w:r>
          </w:p>
          <w:p w14:paraId="68A568C3"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roofErr w:type="spellStart"/>
            <w:r w:rsidRPr="009D69F1">
              <w:rPr>
                <w:rFonts w:ascii="GHEA Grapalat" w:eastAsia="GHEA Grapalat" w:hAnsi="GHEA Grapalat" w:cs="GHEA Grapalat"/>
                <w:sz w:val="24"/>
                <w:szCs w:val="24"/>
              </w:rPr>
              <w:t>ԱԾՈՒԳԲ</w:t>
            </w:r>
            <w:proofErr w:type="spellEnd"/>
            <w:r w:rsidRPr="009D69F1">
              <w:rPr>
                <w:rFonts w:ascii="GHEA Grapalat" w:eastAsia="GHEA Grapalat" w:hAnsi="GHEA Grapalat" w:cs="GHEA Grapalat"/>
                <w:sz w:val="24"/>
                <w:szCs w:val="24"/>
              </w:rPr>
              <w:t xml:space="preserve"> հայտարարագրերում </w:t>
            </w:r>
            <w:r w:rsidRPr="009D69F1">
              <w:rPr>
                <w:rFonts w:ascii="GHEA Grapalat" w:eastAsia="GHEA Grapalat" w:hAnsi="GHEA Grapalat" w:cs="GHEA Grapalat"/>
                <w:b/>
                <w:sz w:val="24"/>
                <w:szCs w:val="24"/>
              </w:rPr>
              <w:t>տրված փոխառությունների ու բանկային ավանդների, դրամական միջոցների,</w:t>
            </w:r>
            <w:r w:rsidRPr="009D69F1">
              <w:rPr>
                <w:rFonts w:ascii="GHEA Grapalat" w:eastAsia="GHEA Grapalat" w:hAnsi="GHEA Grapalat" w:cs="GHEA Grapalat"/>
                <w:sz w:val="24"/>
                <w:szCs w:val="24"/>
              </w:rPr>
              <w:t xml:space="preserve"> ինչպես նաև </w:t>
            </w:r>
            <w:r w:rsidRPr="009D69F1">
              <w:rPr>
                <w:rFonts w:ascii="GHEA Grapalat" w:eastAsia="GHEA Grapalat" w:hAnsi="GHEA Grapalat" w:cs="GHEA Grapalat"/>
                <w:b/>
                <w:sz w:val="24"/>
                <w:szCs w:val="24"/>
              </w:rPr>
              <w:t>պարտավորությունների</w:t>
            </w:r>
            <w:r w:rsidRPr="009D69F1">
              <w:rPr>
                <w:rFonts w:ascii="GHEA Grapalat" w:eastAsia="GHEA Grapalat" w:hAnsi="GHEA Grapalat" w:cs="GHEA Grapalat"/>
                <w:sz w:val="24"/>
                <w:szCs w:val="24"/>
              </w:rPr>
              <w:t xml:space="preserve"> </w:t>
            </w:r>
            <w:r w:rsidRPr="009D69F1">
              <w:rPr>
                <w:rFonts w:ascii="GHEA Grapalat" w:eastAsia="GHEA Grapalat" w:hAnsi="GHEA Grapalat" w:cs="GHEA Grapalat"/>
                <w:sz w:val="24"/>
                <w:szCs w:val="24"/>
              </w:rPr>
              <w:lastRenderedPageBreak/>
              <w:t>դեպքում հայտարարագրման ենթակա են միայն տվյալ պահի դրությամբ առկա մնացորդները, մինչդեռ պաշտոնատար անձանց տարեկան և պաշտոնի դադարեցման հայտարարագրերի դեպքում առկա են նաև դրանց՝ հաշվետու ժամանակաշրջանի սկզբի մնացորդները (բացառությամբ պարտավորությունների):</w:t>
            </w:r>
          </w:p>
          <w:p w14:paraId="2CB0FC40"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Այսպիսով, տրված ժամանակաշրջանի սկզբի դրությամբ հայտարարագրվող տվյալների բացակայությունը կարող է էականորեն սահմանափակել այդ ժամանակաշրջանի ավարտի դրությամբ առկա գույքի օրինականության վերաբերյալ տվյալների արդյունավետ վերլուծության հնարավորությունը, ուստի առաջարկվում է հայտարարագրման պահանջ սահմանել նաև </w:t>
            </w:r>
            <w:r w:rsidRPr="009D69F1">
              <w:rPr>
                <w:rFonts w:ascii="GHEA Grapalat" w:eastAsia="GHEA Grapalat" w:hAnsi="GHEA Grapalat" w:cs="GHEA Grapalat"/>
                <w:b/>
                <w:sz w:val="24"/>
                <w:szCs w:val="24"/>
              </w:rPr>
              <w:t xml:space="preserve">անշարժ գույքի, տրանսպորտի միջոցների, արժեթղթերի, թանկարժեք </w:t>
            </w:r>
            <w:r w:rsidRPr="009D69F1">
              <w:rPr>
                <w:rFonts w:ascii="GHEA Grapalat" w:eastAsia="GHEA Grapalat" w:hAnsi="GHEA Grapalat" w:cs="GHEA Grapalat"/>
                <w:b/>
                <w:sz w:val="24"/>
                <w:szCs w:val="24"/>
              </w:rPr>
              <w:lastRenderedPageBreak/>
              <w:t xml:space="preserve">գույքի, </w:t>
            </w:r>
            <w:r w:rsidRPr="009D69F1">
              <w:rPr>
                <w:rFonts w:ascii="GHEA Grapalat" w:eastAsia="GHEA Grapalat" w:hAnsi="GHEA Grapalat" w:cs="GHEA Grapalat"/>
                <w:sz w:val="24"/>
                <w:szCs w:val="24"/>
              </w:rPr>
              <w:t xml:space="preserve">ինչպես նաև </w:t>
            </w:r>
            <w:r w:rsidRPr="009D69F1">
              <w:rPr>
                <w:rFonts w:ascii="GHEA Grapalat" w:eastAsia="GHEA Grapalat" w:hAnsi="GHEA Grapalat" w:cs="GHEA Grapalat"/>
                <w:b/>
                <w:sz w:val="24"/>
                <w:szCs w:val="24"/>
              </w:rPr>
              <w:t xml:space="preserve">տրված փոխառությունների, բանկային ավանդների, դրամական միջոցների և պարտավորությունների՝ </w:t>
            </w:r>
            <w:r w:rsidRPr="009D69F1">
              <w:rPr>
                <w:rFonts w:ascii="GHEA Grapalat" w:eastAsia="GHEA Grapalat" w:hAnsi="GHEA Grapalat" w:cs="GHEA Grapalat"/>
                <w:sz w:val="24"/>
                <w:szCs w:val="24"/>
              </w:rPr>
              <w:t xml:space="preserve"> հաշվետու ժամանակահատվածի սկզբի դրությամբ առկա մնացորդների նկատմամբ:</w:t>
            </w:r>
          </w:p>
        </w:tc>
        <w:tc>
          <w:tcPr>
            <w:tcW w:w="2412" w:type="dxa"/>
            <w:shd w:val="clear" w:color="auto" w:fill="auto"/>
            <w:tcMar>
              <w:top w:w="100" w:type="dxa"/>
              <w:left w:w="100" w:type="dxa"/>
              <w:bottom w:w="100" w:type="dxa"/>
              <w:right w:w="100" w:type="dxa"/>
            </w:tcMar>
          </w:tcPr>
          <w:p w14:paraId="1CC9DCF2"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Ընդունվել է</w:t>
            </w:r>
          </w:p>
        </w:tc>
        <w:tc>
          <w:tcPr>
            <w:tcW w:w="3458" w:type="dxa"/>
            <w:shd w:val="clear" w:color="auto" w:fill="auto"/>
            <w:tcMar>
              <w:top w:w="100" w:type="dxa"/>
              <w:left w:w="100" w:type="dxa"/>
              <w:bottom w:w="100" w:type="dxa"/>
              <w:right w:w="100" w:type="dxa"/>
            </w:tcMar>
          </w:tcPr>
          <w:p w14:paraId="072E0483"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Նախագծում կատարվել են համապատասխան փոփոխություններ:</w:t>
            </w:r>
          </w:p>
        </w:tc>
      </w:tr>
      <w:tr w:rsidR="00EC376A" w:rsidRPr="009D69F1" w14:paraId="67E1FB59" w14:textId="77777777" w:rsidTr="009D69F1">
        <w:tc>
          <w:tcPr>
            <w:tcW w:w="536" w:type="dxa"/>
            <w:shd w:val="clear" w:color="auto" w:fill="auto"/>
            <w:tcMar>
              <w:top w:w="100" w:type="dxa"/>
              <w:left w:w="100" w:type="dxa"/>
              <w:bottom w:w="100" w:type="dxa"/>
              <w:right w:w="100" w:type="dxa"/>
            </w:tcMar>
          </w:tcPr>
          <w:p w14:paraId="5AEBBE10"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20E7462E"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shd w:val="clear" w:color="auto" w:fill="980000"/>
              </w:rPr>
            </w:pPr>
          </w:p>
        </w:tc>
        <w:tc>
          <w:tcPr>
            <w:tcW w:w="4005" w:type="dxa"/>
            <w:shd w:val="clear" w:color="auto" w:fill="auto"/>
            <w:tcMar>
              <w:top w:w="100" w:type="dxa"/>
              <w:left w:w="100" w:type="dxa"/>
              <w:bottom w:w="100" w:type="dxa"/>
              <w:right w:w="100" w:type="dxa"/>
            </w:tcMar>
          </w:tcPr>
          <w:p w14:paraId="637C086F" w14:textId="77777777" w:rsidR="00EC376A" w:rsidRPr="009D69F1" w:rsidRDefault="00F43AF2" w:rsidP="009D69F1">
            <w:pPr>
              <w:widowControl w:val="0"/>
              <w:spacing w:after="120" w:line="240" w:lineRule="auto"/>
              <w:jc w:val="both"/>
              <w:rPr>
                <w:rFonts w:ascii="GHEA Grapalat" w:hAnsi="GHEA Grapalat"/>
                <w:sz w:val="24"/>
                <w:szCs w:val="24"/>
              </w:rPr>
            </w:pPr>
            <w:r w:rsidRPr="009D69F1">
              <w:rPr>
                <w:rFonts w:ascii="GHEA Grapalat" w:eastAsia="GHEA Grapalat" w:hAnsi="GHEA Grapalat" w:cs="GHEA Grapalat"/>
                <w:sz w:val="24"/>
                <w:szCs w:val="24"/>
              </w:rPr>
              <w:t>2. Առաջարկվում է հայտարարագրվող տեղեկությունները ներկայացնել ոչ թե հայտարարագրի ներկայացման օրվա դրությամբ, այլ ավելի վաղ ամսաթվով, օրինակ՝ հայտարարագիր ներկայացնելու պահանջի առաջադրման օրվա կամ դրան նախորդող ամսվա վերջին օրվա դրությամբ, ինչը հնարավորություն չի տա գույքային դրության փոփոխություններ իրականացնելուց հետո հայտարարագրել գույքը (օրինակ՝ դրամական միջոցների նվիրատվություն և այլն):</w:t>
            </w:r>
          </w:p>
        </w:tc>
        <w:tc>
          <w:tcPr>
            <w:tcW w:w="2412" w:type="dxa"/>
            <w:shd w:val="clear" w:color="auto" w:fill="auto"/>
            <w:tcMar>
              <w:top w:w="100" w:type="dxa"/>
              <w:left w:w="100" w:type="dxa"/>
              <w:bottom w:w="100" w:type="dxa"/>
              <w:right w:w="100" w:type="dxa"/>
            </w:tcMar>
          </w:tcPr>
          <w:p w14:paraId="285C6D3B"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Չի ընդունվել</w:t>
            </w:r>
          </w:p>
        </w:tc>
        <w:tc>
          <w:tcPr>
            <w:tcW w:w="3458" w:type="dxa"/>
            <w:shd w:val="clear" w:color="auto" w:fill="auto"/>
            <w:tcMar>
              <w:top w:w="100" w:type="dxa"/>
              <w:left w:w="100" w:type="dxa"/>
              <w:bottom w:w="100" w:type="dxa"/>
              <w:right w:w="100" w:type="dxa"/>
            </w:tcMar>
          </w:tcPr>
          <w:p w14:paraId="6C5A8660" w14:textId="1BFC4398"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Հարկ ենք համարում նշել, որ «Ապօրինի ծագում ունեցող գույքի բռնագանձման մասին»</w:t>
            </w:r>
            <w:r w:rsidRPr="009D69F1">
              <w:rPr>
                <w:rFonts w:ascii="GHEA Grapalat" w:eastAsia="Tahoma" w:hAnsi="GHEA Grapalat" w:cs="Tahoma"/>
                <w:sz w:val="24"/>
                <w:szCs w:val="24"/>
              </w:rPr>
              <w:t xml:space="preserve">  օրենքի 16-րդ հոդվածում որպես ուղենիշ օգտագործում է հայտարարագրի ներկայացման պահը, որը կարող է  գործնականում առաջարկվել իրավասու մարմնի կողմից։ Մյուս կողմից, անհրաժեշտ է նշել, որ մինչև այդ պահը կատարված գործարքները, այդ թվում՝ գույքի </w:t>
            </w:r>
            <w:proofErr w:type="spellStart"/>
            <w:r w:rsidRPr="009D69F1">
              <w:rPr>
                <w:rFonts w:ascii="GHEA Grapalat" w:eastAsia="Tahoma" w:hAnsi="GHEA Grapalat" w:cs="Tahoma"/>
                <w:sz w:val="24"/>
                <w:szCs w:val="24"/>
              </w:rPr>
              <w:t>օտարումները</w:t>
            </w:r>
            <w:proofErr w:type="spellEnd"/>
            <w:r w:rsidRPr="009D69F1">
              <w:rPr>
                <w:rFonts w:ascii="GHEA Grapalat" w:eastAsia="Tahoma" w:hAnsi="GHEA Grapalat" w:cs="Tahoma"/>
                <w:sz w:val="24"/>
                <w:szCs w:val="24"/>
              </w:rPr>
              <w:t xml:space="preserve">, ենթակա կլինեն ներկայացման հայտարարագրի </w:t>
            </w:r>
            <w:r w:rsidRPr="009D69F1">
              <w:rPr>
                <w:rFonts w:ascii="GHEA Grapalat" w:eastAsia="GHEA Grapalat" w:hAnsi="GHEA Grapalat" w:cs="GHEA Grapalat"/>
                <w:sz w:val="24"/>
                <w:szCs w:val="24"/>
              </w:rPr>
              <w:t xml:space="preserve">«Ե» բաժնում, ինչը թույլ կտա </w:t>
            </w:r>
            <w:r w:rsidRPr="009D69F1">
              <w:rPr>
                <w:rFonts w:ascii="GHEA Grapalat" w:eastAsia="GHEA Grapalat" w:hAnsi="GHEA Grapalat" w:cs="GHEA Grapalat"/>
                <w:sz w:val="24"/>
                <w:szCs w:val="24"/>
              </w:rPr>
              <w:lastRenderedPageBreak/>
              <w:t>իրավասու մարմնին տեսնել ամբողջական պատկերը։</w:t>
            </w:r>
          </w:p>
        </w:tc>
      </w:tr>
      <w:tr w:rsidR="00EC376A" w:rsidRPr="009D69F1" w14:paraId="03EBEBCF" w14:textId="77777777" w:rsidTr="009D69F1">
        <w:tc>
          <w:tcPr>
            <w:tcW w:w="536" w:type="dxa"/>
            <w:shd w:val="clear" w:color="auto" w:fill="auto"/>
            <w:tcMar>
              <w:top w:w="100" w:type="dxa"/>
              <w:left w:w="100" w:type="dxa"/>
              <w:bottom w:w="100" w:type="dxa"/>
              <w:right w:w="100" w:type="dxa"/>
            </w:tcMar>
          </w:tcPr>
          <w:p w14:paraId="63746384"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031AA529"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303EC015" w14:textId="77777777" w:rsidR="00EC376A" w:rsidRPr="009D69F1" w:rsidRDefault="00F43AF2" w:rsidP="009D69F1">
            <w:pPr>
              <w:widowControl w:val="0"/>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3. Առաջարկվում է որոշակիացնել Ա.1. «Հայտարարատու անձի տվյալներ» բաժնի 6-րդ և 7-րդ և Ա.2.«Հայտարարատու անձի ընտանիքի անդամի տվյալները» բաժնի 7-րդ և 8-րդ կետերը, քանի որ հայտարարագիրը վերաբերում է վերջին տասը տարիներին </w:t>
            </w:r>
            <w:proofErr w:type="spellStart"/>
            <w:r w:rsidRPr="009D69F1">
              <w:rPr>
                <w:rFonts w:ascii="GHEA Grapalat" w:eastAsia="GHEA Grapalat" w:hAnsi="GHEA Grapalat" w:cs="GHEA Grapalat"/>
                <w:sz w:val="24"/>
                <w:szCs w:val="24"/>
              </w:rPr>
              <w:t>ձևակերպումից</w:t>
            </w:r>
            <w:proofErr w:type="spellEnd"/>
            <w:r w:rsidRPr="009D69F1">
              <w:rPr>
                <w:rFonts w:ascii="GHEA Grapalat" w:eastAsia="GHEA Grapalat" w:hAnsi="GHEA Grapalat" w:cs="GHEA Grapalat"/>
                <w:sz w:val="24"/>
                <w:szCs w:val="24"/>
              </w:rPr>
              <w:t xml:space="preserve"> պարզ չէ, թե որ </w:t>
            </w:r>
            <w:proofErr w:type="spellStart"/>
            <w:r w:rsidRPr="009D69F1">
              <w:rPr>
                <w:rFonts w:ascii="GHEA Grapalat" w:eastAsia="GHEA Grapalat" w:hAnsi="GHEA Grapalat" w:cs="GHEA Grapalat"/>
                <w:sz w:val="24"/>
                <w:szCs w:val="24"/>
              </w:rPr>
              <w:t>գործատուին</w:t>
            </w:r>
            <w:proofErr w:type="spellEnd"/>
            <w:r w:rsidRPr="009D69F1">
              <w:rPr>
                <w:rFonts w:ascii="GHEA Grapalat" w:eastAsia="GHEA Grapalat" w:hAnsi="GHEA Grapalat" w:cs="GHEA Grapalat"/>
                <w:sz w:val="24"/>
                <w:szCs w:val="24"/>
              </w:rPr>
              <w:t xml:space="preserve"> կամ որ պաշտոնին է վերաբերում լրացման ենթակա դաշտը: Բացի այդ, հնարավոր են դեպքեր , երբ հայտարարատու անձը ոչ թե վարձու աշխատող է, այլ բիզնեսի սեփականատեր:</w:t>
            </w:r>
          </w:p>
        </w:tc>
        <w:tc>
          <w:tcPr>
            <w:tcW w:w="2412" w:type="dxa"/>
            <w:shd w:val="clear" w:color="auto" w:fill="auto"/>
            <w:tcMar>
              <w:top w:w="100" w:type="dxa"/>
              <w:left w:w="100" w:type="dxa"/>
              <w:bottom w:w="100" w:type="dxa"/>
              <w:right w:w="100" w:type="dxa"/>
            </w:tcMar>
          </w:tcPr>
          <w:p w14:paraId="725BA338"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Ընդունվել է</w:t>
            </w:r>
          </w:p>
        </w:tc>
        <w:tc>
          <w:tcPr>
            <w:tcW w:w="3458" w:type="dxa"/>
            <w:shd w:val="clear" w:color="auto" w:fill="auto"/>
            <w:tcMar>
              <w:top w:w="100" w:type="dxa"/>
              <w:left w:w="100" w:type="dxa"/>
              <w:bottom w:w="100" w:type="dxa"/>
              <w:right w:w="100" w:type="dxa"/>
            </w:tcMar>
          </w:tcPr>
          <w:p w14:paraId="2C82019C" w14:textId="49EA0408" w:rsidR="00EC376A" w:rsidRPr="009D69F1" w:rsidRDefault="00F43AF2" w:rsidP="009D69F1">
            <w:pPr>
              <w:widowControl w:val="0"/>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Նախագծում (լրացման կարգում) կատարվել է փոփոխություն՝ հստակեցնելով, թե որ օրվա դրությամբ են ներկայացվում տեղեկությունները:</w:t>
            </w:r>
          </w:p>
          <w:p w14:paraId="128498F0"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r>
      <w:tr w:rsidR="00EC376A" w:rsidRPr="009D69F1" w14:paraId="4BB4A40B" w14:textId="77777777" w:rsidTr="009D69F1">
        <w:tc>
          <w:tcPr>
            <w:tcW w:w="536" w:type="dxa"/>
            <w:shd w:val="clear" w:color="auto" w:fill="auto"/>
            <w:tcMar>
              <w:top w:w="100" w:type="dxa"/>
              <w:left w:w="100" w:type="dxa"/>
              <w:bottom w:w="100" w:type="dxa"/>
              <w:right w:w="100" w:type="dxa"/>
            </w:tcMar>
          </w:tcPr>
          <w:p w14:paraId="0CC215A8"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0CC57D04"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0F59B1A9" w14:textId="77777777" w:rsidR="00EC376A" w:rsidRPr="009D69F1" w:rsidRDefault="00F43AF2" w:rsidP="009D69F1">
            <w:pPr>
              <w:widowControl w:val="0"/>
              <w:spacing w:after="120" w:line="240" w:lineRule="auto"/>
              <w:jc w:val="both"/>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rPr>
              <w:t xml:space="preserve">4. Ա.3.«Հայտարարատու անձի և նրա ընտանիքի անդամի բանկային հաշիվները» բաժնում առաջարկվում է օտարերկրյա բանկի դեպքում նշել բանկի գտնվելու երկիրն ու քաղաքը (հասցեն գրելու անհրաժեշտություն չկա), ինչպես նաև հայտարարագրել տվյալ </w:t>
            </w:r>
            <w:r w:rsidRPr="009D69F1">
              <w:rPr>
                <w:rFonts w:ascii="GHEA Grapalat" w:eastAsia="GHEA Grapalat" w:hAnsi="GHEA Grapalat" w:cs="GHEA Grapalat"/>
                <w:sz w:val="24"/>
                <w:szCs w:val="24"/>
              </w:rPr>
              <w:lastRenderedPageBreak/>
              <w:t>բանկում առկա ընդհանուր գումարն ըստ արժույթների: Ըստ առանձին հաշիվների ներկայացնելու անհրաժեշտություն չկա: Եթե, այնուամենայնիվ, ըստ հաշիվների հայտարարագրման պահանջը պահպանվելու է, առաջարկվում է Ա.3.«Հայտարարատու անձի և նրա ընտանիքի անդամի բանկային հաշիվները» բաժնի տեղեկությունները ներառել Բ.4.2.«Հանձնված ավանդներ» և Բ.6.«Դրամական միջոցները» բաժիններում:</w:t>
            </w:r>
          </w:p>
        </w:tc>
        <w:tc>
          <w:tcPr>
            <w:tcW w:w="2412" w:type="dxa"/>
            <w:shd w:val="clear" w:color="auto" w:fill="auto"/>
            <w:tcMar>
              <w:top w:w="100" w:type="dxa"/>
              <w:left w:w="100" w:type="dxa"/>
              <w:bottom w:w="100" w:type="dxa"/>
              <w:right w:w="100" w:type="dxa"/>
            </w:tcMar>
          </w:tcPr>
          <w:p w14:paraId="7F016480"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Չի ընդունվել</w:t>
            </w:r>
          </w:p>
        </w:tc>
        <w:tc>
          <w:tcPr>
            <w:tcW w:w="3458" w:type="dxa"/>
            <w:shd w:val="clear" w:color="auto" w:fill="auto"/>
            <w:tcMar>
              <w:top w:w="100" w:type="dxa"/>
              <w:left w:w="100" w:type="dxa"/>
              <w:bottom w:w="100" w:type="dxa"/>
              <w:right w:w="100" w:type="dxa"/>
            </w:tcMar>
          </w:tcPr>
          <w:p w14:paraId="737986F8" w14:textId="59CDDDF2"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Գտնում ենք, որ անձի կողմից </w:t>
            </w:r>
            <w:proofErr w:type="spellStart"/>
            <w:r w:rsidRPr="009D69F1">
              <w:rPr>
                <w:rFonts w:ascii="GHEA Grapalat" w:eastAsia="GHEA Grapalat" w:hAnsi="GHEA Grapalat" w:cs="GHEA Grapalat"/>
                <w:sz w:val="24"/>
                <w:szCs w:val="24"/>
              </w:rPr>
              <w:t>օտարերկր</w:t>
            </w:r>
            <w:r w:rsidR="009D69F1" w:rsidRPr="009D69F1">
              <w:rPr>
                <w:rFonts w:ascii="GHEA Grapalat" w:eastAsia="GHEA Grapalat" w:hAnsi="GHEA Grapalat" w:cs="GHEA Grapalat"/>
                <w:sz w:val="24"/>
                <w:szCs w:val="24"/>
              </w:rPr>
              <w:t>j</w:t>
            </w:r>
            <w:r w:rsidRPr="009D69F1">
              <w:rPr>
                <w:rFonts w:ascii="GHEA Grapalat" w:eastAsia="GHEA Grapalat" w:hAnsi="GHEA Grapalat" w:cs="GHEA Grapalat"/>
                <w:sz w:val="24"/>
                <w:szCs w:val="24"/>
              </w:rPr>
              <w:t>ա</w:t>
            </w:r>
            <w:proofErr w:type="spellEnd"/>
            <w:r w:rsidRPr="009D69F1">
              <w:rPr>
                <w:rFonts w:ascii="GHEA Grapalat" w:eastAsia="GHEA Grapalat" w:hAnsi="GHEA Grapalat" w:cs="GHEA Grapalat"/>
                <w:sz w:val="24"/>
                <w:szCs w:val="24"/>
              </w:rPr>
              <w:t xml:space="preserve"> բանկի հասցեի նշումը էական բեռ չի </w:t>
            </w:r>
            <w:r w:rsidR="009D69F1">
              <w:rPr>
                <w:rFonts w:ascii="GHEA Grapalat" w:eastAsia="GHEA Grapalat" w:hAnsi="GHEA Grapalat" w:cs="GHEA Grapalat"/>
                <w:sz w:val="24"/>
                <w:szCs w:val="24"/>
              </w:rPr>
              <w:t>ավելացնում</w:t>
            </w:r>
            <w:r w:rsidRPr="009D69F1">
              <w:rPr>
                <w:rFonts w:ascii="GHEA Grapalat" w:eastAsia="GHEA Grapalat" w:hAnsi="GHEA Grapalat" w:cs="GHEA Grapalat"/>
                <w:sz w:val="24"/>
                <w:szCs w:val="24"/>
              </w:rPr>
              <w:t xml:space="preserve">, մյուս կողմից թույլ է տալիս իրավասու մարմնին </w:t>
            </w:r>
            <w:r w:rsidR="009D69F1" w:rsidRPr="009D69F1">
              <w:rPr>
                <w:rFonts w:ascii="GHEA Grapalat" w:eastAsia="GHEA Grapalat" w:hAnsi="GHEA Grapalat" w:cs="GHEA Grapalat"/>
                <w:sz w:val="24"/>
                <w:szCs w:val="24"/>
              </w:rPr>
              <w:t>անհրաժեշտության</w:t>
            </w:r>
            <w:r w:rsidRPr="009D69F1">
              <w:rPr>
                <w:rFonts w:ascii="GHEA Grapalat" w:eastAsia="GHEA Grapalat" w:hAnsi="GHEA Grapalat" w:cs="GHEA Grapalat"/>
                <w:sz w:val="24"/>
                <w:szCs w:val="24"/>
              </w:rPr>
              <w:t xml:space="preserve"> դեպքում կապ հաստատել նշված բանկի հետ։ </w:t>
            </w:r>
          </w:p>
          <w:p w14:paraId="183BDDB2" w14:textId="49C87092"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Անդրադառնալով մյուս առաջարկին՝ հարկ է նշել, որ նախագիծը նախատեսում է դրամական միջոցների հայտարարագրում հանրագումարով, և ոչ ըստ հաշիվների։ Մյուս կողմից, քանզի հայտարարագրի շրջանակներում արդեն իսկ անձի բանկային բոլոր հաշիվների վերաբերյալ տեղեկությունները հայտնի են դառնում, իրավասու մարմինը հարկ եղած դեպքում իր իրավասությունների շրջանակում կարող է հարցում կատարել  ներկայացված հաշիվներում առկա մնացորդների վերաբերյալ:</w:t>
            </w:r>
          </w:p>
        </w:tc>
      </w:tr>
      <w:tr w:rsidR="00EC376A" w:rsidRPr="009D69F1" w14:paraId="3C6DF1E7" w14:textId="77777777" w:rsidTr="009D69F1">
        <w:tc>
          <w:tcPr>
            <w:tcW w:w="536" w:type="dxa"/>
            <w:shd w:val="clear" w:color="auto" w:fill="auto"/>
            <w:tcMar>
              <w:top w:w="100" w:type="dxa"/>
              <w:left w:w="100" w:type="dxa"/>
              <w:bottom w:w="100" w:type="dxa"/>
              <w:right w:w="100" w:type="dxa"/>
            </w:tcMar>
          </w:tcPr>
          <w:p w14:paraId="6C06248B"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shd w:val="clear" w:color="auto" w:fill="auto"/>
            <w:tcMar>
              <w:top w:w="100" w:type="dxa"/>
              <w:left w:w="100" w:type="dxa"/>
              <w:bottom w:w="100" w:type="dxa"/>
              <w:right w:w="100" w:type="dxa"/>
            </w:tcMar>
          </w:tcPr>
          <w:p w14:paraId="42B4CD93"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4005" w:type="dxa"/>
            <w:shd w:val="clear" w:color="auto" w:fill="auto"/>
            <w:tcMar>
              <w:top w:w="100" w:type="dxa"/>
              <w:left w:w="100" w:type="dxa"/>
              <w:bottom w:w="100" w:type="dxa"/>
              <w:right w:w="100" w:type="dxa"/>
            </w:tcMar>
          </w:tcPr>
          <w:p w14:paraId="2D3F5B97" w14:textId="77777777" w:rsidR="00EC376A" w:rsidRPr="009D69F1" w:rsidRDefault="00F43AF2" w:rsidP="009D69F1">
            <w:pPr>
              <w:widowControl w:val="0"/>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5. Գործնականում շատ հաճախ արժեթղթերի ձեռքբերումը և օտարումն իրականացվում է անվանական արժեքով, շուկայականից անհամեմատ ցածր գնով կամ արժեթղթերը ստացվում </w:t>
            </w:r>
            <w:r w:rsidRPr="009D69F1">
              <w:rPr>
                <w:rFonts w:ascii="GHEA Grapalat" w:eastAsia="GHEA Grapalat" w:hAnsi="GHEA Grapalat" w:cs="GHEA Grapalat"/>
                <w:sz w:val="24"/>
                <w:szCs w:val="24"/>
              </w:rPr>
              <w:lastRenderedPageBreak/>
              <w:t>են որպես նվիրատվություն:</w:t>
            </w:r>
          </w:p>
          <w:p w14:paraId="72A98BDD" w14:textId="77777777" w:rsidR="00EC376A" w:rsidRPr="009D69F1" w:rsidRDefault="00F43AF2" w:rsidP="009D69F1">
            <w:pPr>
              <w:widowControl w:val="0"/>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Առաջարկվում է Բ.3.1.«Բաժնային արժեթղթեր և այլ ներդրումներ» և Բ.3.2.«Պարտքային և այլ արժեթղթեր» բաժիններում որպես արժեթղթի կամ այլ ներդրման արժեք հայտարարագրել արժեթղթի կամ այլ ներդրման գործարքի գինը՝ միաժամանակ մեխանիզմ սահմանել նաև իրական արժեքը որոշելու համար (տվյալ պահի դրությամբ հաշվապահական տվյալներում արտացոլված զուտ ակտիվների արժեքը, հայտարարատուի գնահատմամբ մոտավոր շուկայական արժեքը՝ հետագայում փորձագիտական գնահատական ստանալու պայմանով և այլն):</w:t>
            </w:r>
          </w:p>
        </w:tc>
        <w:tc>
          <w:tcPr>
            <w:tcW w:w="2412" w:type="dxa"/>
            <w:shd w:val="clear" w:color="auto" w:fill="auto"/>
            <w:tcMar>
              <w:top w:w="100" w:type="dxa"/>
              <w:left w:w="100" w:type="dxa"/>
              <w:bottom w:w="100" w:type="dxa"/>
              <w:right w:w="100" w:type="dxa"/>
            </w:tcMar>
          </w:tcPr>
          <w:p w14:paraId="6D679F95"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Չի ընդունվել</w:t>
            </w:r>
          </w:p>
        </w:tc>
        <w:tc>
          <w:tcPr>
            <w:tcW w:w="3458" w:type="dxa"/>
            <w:shd w:val="clear" w:color="auto" w:fill="auto"/>
            <w:tcMar>
              <w:top w:w="100" w:type="dxa"/>
              <w:left w:w="100" w:type="dxa"/>
              <w:bottom w:w="100" w:type="dxa"/>
              <w:right w:w="100" w:type="dxa"/>
            </w:tcMar>
          </w:tcPr>
          <w:p w14:paraId="3B621289" w14:textId="18835F63" w:rsidR="00EC376A" w:rsidRPr="009D69F1" w:rsidRDefault="00F43AF2" w:rsidP="009D69F1">
            <w:pPr>
              <w:widowControl w:val="0"/>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Հաշվի առնելով, որ առաջարկի հիման վրա փոփոխություն կատարելու դեպքում հայտարարատուի կողմից կատարված գործարքի շուկայական գնի </w:t>
            </w:r>
            <w:r w:rsidRPr="009D69F1">
              <w:rPr>
                <w:rFonts w:ascii="GHEA Grapalat" w:eastAsia="GHEA Grapalat" w:hAnsi="GHEA Grapalat" w:cs="GHEA Grapalat"/>
                <w:sz w:val="24"/>
                <w:szCs w:val="24"/>
              </w:rPr>
              <w:lastRenderedPageBreak/>
              <w:t xml:space="preserve">պարզումը հավելյալ բեռ է դնում վերջինիս վրա, նպատակահարմար ենք գտնում, որ շուկայական գնի </w:t>
            </w:r>
            <w:proofErr w:type="spellStart"/>
            <w:r w:rsidRPr="009D69F1">
              <w:rPr>
                <w:rFonts w:ascii="GHEA Grapalat" w:eastAsia="GHEA Grapalat" w:hAnsi="GHEA Grapalat" w:cs="GHEA Grapalat"/>
                <w:sz w:val="24"/>
                <w:szCs w:val="24"/>
              </w:rPr>
              <w:t>վերհանումն</w:t>
            </w:r>
            <w:proofErr w:type="spellEnd"/>
            <w:r w:rsidRPr="009D69F1">
              <w:rPr>
                <w:rFonts w:ascii="GHEA Grapalat" w:eastAsia="GHEA Grapalat" w:hAnsi="GHEA Grapalat" w:cs="GHEA Grapalat"/>
                <w:sz w:val="24"/>
                <w:szCs w:val="24"/>
              </w:rPr>
              <w:t xml:space="preserve"> ըստ </w:t>
            </w:r>
            <w:r w:rsidR="009D69F1" w:rsidRPr="009D69F1">
              <w:rPr>
                <w:rFonts w:ascii="GHEA Grapalat" w:eastAsia="GHEA Grapalat" w:hAnsi="GHEA Grapalat" w:cs="GHEA Grapalat"/>
                <w:sz w:val="24"/>
                <w:szCs w:val="24"/>
              </w:rPr>
              <w:t>անհրաժեշտության</w:t>
            </w:r>
            <w:r w:rsidRPr="009D69F1">
              <w:rPr>
                <w:rFonts w:ascii="GHEA Grapalat" w:eastAsia="GHEA Grapalat" w:hAnsi="GHEA Grapalat" w:cs="GHEA Grapalat"/>
                <w:sz w:val="24"/>
                <w:szCs w:val="24"/>
              </w:rPr>
              <w:t xml:space="preserve"> կատարի իրավասու մարմինը՝ դիմելով մասնագիտացված կազմակերպությունների։</w:t>
            </w:r>
          </w:p>
        </w:tc>
      </w:tr>
      <w:tr w:rsidR="00EC376A" w:rsidRPr="009D69F1" w14:paraId="7CDBB752" w14:textId="77777777" w:rsidTr="009D69F1">
        <w:trPr>
          <w:trHeight w:val="485"/>
        </w:trPr>
        <w:tc>
          <w:tcPr>
            <w:tcW w:w="536" w:type="dxa"/>
            <w:tcBorders>
              <w:bottom w:val="single" w:sz="4" w:space="0" w:color="000000"/>
            </w:tcBorders>
            <w:shd w:val="clear" w:color="auto" w:fill="auto"/>
            <w:tcMar>
              <w:top w:w="100" w:type="dxa"/>
              <w:left w:w="100" w:type="dxa"/>
              <w:bottom w:w="100" w:type="dxa"/>
              <w:right w:w="100" w:type="dxa"/>
            </w:tcMar>
          </w:tcPr>
          <w:p w14:paraId="60E6067B"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tcBorders>
              <w:bottom w:val="single" w:sz="4" w:space="0" w:color="000000"/>
            </w:tcBorders>
            <w:shd w:val="clear" w:color="auto" w:fill="auto"/>
            <w:tcMar>
              <w:top w:w="100" w:type="dxa"/>
              <w:left w:w="100" w:type="dxa"/>
              <w:bottom w:w="100" w:type="dxa"/>
              <w:right w:w="100" w:type="dxa"/>
            </w:tcMar>
          </w:tcPr>
          <w:p w14:paraId="7393752C"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4005" w:type="dxa"/>
            <w:tcBorders>
              <w:bottom w:val="single" w:sz="4" w:space="0" w:color="000000"/>
            </w:tcBorders>
            <w:shd w:val="clear" w:color="auto" w:fill="auto"/>
            <w:tcMar>
              <w:top w:w="100" w:type="dxa"/>
              <w:left w:w="100" w:type="dxa"/>
              <w:bottom w:w="100" w:type="dxa"/>
              <w:right w:w="100" w:type="dxa"/>
            </w:tcMar>
          </w:tcPr>
          <w:p w14:paraId="7B0306AD"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6. Առաջարկվում է Բ.3.2.«Պարտքային և այլ արժեթղթեր» բաժնի 4-րդ և 5-րդ կետերից հանել «կամ այլ ներդրման» բառերը, Ե.3. «Ուսումնասիրվող </w:t>
            </w:r>
            <w:r w:rsidRPr="009D69F1">
              <w:rPr>
                <w:rFonts w:ascii="GHEA Grapalat" w:eastAsia="GHEA Grapalat" w:hAnsi="GHEA Grapalat" w:cs="GHEA Grapalat"/>
                <w:sz w:val="24"/>
                <w:szCs w:val="24"/>
              </w:rPr>
              <w:lastRenderedPageBreak/>
              <w:t>ժամանակահատվածում ձեռք բերված և օտարված արժեթղթերը և բաժնեմասերը» բաժնի անվանումը համապատասխանեցնել Բ.3.1.«Բաժնային արժեթղթեր և այլ ներդրումները» բաժնի անվանման հետ՝ «և բաժնեմասերը» բառերը փոխարինելով «և այլ ներդրումները»  բառերով:</w:t>
            </w:r>
          </w:p>
        </w:tc>
        <w:tc>
          <w:tcPr>
            <w:tcW w:w="2412" w:type="dxa"/>
            <w:tcBorders>
              <w:bottom w:val="single" w:sz="4" w:space="0" w:color="000000"/>
            </w:tcBorders>
            <w:shd w:val="clear" w:color="auto" w:fill="auto"/>
            <w:tcMar>
              <w:top w:w="100" w:type="dxa"/>
              <w:left w:w="100" w:type="dxa"/>
              <w:bottom w:w="100" w:type="dxa"/>
              <w:right w:w="100" w:type="dxa"/>
            </w:tcMar>
          </w:tcPr>
          <w:p w14:paraId="3E24180E"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Ընդունվել է</w:t>
            </w:r>
          </w:p>
        </w:tc>
        <w:tc>
          <w:tcPr>
            <w:tcW w:w="3458" w:type="dxa"/>
            <w:tcBorders>
              <w:bottom w:val="single" w:sz="4" w:space="0" w:color="000000"/>
            </w:tcBorders>
            <w:shd w:val="clear" w:color="auto" w:fill="auto"/>
            <w:tcMar>
              <w:top w:w="100" w:type="dxa"/>
              <w:left w:w="100" w:type="dxa"/>
              <w:bottom w:w="100" w:type="dxa"/>
              <w:right w:w="100" w:type="dxa"/>
            </w:tcMar>
          </w:tcPr>
          <w:p w14:paraId="09BB98A5"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Նախագծում կատարվել են համապատասխան փոփոխություններ:</w:t>
            </w:r>
          </w:p>
        </w:tc>
      </w:tr>
      <w:tr w:rsidR="00EC376A" w:rsidRPr="009D69F1" w14:paraId="77445C20" w14:textId="77777777" w:rsidTr="009D69F1">
        <w:trPr>
          <w:trHeight w:val="703"/>
        </w:trPr>
        <w:tc>
          <w:tcPr>
            <w:tcW w:w="536" w:type="dxa"/>
            <w:tcBorders>
              <w:top w:val="single" w:sz="4" w:space="0" w:color="000000"/>
              <w:bottom w:val="single" w:sz="4" w:space="0" w:color="000000"/>
            </w:tcBorders>
            <w:shd w:val="clear" w:color="auto" w:fill="auto"/>
            <w:tcMar>
              <w:top w:w="100" w:type="dxa"/>
              <w:left w:w="100" w:type="dxa"/>
              <w:bottom w:w="100" w:type="dxa"/>
              <w:right w:w="100" w:type="dxa"/>
            </w:tcMar>
          </w:tcPr>
          <w:p w14:paraId="1414CCA3"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tcBorders>
              <w:top w:val="single" w:sz="4" w:space="0" w:color="000000"/>
              <w:bottom w:val="single" w:sz="4" w:space="0" w:color="000000"/>
            </w:tcBorders>
            <w:shd w:val="clear" w:color="auto" w:fill="auto"/>
            <w:tcMar>
              <w:top w:w="100" w:type="dxa"/>
              <w:left w:w="100" w:type="dxa"/>
              <w:bottom w:w="100" w:type="dxa"/>
              <w:right w:w="100" w:type="dxa"/>
            </w:tcMar>
          </w:tcPr>
          <w:p w14:paraId="7CFB48D3"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4005" w:type="dxa"/>
            <w:tcBorders>
              <w:top w:val="single" w:sz="4" w:space="0" w:color="000000"/>
              <w:bottom w:val="single" w:sz="4" w:space="0" w:color="000000"/>
            </w:tcBorders>
            <w:shd w:val="clear" w:color="auto" w:fill="auto"/>
            <w:tcMar>
              <w:top w:w="100" w:type="dxa"/>
              <w:left w:w="100" w:type="dxa"/>
              <w:bottom w:w="100" w:type="dxa"/>
              <w:right w:w="100" w:type="dxa"/>
            </w:tcMar>
          </w:tcPr>
          <w:p w14:paraId="4F25CF05"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bookmarkStart w:id="0" w:name="_heading=h.gjdgxs" w:colFirst="0" w:colLast="0"/>
            <w:bookmarkEnd w:id="0"/>
            <w:r w:rsidRPr="009D69F1">
              <w:rPr>
                <w:rFonts w:ascii="GHEA Grapalat" w:eastAsia="GHEA Grapalat" w:hAnsi="GHEA Grapalat" w:cs="GHEA Grapalat"/>
                <w:sz w:val="24"/>
                <w:szCs w:val="24"/>
              </w:rPr>
              <w:t xml:space="preserve">7. Բ.5.«Չորս միլիոն դրամից կամ դրան համարժեք </w:t>
            </w:r>
            <w:proofErr w:type="spellStart"/>
            <w:r w:rsidRPr="009D69F1">
              <w:rPr>
                <w:rFonts w:ascii="GHEA Grapalat" w:eastAsia="GHEA Grapalat" w:hAnsi="GHEA Grapalat" w:cs="GHEA Grapalat"/>
                <w:sz w:val="24"/>
                <w:szCs w:val="24"/>
              </w:rPr>
              <w:t>արտարժույթից</w:t>
            </w:r>
            <w:proofErr w:type="spellEnd"/>
            <w:r w:rsidRPr="009D69F1">
              <w:rPr>
                <w:rFonts w:ascii="GHEA Grapalat" w:eastAsia="GHEA Grapalat" w:hAnsi="GHEA Grapalat" w:cs="GHEA Grapalat"/>
                <w:sz w:val="24"/>
                <w:szCs w:val="24"/>
              </w:rPr>
              <w:t xml:space="preserve"> ավելի արժեք ունեցող գույքը» բաժնի 6-րդ և Ե.4.«Ուսումնասիրվող ժամանակահատվածում ձեռք բերված և օտարված՝ չորս միլիոն դրամից կամ դրան համարժեք </w:t>
            </w:r>
            <w:proofErr w:type="spellStart"/>
            <w:r w:rsidRPr="009D69F1">
              <w:rPr>
                <w:rFonts w:ascii="GHEA Grapalat" w:eastAsia="GHEA Grapalat" w:hAnsi="GHEA Grapalat" w:cs="GHEA Grapalat"/>
                <w:sz w:val="24"/>
                <w:szCs w:val="24"/>
              </w:rPr>
              <w:t>արտարժույթից</w:t>
            </w:r>
            <w:proofErr w:type="spellEnd"/>
            <w:r w:rsidRPr="009D69F1">
              <w:rPr>
                <w:rFonts w:ascii="GHEA Grapalat" w:eastAsia="GHEA Grapalat" w:hAnsi="GHEA Grapalat" w:cs="GHEA Grapalat"/>
                <w:sz w:val="24"/>
                <w:szCs w:val="24"/>
              </w:rPr>
              <w:t xml:space="preserve"> ավելի արժեք ունեցող գույքը» բաժնի 7-րդ կետերը առաջարկվում է հստակեցնել և նշել, որ նվիրատվությամբ ստացված գույքի դեպքում հարկավոր է նշել բնամթերային ձևով ստացած լինելու հանգամանքը՝ </w:t>
            </w:r>
            <w:r w:rsidRPr="009D69F1">
              <w:rPr>
                <w:rFonts w:ascii="GHEA Grapalat" w:eastAsia="GHEA Grapalat" w:hAnsi="GHEA Grapalat" w:cs="GHEA Grapalat"/>
                <w:sz w:val="24"/>
                <w:szCs w:val="24"/>
              </w:rPr>
              <w:lastRenderedPageBreak/>
              <w:t>միաժամանակ նշելով նաև գույքի շուկայական արժեքը:</w:t>
            </w:r>
          </w:p>
        </w:tc>
        <w:tc>
          <w:tcPr>
            <w:tcW w:w="2412" w:type="dxa"/>
            <w:tcBorders>
              <w:top w:val="single" w:sz="4" w:space="0" w:color="000000"/>
              <w:bottom w:val="single" w:sz="4" w:space="0" w:color="000000"/>
            </w:tcBorders>
            <w:shd w:val="clear" w:color="auto" w:fill="auto"/>
            <w:tcMar>
              <w:top w:w="100" w:type="dxa"/>
              <w:left w:w="100" w:type="dxa"/>
              <w:bottom w:w="100" w:type="dxa"/>
              <w:right w:w="100" w:type="dxa"/>
            </w:tcMar>
          </w:tcPr>
          <w:p w14:paraId="7883E321"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Չի ընդունվել</w:t>
            </w:r>
          </w:p>
        </w:tc>
        <w:tc>
          <w:tcPr>
            <w:tcW w:w="3458" w:type="dxa"/>
            <w:shd w:val="clear" w:color="auto" w:fill="auto"/>
            <w:tcMar>
              <w:top w:w="100" w:type="dxa"/>
              <w:left w:w="100" w:type="dxa"/>
              <w:bottom w:w="100" w:type="dxa"/>
              <w:right w:w="100" w:type="dxa"/>
            </w:tcMar>
          </w:tcPr>
          <w:p w14:paraId="76AD73E7" w14:textId="27BA3CDB" w:rsidR="00EC376A" w:rsidRPr="009D69F1" w:rsidRDefault="00F43AF2" w:rsidP="009D69F1">
            <w:pPr>
              <w:widowControl w:val="0"/>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Հաշվի առնելով, որ առաջարկի հիման վրա փոփոխություն կատարելու դեպքում հայտարարատուի կողմից կատարված գործարքի շուկայական գնի պարզումը հավելյալ բեռ է դնում վերջինիս վրա, նպատակահարմար ենք գտնում, որ շուկայական գնի </w:t>
            </w:r>
            <w:proofErr w:type="spellStart"/>
            <w:r w:rsidRPr="009D69F1">
              <w:rPr>
                <w:rFonts w:ascii="GHEA Grapalat" w:eastAsia="GHEA Grapalat" w:hAnsi="GHEA Grapalat" w:cs="GHEA Grapalat"/>
                <w:sz w:val="24"/>
                <w:szCs w:val="24"/>
              </w:rPr>
              <w:t>վերհանումն</w:t>
            </w:r>
            <w:proofErr w:type="spellEnd"/>
            <w:r w:rsidRPr="009D69F1">
              <w:rPr>
                <w:rFonts w:ascii="GHEA Grapalat" w:eastAsia="GHEA Grapalat" w:hAnsi="GHEA Grapalat" w:cs="GHEA Grapalat"/>
                <w:sz w:val="24"/>
                <w:szCs w:val="24"/>
              </w:rPr>
              <w:t xml:space="preserve"> ըստ </w:t>
            </w:r>
            <w:r w:rsidR="009D69F1" w:rsidRPr="009D69F1">
              <w:rPr>
                <w:rFonts w:ascii="GHEA Grapalat" w:eastAsia="GHEA Grapalat" w:hAnsi="GHEA Grapalat" w:cs="GHEA Grapalat"/>
                <w:sz w:val="24"/>
                <w:szCs w:val="24"/>
              </w:rPr>
              <w:t>անհրաժեշտության</w:t>
            </w:r>
            <w:r w:rsidRPr="009D69F1">
              <w:rPr>
                <w:rFonts w:ascii="GHEA Grapalat" w:eastAsia="GHEA Grapalat" w:hAnsi="GHEA Grapalat" w:cs="GHEA Grapalat"/>
                <w:sz w:val="24"/>
                <w:szCs w:val="24"/>
              </w:rPr>
              <w:t xml:space="preserve"> կատարի իրավասու մարմինը՝ դիմելով մասնագիտացված կազմակերպությունների։</w:t>
            </w:r>
          </w:p>
        </w:tc>
      </w:tr>
      <w:tr w:rsidR="00EC376A" w:rsidRPr="009D69F1" w14:paraId="5862FE3C" w14:textId="77777777" w:rsidTr="009D69F1">
        <w:trPr>
          <w:trHeight w:val="469"/>
        </w:trPr>
        <w:tc>
          <w:tcPr>
            <w:tcW w:w="536" w:type="dxa"/>
            <w:tcBorders>
              <w:top w:val="single" w:sz="4" w:space="0" w:color="000000"/>
              <w:bottom w:val="single" w:sz="4" w:space="0" w:color="000000"/>
            </w:tcBorders>
            <w:shd w:val="clear" w:color="auto" w:fill="auto"/>
            <w:tcMar>
              <w:top w:w="100" w:type="dxa"/>
              <w:left w:w="100" w:type="dxa"/>
              <w:bottom w:w="100" w:type="dxa"/>
              <w:right w:w="100" w:type="dxa"/>
            </w:tcMar>
          </w:tcPr>
          <w:p w14:paraId="148F3788"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tcBorders>
              <w:top w:val="single" w:sz="4" w:space="0" w:color="000000"/>
              <w:bottom w:val="single" w:sz="4" w:space="0" w:color="000000"/>
            </w:tcBorders>
            <w:shd w:val="clear" w:color="auto" w:fill="auto"/>
            <w:tcMar>
              <w:top w:w="100" w:type="dxa"/>
              <w:left w:w="100" w:type="dxa"/>
              <w:bottom w:w="100" w:type="dxa"/>
              <w:right w:w="100" w:type="dxa"/>
            </w:tcMar>
          </w:tcPr>
          <w:p w14:paraId="55521247"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4005" w:type="dxa"/>
            <w:tcBorders>
              <w:top w:val="single" w:sz="4" w:space="0" w:color="000000"/>
              <w:bottom w:val="single" w:sz="4" w:space="0" w:color="000000"/>
            </w:tcBorders>
            <w:shd w:val="clear" w:color="auto" w:fill="auto"/>
            <w:tcMar>
              <w:top w:w="100" w:type="dxa"/>
              <w:left w:w="100" w:type="dxa"/>
              <w:bottom w:w="100" w:type="dxa"/>
              <w:right w:w="100" w:type="dxa"/>
            </w:tcMar>
          </w:tcPr>
          <w:p w14:paraId="48941EA3"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rPr>
              <w:t xml:space="preserve">8. Բ.6.«Դրամական միջոցներ» բաժնում առաջարկվում է բանկային հաշիվների մնացորդը ներկայացնել ըստ բանկերի և արժույթների: 4-րդ կետը կիրառելի չէ </w:t>
            </w:r>
            <w:proofErr w:type="spellStart"/>
            <w:r w:rsidRPr="009D69F1">
              <w:rPr>
                <w:rFonts w:ascii="GHEA Grapalat" w:eastAsia="GHEA Grapalat" w:hAnsi="GHEA Grapalat" w:cs="GHEA Grapalat"/>
                <w:sz w:val="24"/>
                <w:szCs w:val="24"/>
              </w:rPr>
              <w:t>կրիպտոարժույթի</w:t>
            </w:r>
            <w:proofErr w:type="spellEnd"/>
            <w:r w:rsidRPr="009D69F1">
              <w:rPr>
                <w:rFonts w:ascii="GHEA Grapalat" w:eastAsia="GHEA Grapalat" w:hAnsi="GHEA Grapalat" w:cs="GHEA Grapalat"/>
                <w:sz w:val="24"/>
                <w:szCs w:val="24"/>
              </w:rPr>
              <w:t xml:space="preserve"> դեպքում, 5-րդ կետը կիրառելի չէ դրամական միջոցների համար:</w:t>
            </w:r>
          </w:p>
        </w:tc>
        <w:tc>
          <w:tcPr>
            <w:tcW w:w="2412" w:type="dxa"/>
            <w:tcBorders>
              <w:top w:val="single" w:sz="4" w:space="0" w:color="000000"/>
              <w:bottom w:val="single" w:sz="4" w:space="0" w:color="000000"/>
            </w:tcBorders>
            <w:shd w:val="clear" w:color="auto" w:fill="auto"/>
            <w:tcMar>
              <w:top w:w="100" w:type="dxa"/>
              <w:left w:w="100" w:type="dxa"/>
              <w:bottom w:w="100" w:type="dxa"/>
              <w:right w:w="100" w:type="dxa"/>
            </w:tcMar>
          </w:tcPr>
          <w:p w14:paraId="75681BD1"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Ընդունվել է մասնակի</w:t>
            </w:r>
          </w:p>
        </w:tc>
        <w:tc>
          <w:tcPr>
            <w:tcW w:w="3458" w:type="dxa"/>
            <w:tcBorders>
              <w:top w:val="single" w:sz="4" w:space="0" w:color="000000"/>
              <w:bottom w:val="single" w:sz="4" w:space="0" w:color="000000"/>
            </w:tcBorders>
            <w:shd w:val="clear" w:color="auto" w:fill="auto"/>
            <w:tcMar>
              <w:top w:w="100" w:type="dxa"/>
              <w:left w:w="100" w:type="dxa"/>
              <w:bottom w:w="100" w:type="dxa"/>
              <w:right w:w="100" w:type="dxa"/>
            </w:tcMar>
          </w:tcPr>
          <w:p w14:paraId="36002181"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Հաշվի առնելով, որ հայտարարագրի շրջանակներում արդեն իսկ անձի բանկային բոլոր հաշիվների վերաբերյալ տեղեկությունները հայտնի են դառնում, իրավասու մարմինը հարկ եղած դեպքում իր իրավասությունների շրջանակում կարող է հարցում կատարել  ներկայացված հաշիվներում առկա մնացորդների վերաբերյալ:</w:t>
            </w:r>
          </w:p>
          <w:p w14:paraId="3E122004" w14:textId="7403EEB3"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Անդրադառնալով «Գումարի արժույթը» բաժինը </w:t>
            </w:r>
            <w:proofErr w:type="spellStart"/>
            <w:r w:rsidRPr="009D69F1">
              <w:rPr>
                <w:rFonts w:ascii="GHEA Grapalat" w:eastAsia="GHEA Grapalat" w:hAnsi="GHEA Grapalat" w:cs="GHEA Grapalat"/>
                <w:sz w:val="24"/>
                <w:szCs w:val="24"/>
              </w:rPr>
              <w:t>կրիպտոարժույթի</w:t>
            </w:r>
            <w:proofErr w:type="spellEnd"/>
            <w:r w:rsidRPr="009D69F1">
              <w:rPr>
                <w:rFonts w:ascii="GHEA Grapalat" w:eastAsia="GHEA Grapalat" w:hAnsi="GHEA Grapalat" w:cs="GHEA Grapalat"/>
                <w:sz w:val="24"/>
                <w:szCs w:val="24"/>
              </w:rPr>
              <w:t xml:space="preserve"> նկատմամբ կիրառելի չլինելու </w:t>
            </w:r>
            <w:r w:rsidR="009D69F1">
              <w:rPr>
                <w:rFonts w:ascii="GHEA Grapalat" w:eastAsia="GHEA Grapalat" w:hAnsi="GHEA Grapalat" w:cs="GHEA Grapalat"/>
                <w:sz w:val="24"/>
                <w:szCs w:val="24"/>
              </w:rPr>
              <w:t>խնդրին</w:t>
            </w:r>
            <w:r w:rsidRPr="009D69F1">
              <w:rPr>
                <w:rFonts w:ascii="GHEA Grapalat" w:eastAsia="GHEA Grapalat" w:hAnsi="GHEA Grapalat" w:cs="GHEA Grapalat"/>
                <w:sz w:val="24"/>
                <w:szCs w:val="24"/>
              </w:rPr>
              <w:t xml:space="preserve">՝ </w:t>
            </w:r>
            <w:r w:rsidR="009D69F1">
              <w:rPr>
                <w:rFonts w:ascii="GHEA Grapalat" w:eastAsia="GHEA Grapalat" w:hAnsi="GHEA Grapalat" w:cs="GHEA Grapalat"/>
                <w:sz w:val="24"/>
                <w:szCs w:val="24"/>
              </w:rPr>
              <w:t>անհրաժեշտ է նշել</w:t>
            </w:r>
            <w:r w:rsidRPr="009D69F1">
              <w:rPr>
                <w:rFonts w:ascii="GHEA Grapalat" w:eastAsia="GHEA Grapalat" w:hAnsi="GHEA Grapalat" w:cs="GHEA Grapalat"/>
                <w:sz w:val="24"/>
                <w:szCs w:val="24"/>
              </w:rPr>
              <w:t>, որ լրացման կարգի համաձայն՝ բաժինը կիրառելի չլինելու դեպքում այն չի լրացվում:</w:t>
            </w:r>
          </w:p>
        </w:tc>
      </w:tr>
      <w:tr w:rsidR="00EC376A" w:rsidRPr="009D69F1" w14:paraId="7D5CEF3D" w14:textId="77777777" w:rsidTr="009D69F1">
        <w:trPr>
          <w:trHeight w:val="452"/>
        </w:trPr>
        <w:tc>
          <w:tcPr>
            <w:tcW w:w="536" w:type="dxa"/>
            <w:tcBorders>
              <w:top w:val="single" w:sz="4" w:space="0" w:color="000000"/>
              <w:right w:val="single" w:sz="4" w:space="0" w:color="000000"/>
            </w:tcBorders>
            <w:shd w:val="clear" w:color="auto" w:fill="auto"/>
            <w:tcMar>
              <w:top w:w="100" w:type="dxa"/>
              <w:left w:w="100" w:type="dxa"/>
              <w:bottom w:w="100" w:type="dxa"/>
              <w:right w:w="100" w:type="dxa"/>
            </w:tcMar>
          </w:tcPr>
          <w:p w14:paraId="68C03A42"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2550" w:type="dxa"/>
            <w:tcBorders>
              <w:top w:val="single" w:sz="4" w:space="0" w:color="000000"/>
              <w:left w:val="single" w:sz="4" w:space="0" w:color="000000"/>
            </w:tcBorders>
            <w:shd w:val="clear" w:color="auto" w:fill="auto"/>
            <w:tcMar>
              <w:top w:w="100" w:type="dxa"/>
              <w:left w:w="100" w:type="dxa"/>
              <w:bottom w:w="100" w:type="dxa"/>
              <w:right w:w="100" w:type="dxa"/>
            </w:tcMar>
          </w:tcPr>
          <w:p w14:paraId="3187D67C" w14:textId="77777777" w:rsidR="00EC376A" w:rsidRPr="009D69F1" w:rsidRDefault="00EC376A"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p>
        </w:tc>
        <w:tc>
          <w:tcPr>
            <w:tcW w:w="4005" w:type="dxa"/>
            <w:tcBorders>
              <w:top w:val="single" w:sz="4" w:space="0" w:color="000000"/>
              <w:right w:val="single" w:sz="4" w:space="0" w:color="000000"/>
            </w:tcBorders>
            <w:shd w:val="clear" w:color="auto" w:fill="auto"/>
            <w:tcMar>
              <w:top w:w="100" w:type="dxa"/>
              <w:left w:w="100" w:type="dxa"/>
              <w:bottom w:w="100" w:type="dxa"/>
              <w:right w:w="100" w:type="dxa"/>
            </w:tcMar>
          </w:tcPr>
          <w:p w14:paraId="433C2B16"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highlight w:val="white"/>
              </w:rPr>
            </w:pPr>
            <w:r w:rsidRPr="009D69F1">
              <w:rPr>
                <w:rFonts w:ascii="GHEA Grapalat" w:eastAsia="GHEA Grapalat" w:hAnsi="GHEA Grapalat" w:cs="GHEA Grapalat"/>
                <w:sz w:val="24"/>
                <w:szCs w:val="24"/>
              </w:rPr>
              <w:t>9. Գ.1.«Հայտարարատու անձի, նրա ընտանիքի անդամների եկամուտները» բաժնի անվանման մեջ «եկամուտները» բառը փոխարինել «պարտավորությունները» բառով:</w:t>
            </w:r>
          </w:p>
        </w:tc>
        <w:tc>
          <w:tcPr>
            <w:tcW w:w="2412" w:type="dxa"/>
            <w:tcBorders>
              <w:top w:val="single" w:sz="4" w:space="0" w:color="000000"/>
              <w:left w:val="single" w:sz="4" w:space="0" w:color="000000"/>
              <w:right w:val="single" w:sz="4" w:space="0" w:color="000000"/>
            </w:tcBorders>
            <w:shd w:val="clear" w:color="auto" w:fill="auto"/>
            <w:tcMar>
              <w:top w:w="100" w:type="dxa"/>
              <w:left w:w="100" w:type="dxa"/>
              <w:bottom w:w="100" w:type="dxa"/>
              <w:right w:w="100" w:type="dxa"/>
            </w:tcMar>
          </w:tcPr>
          <w:p w14:paraId="764DD53D" w14:textId="77777777" w:rsidR="00EC376A" w:rsidRPr="009D69F1" w:rsidRDefault="00F43AF2" w:rsidP="009D69F1">
            <w:pPr>
              <w:widowControl w:val="0"/>
              <w:pBdr>
                <w:top w:val="nil"/>
                <w:left w:val="nil"/>
                <w:bottom w:val="nil"/>
                <w:right w:val="nil"/>
                <w:between w:val="nil"/>
              </w:pBd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Ընդունվել է</w:t>
            </w:r>
          </w:p>
        </w:tc>
        <w:tc>
          <w:tcPr>
            <w:tcW w:w="3458" w:type="dxa"/>
            <w:tcBorders>
              <w:top w:val="single" w:sz="4" w:space="0" w:color="000000"/>
              <w:left w:val="single" w:sz="4" w:space="0" w:color="000000"/>
            </w:tcBorders>
            <w:shd w:val="clear" w:color="auto" w:fill="auto"/>
            <w:tcMar>
              <w:top w:w="100" w:type="dxa"/>
              <w:left w:w="100" w:type="dxa"/>
              <w:bottom w:w="100" w:type="dxa"/>
              <w:right w:w="100" w:type="dxa"/>
            </w:tcMar>
          </w:tcPr>
          <w:p w14:paraId="22FA74BB"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Նախագծում կատարվել է համապատասխան փոփոխություն:</w:t>
            </w:r>
          </w:p>
        </w:tc>
      </w:tr>
      <w:tr w:rsidR="00EC376A" w:rsidRPr="009D69F1" w14:paraId="3F87993F" w14:textId="77777777" w:rsidTr="009D69F1">
        <w:trPr>
          <w:trHeight w:val="335"/>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52F809"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25B4C"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526FC"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10. Առաջարկվում է Դ.1.«Հայտարարատու անձի, նրա ընտանիքի անդամների եկամուտները» բաժնում չներկայացնել գույքի օտարումից ստացված եկամուտը, քանի որ այն արդեն իսկ արտացոլվելու է Ե.1.«Ուսումնասիրվող ժամանակահատվածում ձեռք բերված և օտարված անշարժ գույքը» բաժնում: Սա հնարավորություն կտա չուռճացնել իրական եկամտի (հայտարարատուի վաստակի) մեծությունը, իսկ հայտարարագրի վերլուծության ժամանակ հիմք ընդունվող եկամտի (վաստակի) գումարը հաշվարկելիս հիմք կընդունվի առաջադրված ժամանակաշրջանում հայտարարատուի կողմից </w:t>
            </w:r>
            <w:r w:rsidRPr="009D69F1">
              <w:rPr>
                <w:rFonts w:ascii="GHEA Grapalat" w:eastAsia="GHEA Grapalat" w:hAnsi="GHEA Grapalat" w:cs="GHEA Grapalat"/>
                <w:sz w:val="24"/>
                <w:szCs w:val="24"/>
              </w:rPr>
              <w:lastRenderedPageBreak/>
              <w:t>ձեռքբերված և օտարված գույքի արժեքների դրական կամ բացասական տարբերությունը կամ նախկինում ձեռքբերված և առաջադրված ժամանակահատվածում օտարված գույքի արժեքը:</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56A1D"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Ընդունվել է</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4A8D7"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Առաջարկի հիման վրա Նախագծում կատարվել են համապատասխան փոփոխություններ:</w:t>
            </w:r>
          </w:p>
          <w:p w14:paraId="01EDEC78" w14:textId="77777777" w:rsidR="00EC376A" w:rsidRPr="009D69F1" w:rsidRDefault="00EC376A" w:rsidP="009D69F1">
            <w:pPr>
              <w:spacing w:after="120" w:line="240" w:lineRule="auto"/>
              <w:jc w:val="both"/>
              <w:rPr>
                <w:rFonts w:ascii="GHEA Grapalat" w:eastAsia="GHEA Grapalat" w:hAnsi="GHEA Grapalat" w:cs="GHEA Grapalat"/>
                <w:sz w:val="24"/>
                <w:szCs w:val="24"/>
              </w:rPr>
            </w:pPr>
          </w:p>
          <w:p w14:paraId="1F955917"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c>
      </w:tr>
      <w:tr w:rsidR="00EC376A" w:rsidRPr="009D69F1" w14:paraId="0E285D34" w14:textId="77777777" w:rsidTr="009D69F1">
        <w:trPr>
          <w:trHeight w:val="435"/>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EEC8A"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53E20"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D4337" w14:textId="77777777" w:rsidR="00EC376A" w:rsidRPr="009D69F1" w:rsidRDefault="00F43AF2" w:rsidP="009D69F1">
            <w:pPr>
              <w:spacing w:after="120" w:line="240" w:lineRule="auto"/>
              <w:jc w:val="both"/>
              <w:rPr>
                <w:rFonts w:ascii="GHEA Grapalat" w:eastAsia="GHEA Grapalat" w:hAnsi="GHEA Grapalat" w:cs="GHEA Grapalat"/>
                <w:sz w:val="24"/>
                <w:szCs w:val="24"/>
              </w:rPr>
            </w:pPr>
            <w:bookmarkStart w:id="1" w:name="_heading=h.30j0zll" w:colFirst="0" w:colLast="0"/>
            <w:bookmarkEnd w:id="1"/>
            <w:r w:rsidRPr="009D69F1">
              <w:rPr>
                <w:rFonts w:ascii="GHEA Grapalat" w:eastAsia="GHEA Grapalat" w:hAnsi="GHEA Grapalat" w:cs="GHEA Grapalat"/>
                <w:sz w:val="24"/>
                <w:szCs w:val="24"/>
              </w:rPr>
              <w:t>11. Հավելված 2-ի 17-րդ կետը համապատասխանեցնել 10-րդ կետի հետ և «գույքի» բառը փոխարինել «միավոր գույքի» բառերով:</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87CE8"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Չի ընդունվել</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CA7A6"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Առաջարկը չի ընդունվել, նկատի ունենալով «Ե» բաժնի տրամաբանությունը, որի համաձայն բոլոր՝ նույնիսկ միևնույն գույքի վերաբերյալ կնքված գործարքները պետք է արտացոլվեն հայտարարագրում առանձին (բոլոր գործարքների քանակով):</w:t>
            </w:r>
          </w:p>
        </w:tc>
      </w:tr>
      <w:tr w:rsidR="00EC376A" w:rsidRPr="009D69F1" w14:paraId="02E76342" w14:textId="77777777" w:rsidTr="009D69F1">
        <w:trPr>
          <w:trHeight w:val="435"/>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8C5BD2"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B6F84" w14:textId="77777777" w:rsidR="00EC376A" w:rsidRPr="009D69F1" w:rsidRDefault="00EC376A" w:rsidP="009D69F1">
            <w:pPr>
              <w:spacing w:after="120" w:line="240" w:lineRule="auto"/>
              <w:jc w:val="both"/>
              <w:rPr>
                <w:rFonts w:ascii="GHEA Grapalat" w:eastAsia="GHEA Grapalat" w:hAnsi="GHEA Grapalat" w:cs="GHEA Grapalat"/>
                <w:sz w:val="24"/>
                <w:szCs w:val="24"/>
              </w:rPr>
            </w:pP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1E7D4"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12. «Հանրային ծառայության մասին» ՀՀ օրենքով սահմանված հայտարարագրման համակարգի շահագործման ընթացքում Հանձնաժողովը պրակտիկայում արձանագրել է մի քանի խնդիրներ:</w:t>
            </w:r>
          </w:p>
          <w:p w14:paraId="608797CA"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Մասնավորապես, </w:t>
            </w:r>
            <w:proofErr w:type="spellStart"/>
            <w:r w:rsidRPr="009D69F1">
              <w:rPr>
                <w:rFonts w:ascii="GHEA Grapalat" w:eastAsia="GHEA Grapalat" w:hAnsi="GHEA Grapalat" w:cs="GHEA Grapalat"/>
                <w:sz w:val="24"/>
                <w:szCs w:val="24"/>
              </w:rPr>
              <w:t>ԱԾՈՒԳԲ</w:t>
            </w:r>
            <w:proofErr w:type="spellEnd"/>
            <w:r w:rsidRPr="009D69F1">
              <w:rPr>
                <w:rFonts w:ascii="GHEA Grapalat" w:eastAsia="GHEA Grapalat" w:hAnsi="GHEA Grapalat" w:cs="GHEA Grapalat"/>
                <w:sz w:val="24"/>
                <w:szCs w:val="24"/>
              </w:rPr>
              <w:t xml:space="preserve"> հայտարարագրի լրացման և ներկայացման եղանակը </w:t>
            </w:r>
            <w:r w:rsidRPr="009D69F1">
              <w:rPr>
                <w:rFonts w:ascii="GHEA Grapalat" w:eastAsia="GHEA Grapalat" w:hAnsi="GHEA Grapalat" w:cs="GHEA Grapalat"/>
                <w:sz w:val="24"/>
                <w:szCs w:val="24"/>
              </w:rPr>
              <w:lastRenderedPageBreak/>
              <w:t xml:space="preserve">սահմանված չէ: Խոսքը վերաբերում է նրան՝ հայտարարագիրը լրացվելու է էլեկտրոնային, թե թղթային տարբերակով: Պայմանավորված այն հանգամանքով, թե որ տարբերակն է իրականացվելու, անհրաժեշտ է պլանավորել հայտարարագրերի լրացման համար պահանջի ներկայացման, հայտարարագրերի լրացման և ներկայացման գործընթացի կառավարման համակարգը: Թղթային տարբերակին նախապատվություն տալու դեպքում ստացված հայտարարագրում առկա տվյալների վերլուծության համար դրանք պետք է </w:t>
            </w:r>
            <w:proofErr w:type="spellStart"/>
            <w:r w:rsidRPr="009D69F1">
              <w:rPr>
                <w:rFonts w:ascii="GHEA Grapalat" w:eastAsia="GHEA Grapalat" w:hAnsi="GHEA Grapalat" w:cs="GHEA Grapalat"/>
                <w:sz w:val="24"/>
                <w:szCs w:val="24"/>
              </w:rPr>
              <w:t>թվայնացվեն</w:t>
            </w:r>
            <w:proofErr w:type="spellEnd"/>
            <w:r w:rsidRPr="009D69F1">
              <w:rPr>
                <w:rFonts w:ascii="GHEA Grapalat" w:eastAsia="GHEA Grapalat" w:hAnsi="GHEA Grapalat" w:cs="GHEA Grapalat"/>
                <w:sz w:val="24"/>
                <w:szCs w:val="24"/>
              </w:rPr>
              <w:t>, ինչը կարող է լրացուցիչ ժամանակ և ռեսուրս պահանջել:</w:t>
            </w:r>
          </w:p>
          <w:p w14:paraId="4CD7102D"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Էլեկտրոնային տարբերակի սպասարկման համար անհրաժեշտ կլինի ներդնել համակարգ, որը հնարավորություն կտա հայտարարատուի ծանուցումը, հայտարարագրի լրացումը, </w:t>
            </w:r>
            <w:r w:rsidRPr="009D69F1">
              <w:rPr>
                <w:rFonts w:ascii="GHEA Grapalat" w:eastAsia="GHEA Grapalat" w:hAnsi="GHEA Grapalat" w:cs="GHEA Grapalat"/>
                <w:sz w:val="24"/>
                <w:szCs w:val="24"/>
              </w:rPr>
              <w:lastRenderedPageBreak/>
              <w:t>հանձնումը, պահպանումն ու վերլուծությունն իրականացնել էլեկտրոնային տարբերակով: Ընդ որում, էլեկտրոնային համակարգի պարագայում տվյալների այլ բազաներում առկա տեղեկությունները ևս հնարավոր կլինի ստանալ էլեկտրոնային եղանակով:</w:t>
            </w:r>
          </w:p>
          <w:p w14:paraId="7194687C"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Այս առնչությամբ Հանձնաժողովի կողմից առաջարկվում է դիտարկել Կոռուպցիայի կանխարգելման հանձնաժողովի կողմից շահագործվող հայտարարագրերի էլեկտրոնային համակարգի օգտագործման հնարավորությունը (այս պահին Հանձնաժողովն աշխատում է նոր համակարգի կառուցման ուղղությամբ, այնուամենայնիվ, գործող համակարգը կարող է ժամանակավորապես ծառայել նաև </w:t>
            </w:r>
            <w:proofErr w:type="spellStart"/>
            <w:r w:rsidRPr="009D69F1">
              <w:rPr>
                <w:rFonts w:ascii="GHEA Grapalat" w:eastAsia="GHEA Grapalat" w:hAnsi="GHEA Grapalat" w:cs="GHEA Grapalat"/>
                <w:sz w:val="24"/>
                <w:szCs w:val="24"/>
              </w:rPr>
              <w:t>ԱԾՈՒԳԲ</w:t>
            </w:r>
            <w:proofErr w:type="spellEnd"/>
            <w:r w:rsidRPr="009D69F1">
              <w:rPr>
                <w:rFonts w:ascii="GHEA Grapalat" w:eastAsia="GHEA Grapalat" w:hAnsi="GHEA Grapalat" w:cs="GHEA Grapalat"/>
                <w:sz w:val="24"/>
                <w:szCs w:val="24"/>
              </w:rPr>
              <w:t xml:space="preserve"> հայտարարագրերի լրացման համար):</w:t>
            </w:r>
          </w:p>
          <w:p w14:paraId="65794A97"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Ավելին, «Ապօրինի ծագում ունեցող գույքի բռնագանձման» ՀՀ օրենքի 11-րդ հոդվածի համաձայն՝ Իրավասու մարմինը </w:t>
            </w:r>
            <w:r w:rsidRPr="009D69F1">
              <w:rPr>
                <w:rFonts w:ascii="GHEA Grapalat" w:eastAsia="GHEA Grapalat" w:hAnsi="GHEA Grapalat" w:cs="GHEA Grapalat"/>
                <w:sz w:val="24"/>
                <w:szCs w:val="24"/>
              </w:rPr>
              <w:lastRenderedPageBreak/>
              <w:t>կարող է դիմել Կոռուպցիայի կանխարգելման հանձնաժողով՝ սույն օրենքով նախատեսված կարգով տրամադրված հայտարարագրի վերլուծություն իրականացնելու համար և ստանալ վերլուծության արդյունքը:</w:t>
            </w:r>
          </w:p>
          <w:p w14:paraId="792F7245"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Այս դեպքում գոյություն ունեցող էլեկտրոնային համակարգի միջոցով հայտարարագրի ստացումը կարող է տեղի ունենալ </w:t>
            </w:r>
            <w:proofErr w:type="spellStart"/>
            <w:r w:rsidRPr="009D69F1">
              <w:rPr>
                <w:rFonts w:ascii="GHEA Grapalat" w:eastAsia="GHEA Grapalat" w:hAnsi="GHEA Grapalat" w:cs="GHEA Grapalat"/>
                <w:sz w:val="24"/>
                <w:szCs w:val="24"/>
              </w:rPr>
              <w:t>արդյունավետորեն</w:t>
            </w:r>
            <w:proofErr w:type="spellEnd"/>
            <w:r w:rsidRPr="009D69F1">
              <w:rPr>
                <w:rFonts w:ascii="GHEA Grapalat" w:eastAsia="GHEA Grapalat" w:hAnsi="GHEA Grapalat" w:cs="GHEA Grapalat"/>
                <w:sz w:val="24"/>
                <w:szCs w:val="24"/>
              </w:rPr>
              <w:t xml:space="preserve"> և առանց խոչընդոտների:</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FC517"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Ընդունվել է ի գիտություն</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8DF4B"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 xml:space="preserve">Ներկայումս նախատեսվում է սահմանել հայտարարագրի ներկայացում թղթային տարբերակով, սակայն գործնականում հայտարարագրերի քանակի  և դրանց վերլուծության համար անհրաժեշտ ռեսուրսների ծավալները հաշվի առնելով, կարող է քննարկվել հատուկ </w:t>
            </w:r>
            <w:r w:rsidRPr="009D69F1">
              <w:rPr>
                <w:rFonts w:ascii="GHEA Grapalat" w:eastAsia="GHEA Grapalat" w:hAnsi="GHEA Grapalat" w:cs="GHEA Grapalat"/>
                <w:sz w:val="24"/>
                <w:szCs w:val="24"/>
              </w:rPr>
              <w:lastRenderedPageBreak/>
              <w:t>էլեկտրոնային համակարգի անցնելու անհրաժեշտությունը:</w:t>
            </w:r>
          </w:p>
          <w:p w14:paraId="291B1537" w14:textId="77777777" w:rsidR="00EC376A" w:rsidRPr="009D69F1" w:rsidRDefault="00EC376A"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p>
          <w:p w14:paraId="0F09B813" w14:textId="77777777" w:rsidR="00EC376A" w:rsidRPr="009D69F1" w:rsidRDefault="00EC376A"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p>
        </w:tc>
      </w:tr>
      <w:tr w:rsidR="00EC376A" w:rsidRPr="009D69F1" w14:paraId="29CA98C9" w14:textId="77777777" w:rsidTr="009D69F1">
        <w:trPr>
          <w:trHeight w:val="435"/>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790DB"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lastRenderedPageBreak/>
              <w:t>8.</w:t>
            </w: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CC5AD" w14:textId="77777777" w:rsidR="00EC376A" w:rsidRPr="009D69F1" w:rsidRDefault="00F43AF2" w:rsidP="00F43AF2">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ՀՀ մարդու իրավունքների պաշտպան, 14 Հոկտեմբեր 2020, թիվ 01/13.4/4839-20 գրություն</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85D74"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Առաջարկություններ և դիտողություններ չկան:</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5F4A6" w14:textId="77777777" w:rsidR="00EC376A" w:rsidRPr="009D69F1" w:rsidRDefault="00F43AF2" w:rsidP="009D69F1">
            <w:pPr>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73F0C" w14:textId="77777777" w:rsidR="00EC376A" w:rsidRPr="009D69F1" w:rsidRDefault="00F43AF2"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sidRPr="009D69F1">
              <w:rPr>
                <w:rFonts w:ascii="GHEA Grapalat" w:eastAsia="GHEA Grapalat" w:hAnsi="GHEA Grapalat" w:cs="GHEA Grapalat"/>
                <w:sz w:val="24"/>
                <w:szCs w:val="24"/>
              </w:rPr>
              <w:t>-</w:t>
            </w:r>
          </w:p>
        </w:tc>
      </w:tr>
      <w:tr w:rsidR="003D2D94" w:rsidRPr="009D69F1" w14:paraId="32BE9699" w14:textId="77777777" w:rsidTr="009D69F1">
        <w:trPr>
          <w:trHeight w:val="435"/>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5714F" w14:textId="3D10B185" w:rsidR="003D2D94" w:rsidRPr="003D2D94" w:rsidRDefault="003D2D94" w:rsidP="009D69F1">
            <w:pPr>
              <w:spacing w:after="120" w:line="240" w:lineRule="auto"/>
              <w:jc w:val="both"/>
              <w:rPr>
                <w:rFonts w:ascii="GHEA Grapalat" w:eastAsia="GHEA Grapalat" w:hAnsi="GHEA Grapalat" w:cs="GHEA Grapalat"/>
                <w:sz w:val="24"/>
                <w:szCs w:val="24"/>
                <w:lang w:val="en-US"/>
              </w:rPr>
            </w:pPr>
            <w:r>
              <w:rPr>
                <w:rFonts w:ascii="GHEA Grapalat" w:eastAsia="GHEA Grapalat" w:hAnsi="GHEA Grapalat" w:cs="GHEA Grapalat"/>
                <w:sz w:val="24"/>
                <w:szCs w:val="24"/>
                <w:lang w:val="en-US"/>
              </w:rPr>
              <w:t>9.</w:t>
            </w:r>
          </w:p>
        </w:tc>
        <w:tc>
          <w:tcPr>
            <w:tcW w:w="2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8C0D7" w14:textId="07FA6B31" w:rsidR="003D2D94" w:rsidRPr="009D69F1" w:rsidRDefault="003D2D94" w:rsidP="003D2D94">
            <w:pPr>
              <w:spacing w:after="120" w:line="240" w:lineRule="auto"/>
              <w:jc w:val="both"/>
              <w:rPr>
                <w:rFonts w:ascii="GHEA Grapalat" w:eastAsia="GHEA Grapalat" w:hAnsi="GHEA Grapalat" w:cs="GHEA Grapalat"/>
                <w:sz w:val="24"/>
                <w:szCs w:val="24"/>
              </w:rPr>
            </w:pPr>
            <w:r w:rsidRPr="003D2D94">
              <w:rPr>
                <w:rFonts w:ascii="GHEA Grapalat" w:eastAsia="GHEA Grapalat" w:hAnsi="GHEA Grapalat" w:cs="GHEA Grapalat"/>
                <w:sz w:val="24"/>
                <w:szCs w:val="24"/>
              </w:rPr>
              <w:t>ՀՀ վարչապետի աշխատակազմի</w:t>
            </w:r>
            <w:r>
              <w:rPr>
                <w:rFonts w:ascii="GHEA Grapalat" w:eastAsia="GHEA Grapalat" w:hAnsi="GHEA Grapalat" w:cs="GHEA Grapalat"/>
                <w:sz w:val="24"/>
                <w:szCs w:val="24"/>
              </w:rPr>
              <w:t xml:space="preserve"> </w:t>
            </w:r>
            <w:r w:rsidRPr="003D2D94">
              <w:rPr>
                <w:rFonts w:ascii="GHEA Grapalat" w:eastAsia="GHEA Grapalat" w:hAnsi="GHEA Grapalat" w:cs="GHEA Grapalat"/>
                <w:sz w:val="24"/>
                <w:szCs w:val="24"/>
              </w:rPr>
              <w:t>պետաիրավական վարչություն</w:t>
            </w:r>
            <w:r>
              <w:rPr>
                <w:rFonts w:ascii="GHEA Grapalat" w:eastAsia="GHEA Grapalat" w:hAnsi="GHEA Grapalat" w:cs="GHEA Grapalat"/>
                <w:sz w:val="24"/>
                <w:szCs w:val="24"/>
              </w:rPr>
              <w:t xml:space="preserve">, </w:t>
            </w:r>
            <w:r w:rsidRPr="003D2D94">
              <w:rPr>
                <w:rFonts w:ascii="GHEA Grapalat" w:eastAsia="GHEA Grapalat" w:hAnsi="GHEA Grapalat" w:cs="GHEA Grapalat"/>
                <w:sz w:val="24"/>
                <w:szCs w:val="24"/>
              </w:rPr>
              <w:t>27 Նոյեմբեր 2020</w:t>
            </w:r>
            <w:r>
              <w:rPr>
                <w:rFonts w:ascii="GHEA Grapalat" w:eastAsia="GHEA Grapalat" w:hAnsi="GHEA Grapalat" w:cs="GHEA Grapalat"/>
                <w:sz w:val="24"/>
                <w:szCs w:val="24"/>
              </w:rPr>
              <w:t xml:space="preserve">, </w:t>
            </w:r>
            <w:r w:rsidRPr="009D69F1">
              <w:rPr>
                <w:rFonts w:ascii="GHEA Grapalat" w:eastAsia="GHEA Grapalat" w:hAnsi="GHEA Grapalat" w:cs="GHEA Grapalat"/>
                <w:sz w:val="24"/>
                <w:szCs w:val="24"/>
              </w:rPr>
              <w:t xml:space="preserve">թիվ </w:t>
            </w:r>
            <w:r w:rsidRPr="003D2D94">
              <w:rPr>
                <w:rFonts w:ascii="GHEA Grapalat" w:eastAsia="GHEA Grapalat" w:hAnsi="GHEA Grapalat" w:cs="GHEA Grapalat"/>
                <w:sz w:val="24"/>
                <w:szCs w:val="24"/>
              </w:rPr>
              <w:t>02/10.3/50320-2020</w:t>
            </w:r>
            <w:r w:rsidRPr="009D69F1">
              <w:rPr>
                <w:rFonts w:ascii="GHEA Grapalat" w:eastAsia="GHEA Grapalat" w:hAnsi="GHEA Grapalat" w:cs="GHEA Grapalat"/>
                <w:sz w:val="24"/>
                <w:szCs w:val="24"/>
              </w:rPr>
              <w:t xml:space="preserve"> </w:t>
            </w:r>
            <w:r w:rsidRPr="009D69F1">
              <w:rPr>
                <w:rFonts w:ascii="GHEA Grapalat" w:eastAsia="GHEA Grapalat" w:hAnsi="GHEA Grapalat" w:cs="GHEA Grapalat"/>
                <w:sz w:val="24"/>
                <w:szCs w:val="24"/>
              </w:rPr>
              <w:t>գրություն</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9658F" w14:textId="77777777" w:rsidR="003D2D94" w:rsidRDefault="003D2D94" w:rsidP="003D2D94">
            <w:pPr>
              <w:spacing w:after="120" w:line="240" w:lineRule="auto"/>
              <w:jc w:val="both"/>
              <w:rPr>
                <w:rFonts w:ascii="GHEA Grapalat" w:eastAsia="GHEA Grapalat" w:hAnsi="GHEA Grapalat" w:cs="GHEA Grapalat"/>
                <w:sz w:val="24"/>
                <w:szCs w:val="24"/>
              </w:rPr>
            </w:pPr>
            <w:r w:rsidRPr="003D2D94">
              <w:rPr>
                <w:rFonts w:ascii="GHEA Grapalat" w:eastAsia="GHEA Grapalat" w:hAnsi="GHEA Grapalat" w:cs="GHEA Grapalat"/>
                <w:sz w:val="24"/>
                <w:szCs w:val="24"/>
              </w:rPr>
              <w:t xml:space="preserve">Նախագծի 1-ին հավելվածի «Ե» բաժնում, այն է՝  «Հայտարարատու անձի, նրա ընտանիքի անդամների գործարքները ուսումնասիրվող ժամանակահատվածում», նախատեսված է «Գույքի </w:t>
            </w:r>
            <w:r w:rsidRPr="003D2D94">
              <w:rPr>
                <w:rFonts w:ascii="GHEA Grapalat" w:eastAsia="GHEA Grapalat" w:hAnsi="GHEA Grapalat" w:cs="GHEA Grapalat"/>
                <w:sz w:val="24"/>
                <w:szCs w:val="24"/>
              </w:rPr>
              <w:lastRenderedPageBreak/>
              <w:t>ձեռքբերման կամ օտարման հիմքը» անվանմամբ տող:</w:t>
            </w:r>
          </w:p>
          <w:p w14:paraId="0EB76FA4" w14:textId="619DC773" w:rsidR="003D2D94" w:rsidRPr="003D2D94" w:rsidRDefault="003D2D94" w:rsidP="003D2D94">
            <w:pPr>
              <w:spacing w:after="120" w:line="240" w:lineRule="auto"/>
              <w:jc w:val="both"/>
              <w:rPr>
                <w:rFonts w:ascii="GHEA Grapalat" w:eastAsia="GHEA Grapalat" w:hAnsi="GHEA Grapalat" w:cs="GHEA Grapalat"/>
                <w:sz w:val="24"/>
                <w:szCs w:val="24"/>
              </w:rPr>
            </w:pPr>
            <w:r w:rsidRPr="003D2D94">
              <w:rPr>
                <w:rFonts w:ascii="GHEA Grapalat" w:eastAsia="GHEA Grapalat" w:hAnsi="GHEA Grapalat" w:cs="GHEA Grapalat"/>
                <w:sz w:val="24"/>
                <w:szCs w:val="24"/>
              </w:rPr>
              <w:t xml:space="preserve">Հիշյալ ձևակերպումը </w:t>
            </w:r>
            <w:proofErr w:type="spellStart"/>
            <w:r w:rsidRPr="003D2D94">
              <w:rPr>
                <w:rFonts w:ascii="GHEA Grapalat" w:eastAsia="GHEA Grapalat" w:hAnsi="GHEA Grapalat" w:cs="GHEA Grapalat"/>
                <w:sz w:val="24"/>
                <w:szCs w:val="24"/>
              </w:rPr>
              <w:t>տարընկալման</w:t>
            </w:r>
            <w:proofErr w:type="spellEnd"/>
            <w:r w:rsidRPr="003D2D94">
              <w:rPr>
                <w:rFonts w:ascii="GHEA Grapalat" w:eastAsia="GHEA Grapalat" w:hAnsi="GHEA Grapalat" w:cs="GHEA Grapalat"/>
                <w:sz w:val="24"/>
                <w:szCs w:val="24"/>
              </w:rPr>
              <w:t xml:space="preserve"> տեղիք է տալիս այն առումով, որ պարզ չէ, թե գույքի ձեռքբերման կամ օտարման հիմքը նաև «Ապօրինի ծագում ունեցող գույքի բռնագանձման մասին» օրենքով սահմանված ֆինանսավորման աղբյուրն է, թե ոչ՝ հաշվի առնելով, որ նույն օրենքի 16-րդ հոդվածի 2-րդ մասի 5-րդ ենթակետով նախատեսված է, որ հայտարարագիրը ներառում է ուսումնասիրվող ժամանակահատվածում անձի և նրա ընտանիքի անդամների՝ գույք օտարելու կամ ձեռք բերելու գործարքները և դրանց ֆինանսավորման աղբյուրները:</w:t>
            </w:r>
          </w:p>
          <w:p w14:paraId="1D7AA31E" w14:textId="2E429051" w:rsidR="003D2D94" w:rsidRPr="009D69F1" w:rsidRDefault="003D2D94" w:rsidP="003D2D94">
            <w:pPr>
              <w:spacing w:after="120" w:line="240" w:lineRule="auto"/>
              <w:jc w:val="both"/>
              <w:rPr>
                <w:rFonts w:ascii="GHEA Grapalat" w:eastAsia="GHEA Grapalat" w:hAnsi="GHEA Grapalat" w:cs="GHEA Grapalat"/>
                <w:sz w:val="24"/>
                <w:szCs w:val="24"/>
              </w:rPr>
            </w:pPr>
            <w:r w:rsidRPr="003D2D94">
              <w:rPr>
                <w:rFonts w:ascii="GHEA Grapalat" w:eastAsia="GHEA Grapalat" w:hAnsi="GHEA Grapalat" w:cs="GHEA Grapalat"/>
                <w:sz w:val="24"/>
                <w:szCs w:val="24"/>
              </w:rPr>
              <w:t xml:space="preserve">Վերոնշյալի համատեքստում հարկ է նկատել, որ բարձրացված հարցի պատասխանը </w:t>
            </w:r>
            <w:proofErr w:type="spellStart"/>
            <w:r w:rsidRPr="003D2D94">
              <w:rPr>
                <w:rFonts w:ascii="GHEA Grapalat" w:eastAsia="GHEA Grapalat" w:hAnsi="GHEA Grapalat" w:cs="GHEA Grapalat"/>
                <w:sz w:val="24"/>
                <w:szCs w:val="24"/>
              </w:rPr>
              <w:t>որոշակիացված</w:t>
            </w:r>
            <w:proofErr w:type="spellEnd"/>
            <w:r w:rsidRPr="003D2D94">
              <w:rPr>
                <w:rFonts w:ascii="GHEA Grapalat" w:eastAsia="GHEA Grapalat" w:hAnsi="GHEA Grapalat" w:cs="GHEA Grapalat"/>
                <w:sz w:val="24"/>
                <w:szCs w:val="24"/>
              </w:rPr>
              <w:t xml:space="preserve"> չէ նաև հայտարարագրերի լրացման կարգում:</w:t>
            </w:r>
          </w:p>
        </w:tc>
        <w:tc>
          <w:tcPr>
            <w:tcW w:w="2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0736B" w14:textId="47E3D923" w:rsidR="003D2D94" w:rsidRPr="009D69F1" w:rsidRDefault="003D2D94" w:rsidP="009D69F1">
            <w:pPr>
              <w:spacing w:after="12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88837" w14:textId="5CFA336D" w:rsidR="003D2D94" w:rsidRPr="009D69F1" w:rsidRDefault="003D2D94" w:rsidP="009D69F1">
            <w:pPr>
              <w:tabs>
                <w:tab w:val="center" w:pos="4680"/>
                <w:tab w:val="center" w:pos="7229"/>
                <w:tab w:val="center" w:pos="7285"/>
                <w:tab w:val="right" w:pos="9360"/>
                <w:tab w:val="left" w:pos="11057"/>
                <w:tab w:val="left" w:pos="11266"/>
              </w:tabs>
              <w:spacing w:after="120" w:line="24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Հայտարարագրի լրացման կարգում կատարվել է հստակեցում առաջարկում նշված տողի առնչությամբ։</w:t>
            </w:r>
          </w:p>
        </w:tc>
      </w:tr>
    </w:tbl>
    <w:p w14:paraId="5C54204C" w14:textId="77777777" w:rsidR="00EC376A" w:rsidRPr="009D69F1" w:rsidRDefault="00EC376A" w:rsidP="009D69F1">
      <w:pPr>
        <w:spacing w:after="120" w:line="240" w:lineRule="auto"/>
        <w:jc w:val="both"/>
        <w:rPr>
          <w:rFonts w:ascii="GHEA Grapalat" w:eastAsia="GHEA Grapalat" w:hAnsi="GHEA Grapalat" w:cs="GHEA Grapalat"/>
          <w:sz w:val="24"/>
          <w:szCs w:val="24"/>
        </w:rPr>
      </w:pPr>
    </w:p>
    <w:sectPr w:rsidR="00EC376A" w:rsidRPr="009D69F1">
      <w:pgSz w:w="15840" w:h="122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76A"/>
    <w:rsid w:val="003D2D94"/>
    <w:rsid w:val="009D69F1"/>
    <w:rsid w:val="00EC376A"/>
    <w:rsid w:val="00F43AF2"/>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BEBC6"/>
  <w15:docId w15:val="{52E9DFA1-0241-4AB2-BF28-7FD019A5F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hy-AM" w:eastAsia="hy-AM"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B7C"/>
  </w:style>
  <w:style w:type="paragraph" w:styleId="Heading1">
    <w:name w:val="heading 1"/>
    <w:basedOn w:val="Normal"/>
    <w:next w:val="Normal"/>
    <w:uiPriority w:val="9"/>
    <w:qFormat/>
    <w:rsid w:val="00810B7C"/>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810B7C"/>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810B7C"/>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10B7C"/>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810B7C"/>
    <w:pPr>
      <w:keepNext/>
      <w:keepLines/>
      <w:spacing w:before="240" w:after="80"/>
      <w:outlineLvl w:val="4"/>
    </w:pPr>
    <w:rPr>
      <w:color w:val="666666"/>
    </w:rPr>
  </w:style>
  <w:style w:type="paragraph" w:styleId="Heading6">
    <w:name w:val="heading 6"/>
    <w:basedOn w:val="Normal"/>
    <w:next w:val="Normal"/>
    <w:uiPriority w:val="9"/>
    <w:semiHidden/>
    <w:unhideWhenUsed/>
    <w:qFormat/>
    <w:rsid w:val="00810B7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10B7C"/>
    <w:pPr>
      <w:keepNext/>
      <w:keepLines/>
      <w:spacing w:after="60"/>
    </w:pPr>
    <w:rPr>
      <w:sz w:val="52"/>
      <w:szCs w:val="52"/>
    </w:rPr>
  </w:style>
  <w:style w:type="paragraph" w:customStyle="1" w:styleId="Normal1">
    <w:name w:val="Normal1"/>
    <w:rsid w:val="008E28DF"/>
  </w:style>
  <w:style w:type="paragraph" w:customStyle="1" w:styleId="Normal2">
    <w:name w:val="Normal2"/>
    <w:rsid w:val="00810B7C"/>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rsid w:val="00810B7C"/>
    <w:tblPr>
      <w:tblStyleRowBandSize w:val="1"/>
      <w:tblStyleColBandSize w:val="1"/>
      <w:tblCellMar>
        <w:top w:w="100" w:type="dxa"/>
        <w:left w:w="100" w:type="dxa"/>
        <w:bottom w:w="100" w:type="dxa"/>
        <w:right w:w="100" w:type="dxa"/>
      </w:tblCellMar>
    </w:tblPr>
  </w:style>
  <w:style w:type="table" w:customStyle="1" w:styleId="a0">
    <w:basedOn w:val="TableNormal"/>
    <w:rsid w:val="00810B7C"/>
    <w:tblPr>
      <w:tblStyleRowBandSize w:val="1"/>
      <w:tblStyleColBandSize w:val="1"/>
      <w:tblCellMar>
        <w:top w:w="100" w:type="dxa"/>
        <w:left w:w="100" w:type="dxa"/>
        <w:bottom w:w="100" w:type="dxa"/>
        <w:right w:w="100" w:type="dxa"/>
      </w:tblCellMar>
    </w:tblPr>
  </w:style>
  <w:style w:type="table" w:customStyle="1" w:styleId="a1">
    <w:basedOn w:val="TableNormal"/>
    <w:rsid w:val="00810B7C"/>
    <w:tblPr>
      <w:tblStyleRowBandSize w:val="1"/>
      <w:tblStyleColBandSize w:val="1"/>
      <w:tblCellMar>
        <w:top w:w="100" w:type="dxa"/>
        <w:left w:w="100" w:type="dxa"/>
        <w:bottom w:w="100" w:type="dxa"/>
        <w:right w:w="100" w:type="dxa"/>
      </w:tblCellMar>
    </w:tblPr>
  </w:style>
  <w:style w:type="table" w:customStyle="1" w:styleId="a2">
    <w:basedOn w:val="TableNormal"/>
    <w:rsid w:val="008E28DF"/>
    <w:tblPr>
      <w:tblStyleRowBandSize w:val="1"/>
      <w:tblStyleColBandSize w:val="1"/>
      <w:tblCellMar>
        <w:top w:w="100" w:type="dxa"/>
        <w:left w:w="100" w:type="dxa"/>
        <w:bottom w:w="100" w:type="dxa"/>
        <w:right w:w="100" w:type="dxa"/>
      </w:tblCellMar>
    </w:tblPr>
  </w:style>
  <w:style w:type="table" w:customStyle="1" w:styleId="a3">
    <w:basedOn w:val="TableNormal"/>
    <w:rsid w:val="00E442E2"/>
    <w:tblPr>
      <w:tblStyleRowBandSize w:val="1"/>
      <w:tblStyleColBandSize w:val="1"/>
      <w:tblCellMar>
        <w:top w:w="100" w:type="dxa"/>
        <w:left w:w="100" w:type="dxa"/>
        <w:bottom w:w="100" w:type="dxa"/>
        <w:right w:w="100" w:type="dxa"/>
      </w:tblCellMar>
    </w:tblPr>
  </w:style>
  <w:style w:type="table" w:customStyle="1" w:styleId="a4">
    <w:basedOn w:val="TableNormal"/>
    <w:rsid w:val="00E442E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2332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332E"/>
    <w:rPr>
      <w:rFonts w:ascii="Segoe UI" w:hAnsi="Segoe UI" w:cs="Segoe UI"/>
      <w:sz w:val="18"/>
      <w:szCs w:val="1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494096">
      <w:bodyDiv w:val="1"/>
      <w:marLeft w:val="0"/>
      <w:marRight w:val="0"/>
      <w:marTop w:val="0"/>
      <w:marBottom w:val="0"/>
      <w:divBdr>
        <w:top w:val="none" w:sz="0" w:space="0" w:color="auto"/>
        <w:left w:val="none" w:sz="0" w:space="0" w:color="auto"/>
        <w:bottom w:val="none" w:sz="0" w:space="0" w:color="auto"/>
        <w:right w:val="none" w:sz="0" w:space="0" w:color="auto"/>
      </w:divBdr>
    </w:div>
    <w:div w:id="142163160">
      <w:bodyDiv w:val="1"/>
      <w:marLeft w:val="0"/>
      <w:marRight w:val="0"/>
      <w:marTop w:val="0"/>
      <w:marBottom w:val="0"/>
      <w:divBdr>
        <w:top w:val="none" w:sz="0" w:space="0" w:color="auto"/>
        <w:left w:val="none" w:sz="0" w:space="0" w:color="auto"/>
        <w:bottom w:val="none" w:sz="0" w:space="0" w:color="auto"/>
        <w:right w:val="none" w:sz="0" w:space="0" w:color="auto"/>
      </w:divBdr>
    </w:div>
    <w:div w:id="2057199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YcpUqYvfo2IZrmu1L4gA8hg8+w==">AMUW2mVIt3bU2U2ym7KFxYiYsPcQQkKnbArLQbF6P60n4A39EWe3e9/peWL+gjmhtBT6UM36uIfjuCAAIi57CQrtOTEM4DAsHd14HkaZ+2g0e96df2HlEX0kAkpf57ieV6bmy8Z4HHqU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2054</Words>
  <Characters>11709</Characters>
  <Application>Microsoft Office Word</Application>
  <DocSecurity>0</DocSecurity>
  <Lines>97</Lines>
  <Paragraphs>27</Paragraphs>
  <ScaleCrop>false</ScaleCrop>
  <Company/>
  <LinksUpToDate>false</LinksUpToDate>
  <CharactersWithSpaces>13736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Verdyan</dc:creator>
  <cp:lastModifiedBy>Ani Varderesyan</cp:lastModifiedBy>
  <cp:revision>2</cp:revision>
  <dcterms:created xsi:type="dcterms:W3CDTF">2020-11-30T10:45:00Z</dcterms:created>
  <dcterms:modified xsi:type="dcterms:W3CDTF">2020-11-30T10:45:00Z</dcterms:modified>
</cp:coreProperties>
</file>